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9D" w:rsidRDefault="0028749D">
      <w:pPr>
        <w:pStyle w:val="Header"/>
        <w:tabs>
          <w:tab w:val="clear" w:pos="4320"/>
          <w:tab w:val="clear" w:pos="8640"/>
          <w:tab w:val="left" w:pos="-180"/>
          <w:tab w:val="left" w:pos="0"/>
        </w:tabs>
        <w:rPr>
          <w:lang w:val="en-GB"/>
        </w:rPr>
        <w:sectPr w:rsidR="0028749D" w:rsidSect="000A1C15">
          <w:headerReference w:type="default" r:id="rId10"/>
          <w:footerReference w:type="default" r:id="rId11"/>
          <w:pgSz w:w="12240" w:h="15840"/>
          <w:pgMar w:top="1482" w:right="1440" w:bottom="1440" w:left="1440" w:header="720" w:footer="283" w:gutter="0"/>
          <w:cols w:space="720"/>
          <w:docGrid w:linePitch="272"/>
        </w:sectPr>
      </w:pPr>
      <w:bookmarkStart w:id="0" w:name="_GoBack"/>
      <w:bookmarkEnd w:id="0"/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Principle</w:t>
      </w:r>
    </w:p>
    <w:p w:rsidR="0028749D" w:rsidRPr="000A1C15" w:rsidRDefault="0028749D">
      <w:pPr>
        <w:ind w:left="720"/>
        <w:jc w:val="both"/>
        <w:rPr>
          <w:rFonts w:ascii="Arial" w:hAnsi="Arial"/>
          <w:sz w:val="24"/>
          <w:lang w:val="en-GB"/>
        </w:rPr>
      </w:pPr>
    </w:p>
    <w:p w:rsidR="006F18ED" w:rsidRDefault="0028749D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Simultaneous forward and reverse grouping, Rh</w:t>
      </w:r>
      <w:r w:rsidR="00CB747E">
        <w:rPr>
          <w:rFonts w:ascii="Arial" w:hAnsi="Arial"/>
          <w:sz w:val="24"/>
          <w:lang w:val="en-GB"/>
        </w:rPr>
        <w:t xml:space="preserve"> </w:t>
      </w:r>
      <w:r>
        <w:rPr>
          <w:rFonts w:ascii="Arial" w:hAnsi="Arial"/>
          <w:sz w:val="24"/>
          <w:lang w:val="en-GB"/>
        </w:rPr>
        <w:t xml:space="preserve">(D) testing and antibody screen test using </w:t>
      </w:r>
      <w:r w:rsidR="00A751CE">
        <w:rPr>
          <w:rFonts w:ascii="Arial" w:hAnsi="Arial"/>
          <w:sz w:val="24"/>
          <w:lang w:val="en-GB"/>
        </w:rPr>
        <w:t>Hemagluttination and Capture Solid Phase Technology</w:t>
      </w:r>
      <w:r>
        <w:rPr>
          <w:rFonts w:ascii="Arial" w:hAnsi="Arial"/>
          <w:sz w:val="24"/>
          <w:lang w:val="en-GB"/>
        </w:rPr>
        <w:t xml:space="preserve">.  </w:t>
      </w:r>
    </w:p>
    <w:p w:rsidR="006F18ED" w:rsidRDefault="006F18ED">
      <w:pPr>
        <w:ind w:left="720"/>
        <w:rPr>
          <w:rFonts w:ascii="Arial" w:hAnsi="Arial"/>
          <w:sz w:val="24"/>
          <w:lang w:val="en-GB"/>
        </w:rPr>
      </w:pPr>
    </w:p>
    <w:p w:rsidR="0028749D" w:rsidRDefault="00A751CE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Patient plasma and LISS are added to Capture-R Ready </w:t>
      </w:r>
      <w:r w:rsidR="00CB747E">
        <w:rPr>
          <w:rFonts w:ascii="Arial" w:hAnsi="Arial"/>
          <w:sz w:val="24"/>
          <w:lang w:val="en-GB"/>
        </w:rPr>
        <w:t>Screen (</w:t>
      </w:r>
      <w:r>
        <w:rPr>
          <w:rFonts w:ascii="Arial" w:hAnsi="Arial"/>
          <w:sz w:val="24"/>
          <w:lang w:val="en-GB"/>
        </w:rPr>
        <w:t xml:space="preserve">3) strips pre-coated with </w:t>
      </w:r>
      <w:r w:rsidR="0028749D">
        <w:rPr>
          <w:rFonts w:ascii="Arial" w:hAnsi="Arial"/>
          <w:sz w:val="24"/>
          <w:lang w:val="en-GB"/>
        </w:rPr>
        <w:t>Reagent red blood cell</w:t>
      </w:r>
      <w:r>
        <w:rPr>
          <w:rFonts w:ascii="Arial" w:hAnsi="Arial"/>
          <w:sz w:val="24"/>
          <w:lang w:val="en-GB"/>
        </w:rPr>
        <w:t xml:space="preserve"> antigen</w:t>
      </w:r>
      <w:r w:rsidR="006F18ED">
        <w:rPr>
          <w:rFonts w:ascii="Arial" w:hAnsi="Arial"/>
          <w:sz w:val="24"/>
          <w:lang w:val="en-GB"/>
        </w:rPr>
        <w:t>.  After incubation and wash cycle I</w:t>
      </w:r>
      <w:r w:rsidR="00616DD1">
        <w:rPr>
          <w:rFonts w:ascii="Arial" w:hAnsi="Arial"/>
          <w:sz w:val="24"/>
          <w:lang w:val="en-GB"/>
        </w:rPr>
        <w:t>gG</w:t>
      </w:r>
      <w:r w:rsidR="006F18ED">
        <w:rPr>
          <w:rFonts w:ascii="Arial" w:hAnsi="Arial"/>
          <w:sz w:val="24"/>
          <w:lang w:val="en-GB"/>
        </w:rPr>
        <w:t xml:space="preserve"> coated indicator cells are added.  The strips are then spun and read</w:t>
      </w:r>
      <w:r w:rsidR="0081100E">
        <w:rPr>
          <w:rFonts w:ascii="Arial" w:hAnsi="Arial"/>
          <w:sz w:val="24"/>
          <w:lang w:val="en-GB"/>
        </w:rPr>
        <w:t>.</w:t>
      </w:r>
      <w:r w:rsidR="0028749D">
        <w:rPr>
          <w:rFonts w:ascii="Arial" w:hAnsi="Arial"/>
          <w:sz w:val="24"/>
          <w:lang w:val="en-GB"/>
        </w:rPr>
        <w:t xml:space="preserve"> </w:t>
      </w: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ABO and Rh(D) typing demonstrates the presence of blood group antigens A,B and D by testing the patient red cells with known antisera, In this case monoclonal anti-A, anti-B and anti-D are </w:t>
      </w:r>
      <w:r w:rsidR="0081100E">
        <w:rPr>
          <w:rFonts w:ascii="Arial" w:hAnsi="Arial"/>
          <w:sz w:val="24"/>
          <w:lang w:val="en-GB"/>
        </w:rPr>
        <w:t>added to CMT(blank) micro well strips</w:t>
      </w:r>
      <w:r>
        <w:rPr>
          <w:rFonts w:ascii="Arial" w:hAnsi="Arial"/>
          <w:sz w:val="24"/>
          <w:lang w:val="en-GB"/>
        </w:rPr>
        <w:t xml:space="preserve">.  The serum/plasma is tested with known A1 and B cells.  The </w:t>
      </w:r>
      <w:r w:rsidR="0081100E">
        <w:rPr>
          <w:rFonts w:ascii="Arial" w:hAnsi="Arial"/>
          <w:sz w:val="24"/>
          <w:lang w:val="en-GB"/>
        </w:rPr>
        <w:t>monoclonal</w:t>
      </w:r>
      <w:r>
        <w:rPr>
          <w:rFonts w:ascii="Arial" w:hAnsi="Arial"/>
          <w:sz w:val="24"/>
          <w:lang w:val="en-GB"/>
        </w:rPr>
        <w:t xml:space="preserve"> control must be negative for the ABO/</w:t>
      </w:r>
      <w:r w:rsidR="00CB747E">
        <w:rPr>
          <w:rFonts w:ascii="Arial" w:hAnsi="Arial"/>
          <w:sz w:val="24"/>
          <w:lang w:val="en-GB"/>
        </w:rPr>
        <w:t>Rh (</w:t>
      </w:r>
      <w:r>
        <w:rPr>
          <w:rFonts w:ascii="Arial" w:hAnsi="Arial"/>
          <w:sz w:val="24"/>
          <w:lang w:val="en-GB"/>
        </w:rPr>
        <w:t>D) results to be valid.</w:t>
      </w: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The presence or absence of antibodies can be detected in the </w:t>
      </w:r>
      <w:r w:rsidR="0081100E">
        <w:rPr>
          <w:rFonts w:ascii="Arial" w:hAnsi="Arial"/>
          <w:sz w:val="24"/>
          <w:lang w:val="en-GB"/>
        </w:rPr>
        <w:t>micro wells</w:t>
      </w:r>
      <w:r>
        <w:rPr>
          <w:rFonts w:ascii="Arial" w:hAnsi="Arial"/>
          <w:sz w:val="24"/>
          <w:lang w:val="en-GB"/>
        </w:rPr>
        <w:t xml:space="preserve">.  Agglutination indicates the </w:t>
      </w:r>
      <w:r w:rsidR="0081100E">
        <w:rPr>
          <w:rFonts w:ascii="Arial" w:hAnsi="Arial"/>
          <w:sz w:val="24"/>
          <w:lang w:val="en-GB"/>
        </w:rPr>
        <w:t>absence</w:t>
      </w:r>
      <w:r>
        <w:rPr>
          <w:rFonts w:ascii="Arial" w:hAnsi="Arial"/>
          <w:sz w:val="24"/>
          <w:lang w:val="en-GB"/>
        </w:rPr>
        <w:t xml:space="preserve"> of antigen/antibody reaction while lack of agglutination indicates the </w:t>
      </w:r>
      <w:r w:rsidR="0081100E">
        <w:rPr>
          <w:rFonts w:ascii="Arial" w:hAnsi="Arial"/>
          <w:sz w:val="24"/>
          <w:lang w:val="en-GB"/>
        </w:rPr>
        <w:t>presence</w:t>
      </w:r>
      <w:r>
        <w:rPr>
          <w:rFonts w:ascii="Arial" w:hAnsi="Arial"/>
          <w:sz w:val="24"/>
          <w:lang w:val="en-GB"/>
        </w:rPr>
        <w:t xml:space="preserve"> of antigen/antibody reaction.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Scope and Related Policies</w:t>
      </w:r>
    </w:p>
    <w:p w:rsidR="0028749D" w:rsidRDefault="0028749D">
      <w:pPr>
        <w:jc w:val="both"/>
        <w:rPr>
          <w:rFonts w:ascii="Arial" w:hAnsi="Arial"/>
          <w:b/>
          <w:sz w:val="28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ABO grouping shall be determined by testing the patient’s red cells with anti-A and anti-B reagents. The Rh type shall be determined by testing the patient’s red cells with monoclonal anti-D reagent. It is recommended that a second anti-D test be performed if the patient does not have a historical D typing on file.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The patient’s plasma shall be tested with A1 and B reagent red cells.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The results of the forward and reverse group testing should agree. All discrepancies must be resolved using alternate methods prior to resulting the testing.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Antibody screening shall be performed at 37°C.</w:t>
      </w: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Specimen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EDTA anticoagulated whole blood drawn within 5 days of testing.</w:t>
      </w: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Serum from fully clotted blood that has been centrifuged and separated immediately upon receipt in the laboratory.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Recently transfused or pregn</w:t>
      </w:r>
      <w:r w:rsidR="00F83738">
        <w:rPr>
          <w:rFonts w:ascii="Arial" w:hAnsi="Arial"/>
          <w:sz w:val="24"/>
          <w:lang w:val="en-GB"/>
        </w:rPr>
        <w:t>ant patient samples should be &lt;4</w:t>
      </w:r>
      <w:r>
        <w:rPr>
          <w:rFonts w:ascii="Arial" w:hAnsi="Arial"/>
          <w:sz w:val="24"/>
          <w:lang w:val="en-GB"/>
        </w:rPr>
        <w:t xml:space="preserve"> days old.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4217A1" w:rsidRDefault="004217A1" w:rsidP="004217A1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 w:rsidRPr="006510F4">
        <w:rPr>
          <w:rFonts w:ascii="Arial" w:hAnsi="Arial" w:cs="Arial"/>
          <w:sz w:val="24"/>
          <w:szCs w:val="24"/>
          <w:lang w:val="en-US"/>
        </w:rPr>
        <w:t>Samples that exhibit excessive hemolysis or lipemia or that are icteric should not be tested on the Galileo Echo. Samples that exhibit a hemolysis grade of 3+ or greater must not be tested on the Galileo Echo because they may generate erroneous results</w:t>
      </w:r>
      <w:r>
        <w:rPr>
          <w:rFonts w:ascii="Arial" w:hAnsi="Arial"/>
          <w:sz w:val="24"/>
          <w:lang w:val="en-GB"/>
        </w:rPr>
        <w:t>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Material</w:t>
      </w:r>
    </w:p>
    <w:p w:rsidR="0028749D" w:rsidRDefault="0028749D">
      <w:pPr>
        <w:ind w:left="2880" w:hanging="216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Equipment:</w:t>
      </w:r>
      <w:r>
        <w:rPr>
          <w:rFonts w:ascii="Arial" w:hAnsi="Arial"/>
          <w:sz w:val="24"/>
          <w:lang w:val="en-GB"/>
        </w:rPr>
        <w:tab/>
      </w:r>
      <w:r w:rsidR="004217A1">
        <w:rPr>
          <w:rFonts w:ascii="Arial" w:hAnsi="Arial"/>
          <w:sz w:val="24"/>
          <w:lang w:val="en-GB"/>
        </w:rPr>
        <w:t>Immucor Galileo Echo</w:t>
      </w: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</w:r>
    </w:p>
    <w:p w:rsidR="007F4C72" w:rsidRDefault="0028749D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Supplies:</w:t>
      </w:r>
      <w:r>
        <w:rPr>
          <w:rFonts w:ascii="Arial" w:hAnsi="Arial"/>
          <w:sz w:val="24"/>
          <w:lang w:val="en-GB"/>
        </w:rPr>
        <w:tab/>
      </w:r>
      <w:r w:rsidR="007F4C72">
        <w:rPr>
          <w:rFonts w:ascii="Arial" w:hAnsi="Arial"/>
          <w:sz w:val="24"/>
          <w:lang w:val="en-GB"/>
        </w:rPr>
        <w:t>Liquid waste bottle (1)</w:t>
      </w:r>
    </w:p>
    <w:p w:rsidR="007F4C72" w:rsidRDefault="007F4C72" w:rsidP="007F4C72">
      <w:pPr>
        <w:ind w:left="288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PBS bottle (1)</w:t>
      </w:r>
    </w:p>
    <w:p w:rsidR="007F4C72" w:rsidRDefault="0028749D" w:rsidP="007F4C72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</w:r>
      <w:r w:rsidR="007F4C72">
        <w:rPr>
          <w:rFonts w:ascii="Arial" w:hAnsi="Arial"/>
          <w:sz w:val="24"/>
          <w:lang w:val="en-GB"/>
        </w:rPr>
        <w:t>Stir balls</w:t>
      </w:r>
    </w:p>
    <w:p w:rsidR="00D544FF" w:rsidRDefault="00D544FF" w:rsidP="007F4C72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Strip holder/trays</w:t>
      </w:r>
    </w:p>
    <w:p w:rsidR="00D544FF" w:rsidRDefault="00893302" w:rsidP="007F4C72">
      <w:pPr>
        <w:tabs>
          <w:tab w:val="left" w:pos="2880"/>
        </w:tabs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Reagent/</w:t>
      </w:r>
      <w:r w:rsidR="00D544FF">
        <w:rPr>
          <w:rFonts w:ascii="Arial" w:hAnsi="Arial"/>
          <w:sz w:val="24"/>
          <w:lang w:val="en-GB"/>
        </w:rPr>
        <w:t>Sample racks</w:t>
      </w:r>
    </w:p>
    <w:p w:rsidR="0028749D" w:rsidRDefault="0028749D" w:rsidP="007F4C72">
      <w:pPr>
        <w:tabs>
          <w:tab w:val="left" w:pos="2880"/>
        </w:tabs>
        <w:ind w:left="72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7F4C72" w:rsidRDefault="0028749D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Reagents:</w:t>
      </w:r>
      <w:r>
        <w:rPr>
          <w:rFonts w:ascii="Arial" w:hAnsi="Arial"/>
          <w:sz w:val="24"/>
          <w:lang w:val="en-GB"/>
        </w:rPr>
        <w:tab/>
      </w:r>
      <w:r w:rsidR="007F4C72">
        <w:rPr>
          <w:rFonts w:ascii="Arial" w:hAnsi="Arial"/>
          <w:sz w:val="24"/>
          <w:lang w:val="en-GB"/>
        </w:rPr>
        <w:t>Anti-A series 1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Anti-B series 3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Anti-D series 4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Anti-D series 5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Monoclonal control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Reverse A1 and B cells</w:t>
      </w:r>
    </w:p>
    <w:p w:rsidR="00FA5142" w:rsidRDefault="00FA514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 LISS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CMT strips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Capture-R ready-Screen (3)</w:t>
      </w:r>
    </w:p>
    <w:p w:rsidR="007A49BB" w:rsidRDefault="007A49BB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Capture-R Indicator Cells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WB corQC</w:t>
      </w:r>
    </w:p>
    <w:p w:rsidR="007F4C72" w:rsidRDefault="007F4C72" w:rsidP="007F4C72">
      <w:pPr>
        <w:ind w:left="2880" w:hanging="216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ab/>
        <w:t>PHIX buffered saline</w:t>
      </w:r>
    </w:p>
    <w:p w:rsidR="007F4C72" w:rsidRDefault="007F4C72" w:rsidP="007F4C72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Quality Control</w:t>
      </w:r>
    </w:p>
    <w:p w:rsidR="000A1C15" w:rsidRDefault="000A1C15" w:rsidP="00880133">
      <w:pPr>
        <w:ind w:left="720"/>
        <w:rPr>
          <w:rFonts w:ascii="Arial" w:hAnsi="Arial"/>
          <w:sz w:val="24"/>
          <w:lang w:val="en-GB"/>
        </w:rPr>
      </w:pPr>
    </w:p>
    <w:p w:rsidR="0028749D" w:rsidRDefault="00744CF9" w:rsidP="00880133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Commercial QC – </w:t>
      </w:r>
      <w:r w:rsidR="007F4C72">
        <w:rPr>
          <w:rFonts w:ascii="Arial" w:hAnsi="Arial"/>
          <w:sz w:val="24"/>
          <w:lang w:val="en-GB"/>
        </w:rPr>
        <w:t>WB corQC</w:t>
      </w:r>
      <w:r w:rsidR="001E506E">
        <w:rPr>
          <w:rFonts w:ascii="Arial" w:hAnsi="Arial"/>
          <w:sz w:val="24"/>
          <w:lang w:val="en-GB"/>
        </w:rPr>
        <w:t xml:space="preserve"> is</w:t>
      </w:r>
      <w:r w:rsidR="0028749D">
        <w:rPr>
          <w:rFonts w:ascii="Arial" w:hAnsi="Arial"/>
          <w:sz w:val="24"/>
          <w:lang w:val="en-GB"/>
        </w:rPr>
        <w:t xml:space="preserve"> run daily.  Once accep</w:t>
      </w:r>
      <w:r w:rsidR="00354EF4">
        <w:rPr>
          <w:rFonts w:ascii="Arial" w:hAnsi="Arial"/>
          <w:sz w:val="24"/>
          <w:lang w:val="en-GB"/>
        </w:rPr>
        <w:t xml:space="preserve">ted as valid results, ABO/Rh(D), </w:t>
      </w:r>
      <w:r w:rsidR="0028749D">
        <w:rPr>
          <w:rFonts w:ascii="Arial" w:hAnsi="Arial"/>
          <w:sz w:val="24"/>
          <w:lang w:val="en-GB"/>
        </w:rPr>
        <w:t>3 cell screen</w:t>
      </w:r>
      <w:r w:rsidR="00354EF4">
        <w:rPr>
          <w:rFonts w:ascii="Arial" w:hAnsi="Arial"/>
          <w:sz w:val="24"/>
          <w:lang w:val="en-GB"/>
        </w:rPr>
        <w:t>, Ready-ID, Extend I and Extend II</w:t>
      </w:r>
      <w:r w:rsidR="007F4C72">
        <w:rPr>
          <w:rFonts w:ascii="Arial" w:hAnsi="Arial"/>
          <w:sz w:val="24"/>
          <w:lang w:val="en-GB"/>
        </w:rPr>
        <w:t xml:space="preserve"> </w:t>
      </w:r>
      <w:r w:rsidR="00354EF4">
        <w:rPr>
          <w:rFonts w:ascii="Arial" w:hAnsi="Arial"/>
          <w:sz w:val="24"/>
          <w:lang w:val="en-GB"/>
        </w:rPr>
        <w:t xml:space="preserve">may be performed </w:t>
      </w:r>
      <w:r w:rsidR="0028749D">
        <w:rPr>
          <w:rFonts w:ascii="Arial" w:hAnsi="Arial"/>
          <w:sz w:val="24"/>
          <w:lang w:val="en-GB"/>
        </w:rPr>
        <w:t>throughout the 24 hour control interval.</w:t>
      </w: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</w:p>
    <w:p w:rsidR="000A1C15" w:rsidRDefault="000A1C15">
      <w:pPr>
        <w:ind w:left="720"/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Procedure</w:t>
      </w:r>
    </w:p>
    <w:p w:rsidR="0028749D" w:rsidRDefault="0028749D">
      <w:pPr>
        <w:rPr>
          <w:rFonts w:ascii="Arial" w:hAnsi="Arial"/>
          <w:sz w:val="24"/>
          <w:lang w:val="en-GB"/>
        </w:rPr>
      </w:pP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Refer to “Performing a Run on </w:t>
      </w:r>
      <w:r w:rsidR="007F4C72">
        <w:rPr>
          <w:rFonts w:ascii="Arial" w:hAnsi="Arial"/>
          <w:sz w:val="24"/>
          <w:lang w:val="en-GB"/>
        </w:rPr>
        <w:t>the Echo</w:t>
      </w:r>
      <w:r>
        <w:rPr>
          <w:rFonts w:ascii="Arial" w:hAnsi="Arial"/>
          <w:sz w:val="24"/>
          <w:lang w:val="en-GB"/>
        </w:rPr>
        <w:t>”.</w:t>
      </w:r>
    </w:p>
    <w:p w:rsidR="001C732C" w:rsidRDefault="001C732C">
      <w:pPr>
        <w:ind w:left="720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Reporting</w:t>
      </w:r>
    </w:p>
    <w:p w:rsidR="0028749D" w:rsidRDefault="0028749D">
      <w:pPr>
        <w:jc w:val="both"/>
        <w:rPr>
          <w:rFonts w:ascii="Arial" w:hAnsi="Arial"/>
          <w:b/>
          <w:sz w:val="24"/>
          <w:lang w:val="en-GB"/>
        </w:rPr>
      </w:pPr>
    </w:p>
    <w:p w:rsidR="0028749D" w:rsidRDefault="0028749D">
      <w:pPr>
        <w:ind w:left="720"/>
        <w:jc w:val="both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Results are viewed and confirmed by the technologist operating the </w:t>
      </w:r>
      <w:r w:rsidR="007F4C72">
        <w:rPr>
          <w:rFonts w:ascii="Arial" w:hAnsi="Arial"/>
          <w:sz w:val="24"/>
          <w:lang w:val="en-GB"/>
        </w:rPr>
        <w:t>Echo</w:t>
      </w:r>
      <w:r>
        <w:rPr>
          <w:rFonts w:ascii="Arial" w:hAnsi="Arial"/>
          <w:sz w:val="24"/>
          <w:lang w:val="en-GB"/>
        </w:rPr>
        <w:t xml:space="preserve">.  The </w:t>
      </w:r>
      <w:r w:rsidR="007F4C72">
        <w:rPr>
          <w:rFonts w:ascii="Arial" w:hAnsi="Arial"/>
          <w:sz w:val="24"/>
          <w:lang w:val="en-GB"/>
        </w:rPr>
        <w:t>Echo</w:t>
      </w:r>
      <w:r>
        <w:rPr>
          <w:rFonts w:ascii="Arial" w:hAnsi="Arial"/>
          <w:sz w:val="24"/>
          <w:lang w:val="en-GB"/>
        </w:rPr>
        <w:t xml:space="preserve"> technologist shall </w:t>
      </w:r>
      <w:r w:rsidR="003C6B28">
        <w:rPr>
          <w:rFonts w:ascii="Arial" w:hAnsi="Arial"/>
          <w:sz w:val="24"/>
          <w:lang w:val="en-GB"/>
        </w:rPr>
        <w:t>approve and export the results to the LIS (Cerner)</w:t>
      </w:r>
      <w:r>
        <w:rPr>
          <w:rFonts w:ascii="Arial" w:hAnsi="Arial"/>
          <w:sz w:val="24"/>
          <w:lang w:val="en-GB"/>
        </w:rPr>
        <w:t xml:space="preserve">. </w:t>
      </w:r>
      <w:r w:rsidR="003C6B28">
        <w:rPr>
          <w:rFonts w:ascii="Arial" w:hAnsi="Arial"/>
          <w:sz w:val="24"/>
          <w:lang w:val="en-GB"/>
        </w:rPr>
        <w:t xml:space="preserve">The results are verified in the LIS. </w:t>
      </w:r>
      <w:r w:rsidR="001E506E">
        <w:rPr>
          <w:rFonts w:ascii="Arial" w:hAnsi="Arial"/>
          <w:sz w:val="24"/>
          <w:lang w:val="en-GB"/>
        </w:rPr>
        <w:t>The</w:t>
      </w:r>
      <w:r>
        <w:rPr>
          <w:rFonts w:ascii="Arial" w:hAnsi="Arial"/>
          <w:sz w:val="24"/>
          <w:lang w:val="en-GB"/>
        </w:rPr>
        <w:t xml:space="preserve"> specimens and requisitions are then given to the routine bench technologist to perform any further testing and to do the final check.</w:t>
      </w:r>
    </w:p>
    <w:p w:rsidR="0028749D" w:rsidRDefault="0028749D">
      <w:pPr>
        <w:jc w:val="both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Procedural Notes</w:t>
      </w:r>
    </w:p>
    <w:p w:rsidR="0052272A" w:rsidRPr="000F4C8A" w:rsidRDefault="0052272A" w:rsidP="0052272A">
      <w:pPr>
        <w:numPr>
          <w:ilvl w:val="1"/>
          <w:numId w:val="1"/>
        </w:numPr>
        <w:spacing w:before="240"/>
        <w:jc w:val="both"/>
        <w:rPr>
          <w:rFonts w:ascii="Arial" w:hAnsi="Arial"/>
          <w:b/>
          <w:sz w:val="24"/>
          <w:szCs w:val="24"/>
          <w:lang w:val="en-GB"/>
        </w:rPr>
      </w:pPr>
      <w:r w:rsidRPr="000F4C8A">
        <w:rPr>
          <w:rFonts w:ascii="Arial" w:hAnsi="Arial"/>
          <w:sz w:val="24"/>
          <w:szCs w:val="24"/>
          <w:lang w:val="en-GB"/>
        </w:rPr>
        <w:t>For every Group and Screen, the Echo will use one CMT strip and half a Capture-R Ready Screen (3) strips.</w:t>
      </w:r>
    </w:p>
    <w:p w:rsidR="000F4C8A" w:rsidRPr="000F4C8A" w:rsidRDefault="000F4C8A" w:rsidP="0052272A">
      <w:pPr>
        <w:numPr>
          <w:ilvl w:val="1"/>
          <w:numId w:val="1"/>
        </w:numPr>
        <w:spacing w:before="240"/>
        <w:jc w:val="both"/>
        <w:rPr>
          <w:rFonts w:ascii="Arial" w:hAnsi="Arial"/>
          <w:b/>
          <w:sz w:val="24"/>
          <w:szCs w:val="24"/>
          <w:lang w:val="en-GB"/>
        </w:rPr>
      </w:pPr>
      <w:r w:rsidRPr="000F4C8A">
        <w:rPr>
          <w:rFonts w:ascii="Arial" w:hAnsi="Arial"/>
          <w:sz w:val="24"/>
          <w:szCs w:val="24"/>
          <w:lang w:val="en-GB"/>
        </w:rPr>
        <w:t xml:space="preserve">Each half Capture-R Ready </w:t>
      </w:r>
      <w:r w:rsidR="00CB747E" w:rsidRPr="000F4C8A">
        <w:rPr>
          <w:rFonts w:ascii="Arial" w:hAnsi="Arial"/>
          <w:sz w:val="24"/>
          <w:szCs w:val="24"/>
          <w:lang w:val="en-GB"/>
        </w:rPr>
        <w:t>Screen (</w:t>
      </w:r>
      <w:r w:rsidRPr="000F4C8A">
        <w:rPr>
          <w:rFonts w:ascii="Arial" w:hAnsi="Arial"/>
          <w:sz w:val="24"/>
          <w:szCs w:val="24"/>
          <w:lang w:val="en-GB"/>
        </w:rPr>
        <w:t>3) strip has three screening cells and a positive control.</w:t>
      </w:r>
      <w:r>
        <w:rPr>
          <w:rFonts w:ascii="Arial" w:hAnsi="Arial"/>
          <w:sz w:val="24"/>
          <w:szCs w:val="24"/>
          <w:lang w:val="en-GB"/>
        </w:rPr>
        <w:t xml:space="preserve">  The strip control must pas</w:t>
      </w:r>
      <w:r w:rsidR="0079731F">
        <w:rPr>
          <w:rFonts w:ascii="Arial" w:hAnsi="Arial"/>
          <w:sz w:val="24"/>
          <w:szCs w:val="24"/>
          <w:lang w:val="en-GB"/>
        </w:rPr>
        <w:t>s</w:t>
      </w:r>
      <w:r>
        <w:rPr>
          <w:rFonts w:ascii="Arial" w:hAnsi="Arial"/>
          <w:sz w:val="24"/>
          <w:szCs w:val="24"/>
          <w:lang w:val="en-GB"/>
        </w:rPr>
        <w:t xml:space="preserve"> to validate the test.</w:t>
      </w:r>
    </w:p>
    <w:p w:rsidR="0052272A" w:rsidRPr="000F4C8A" w:rsidRDefault="0052272A" w:rsidP="0052272A">
      <w:pPr>
        <w:numPr>
          <w:ilvl w:val="1"/>
          <w:numId w:val="1"/>
        </w:numPr>
        <w:spacing w:before="240"/>
        <w:jc w:val="both"/>
        <w:rPr>
          <w:rFonts w:ascii="Arial" w:hAnsi="Arial"/>
          <w:b/>
          <w:sz w:val="24"/>
          <w:szCs w:val="24"/>
          <w:lang w:val="en-GB"/>
        </w:rPr>
      </w:pPr>
      <w:r w:rsidRPr="000F4C8A">
        <w:rPr>
          <w:rFonts w:ascii="Arial" w:hAnsi="Arial"/>
          <w:sz w:val="24"/>
          <w:szCs w:val="24"/>
          <w:lang w:val="en-GB"/>
        </w:rPr>
        <w:t>Partially used strips cannot be reused</w:t>
      </w:r>
    </w:p>
    <w:p w:rsidR="0052272A" w:rsidRPr="000F4C8A" w:rsidRDefault="0052272A" w:rsidP="0052272A">
      <w:pPr>
        <w:numPr>
          <w:ilvl w:val="1"/>
          <w:numId w:val="1"/>
        </w:numPr>
        <w:spacing w:before="240"/>
        <w:jc w:val="both"/>
        <w:rPr>
          <w:rFonts w:ascii="Arial" w:hAnsi="Arial"/>
          <w:b/>
          <w:sz w:val="24"/>
          <w:szCs w:val="24"/>
          <w:lang w:val="en-GB"/>
        </w:rPr>
      </w:pPr>
      <w:r w:rsidRPr="000F4C8A">
        <w:rPr>
          <w:rFonts w:ascii="Arial" w:hAnsi="Arial"/>
          <w:sz w:val="24"/>
          <w:szCs w:val="24"/>
          <w:lang w:val="en-GB"/>
        </w:rPr>
        <w:t>See “Performing a Run on the Echo”</w:t>
      </w:r>
    </w:p>
    <w:p w:rsidR="0028749D" w:rsidRDefault="0028749D">
      <w:pPr>
        <w:pStyle w:val="Header"/>
        <w:ind w:left="1440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0"/>
          <w:numId w:val="1"/>
        </w:numPr>
        <w:jc w:val="both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References</w:t>
      </w:r>
    </w:p>
    <w:p w:rsidR="0028749D" w:rsidRDefault="0028749D">
      <w:pPr>
        <w:rPr>
          <w:rFonts w:ascii="Arial" w:hAnsi="Arial"/>
          <w:lang w:val="en-GB"/>
        </w:rPr>
      </w:pPr>
    </w:p>
    <w:p w:rsidR="0028749D" w:rsidRDefault="00777E3B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Galileo </w:t>
      </w:r>
      <w:r w:rsidR="007F4C72">
        <w:rPr>
          <w:rFonts w:ascii="Arial" w:hAnsi="Arial"/>
          <w:sz w:val="24"/>
          <w:lang w:val="en-GB"/>
        </w:rPr>
        <w:t>Echo</w:t>
      </w:r>
      <w:r w:rsidR="0028749D">
        <w:rPr>
          <w:rFonts w:ascii="Arial" w:hAnsi="Arial"/>
          <w:sz w:val="24"/>
          <w:lang w:val="en-GB"/>
        </w:rPr>
        <w:t xml:space="preserve"> </w:t>
      </w:r>
      <w:r w:rsidR="00640C24">
        <w:rPr>
          <w:rFonts w:ascii="Arial" w:hAnsi="Arial"/>
          <w:sz w:val="24"/>
          <w:lang w:val="en-GB"/>
        </w:rPr>
        <w:t>Operator Manual</w:t>
      </w:r>
    </w:p>
    <w:p w:rsidR="0028749D" w:rsidRDefault="0028749D">
      <w:pPr>
        <w:ind w:left="720"/>
        <w:rPr>
          <w:rFonts w:ascii="Arial" w:hAnsi="Arial"/>
          <w:sz w:val="24"/>
          <w:lang w:val="en-GB"/>
        </w:rPr>
      </w:pPr>
    </w:p>
    <w:p w:rsidR="0028749D" w:rsidRDefault="0028749D">
      <w:pPr>
        <w:numPr>
          <w:ilvl w:val="1"/>
          <w:numId w:val="1"/>
        </w:num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SWIM manual</w:t>
      </w:r>
    </w:p>
    <w:sectPr w:rsidR="0028749D" w:rsidSect="000A1C15">
      <w:headerReference w:type="default" r:id="rId12"/>
      <w:type w:val="continuous"/>
      <w:pgSz w:w="12240" w:h="15840" w:code="1"/>
      <w:pgMar w:top="1482" w:right="1440" w:bottom="1080" w:left="1440" w:header="720" w:footer="283" w:gutter="0"/>
      <w:cols w:sep="1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D5E" w:rsidRDefault="00A63D5E">
      <w:r>
        <w:separator/>
      </w:r>
    </w:p>
  </w:endnote>
  <w:endnote w:type="continuationSeparator" w:id="0">
    <w:p w:rsidR="00A63D5E" w:rsidRDefault="00A6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Slab703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0A1C15" w:rsidTr="008F2BAE">
      <w:trPr>
        <w:trHeight w:val="720"/>
      </w:trPr>
      <w:tc>
        <w:tcPr>
          <w:tcW w:w="1368" w:type="dxa"/>
          <w:tcBorders>
            <w:top w:val="single" w:sz="4" w:space="0" w:color="auto"/>
          </w:tcBorders>
        </w:tcPr>
        <w:p w:rsidR="000A1C15" w:rsidRDefault="000A1C15" w:rsidP="008F2BAE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0A1C15" w:rsidRDefault="006659A1" w:rsidP="008F2BAE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2" name="Picture 2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tcBorders>
            <w:top w:val="single" w:sz="4" w:space="0" w:color="auto"/>
          </w:tcBorders>
        </w:tcPr>
        <w:p w:rsidR="000A1C15" w:rsidRDefault="000A1C15" w:rsidP="008F2BAE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0A1C15" w:rsidRPr="00560679" w:rsidRDefault="000A1C15" w:rsidP="008F2BAE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Ontario Regional Blood Coordinating Network</w:t>
          </w:r>
        </w:p>
        <w:p w:rsidR="000A1C15" w:rsidRPr="00560679" w:rsidRDefault="000A1C15" w:rsidP="008F2BAE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  <w:r w:rsidRPr="00560679">
            <w:rPr>
              <w:rFonts w:ascii="Arial" w:hAnsi="Arial"/>
              <w:sz w:val="18"/>
              <w:lang w:val="en-CA"/>
            </w:rPr>
            <w:t>Transfusion Technical Resource Manual</w:t>
          </w:r>
        </w:p>
        <w:p w:rsidR="000A1C15" w:rsidRPr="000A1C15" w:rsidRDefault="000A1C15" w:rsidP="008F2BAE">
          <w:pPr>
            <w:pStyle w:val="Footer"/>
            <w:jc w:val="center"/>
            <w:rPr>
              <w:rFonts w:ascii="Arial" w:hAnsi="Arial"/>
              <w:sz w:val="18"/>
              <w:lang w:val="en-CA"/>
            </w:rPr>
          </w:pPr>
        </w:p>
      </w:tc>
      <w:tc>
        <w:tcPr>
          <w:tcW w:w="1494" w:type="dxa"/>
          <w:tcBorders>
            <w:top w:val="single" w:sz="4" w:space="0" w:color="auto"/>
          </w:tcBorders>
        </w:tcPr>
        <w:p w:rsidR="000A1C15" w:rsidRPr="000A1C15" w:rsidRDefault="000A1C15" w:rsidP="008F2BAE">
          <w:pPr>
            <w:pStyle w:val="Footer"/>
            <w:jc w:val="right"/>
            <w:rPr>
              <w:rFonts w:ascii="Arial" w:hAnsi="Arial"/>
              <w:sz w:val="18"/>
              <w:lang w:val="en-CA"/>
            </w:rPr>
          </w:pPr>
        </w:p>
        <w:p w:rsidR="000A1C15" w:rsidRPr="00560679" w:rsidRDefault="000A1C15" w:rsidP="008F2BAE">
          <w:pPr>
            <w:pStyle w:val="Footer"/>
            <w:jc w:val="right"/>
            <w:rPr>
              <w:rFonts w:ascii="Arial" w:hAnsi="Arial"/>
              <w:sz w:val="16"/>
            </w:rPr>
          </w:pPr>
          <w:r w:rsidRPr="00560679">
            <w:rPr>
              <w:rFonts w:ascii="Arial" w:hAnsi="Arial" w:cs="Arial"/>
              <w:sz w:val="18"/>
            </w:rPr>
            <w:t>ECHO.00</w:t>
          </w:r>
          <w:r>
            <w:rPr>
              <w:rFonts w:ascii="Arial" w:hAnsi="Arial" w:cs="Arial"/>
              <w:sz w:val="18"/>
            </w:rPr>
            <w:t>4</w:t>
          </w:r>
          <w:r w:rsidRPr="00560679">
            <w:rPr>
              <w:rFonts w:ascii="Arial" w:hAnsi="Arial"/>
              <w:sz w:val="16"/>
            </w:rPr>
            <w:br/>
          </w:r>
        </w:p>
        <w:p w:rsidR="000A1C15" w:rsidRDefault="000A1C15" w:rsidP="008F2BAE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722F8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9722F8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0A1C15" w:rsidRPr="00560679" w:rsidRDefault="000A1C15" w:rsidP="000A1C15">
    <w:pPr>
      <w:pStyle w:val="Footer"/>
      <w:tabs>
        <w:tab w:val="clear" w:pos="8640"/>
        <w:tab w:val="right" w:pos="9356"/>
      </w:tabs>
      <w:rPr>
        <w:rFonts w:ascii="Arial" w:hAnsi="Arial" w:cs="Arial"/>
        <w:sz w:val="18"/>
        <w:lang w:val="en-CA"/>
      </w:rPr>
    </w:pPr>
    <w:r w:rsidRPr="00560679">
      <w:rPr>
        <w:lang w:val="en-CA"/>
      </w:rPr>
      <w:t xml:space="preserve">                                             </w:t>
    </w:r>
    <w:r>
      <w:rPr>
        <w:lang w:val="en-CA"/>
      </w:rPr>
      <w:t xml:space="preserve"> </w:t>
    </w:r>
    <w:r w:rsidRPr="00560679">
      <w:rPr>
        <w:lang w:val="en-CA"/>
      </w:rPr>
      <w:t xml:space="preserve"> </w:t>
    </w:r>
    <w:r w:rsidRPr="00560679">
      <w:rPr>
        <w:rFonts w:ascii="Arial" w:hAnsi="Arial" w:cs="Arial"/>
        <w:sz w:val="18"/>
        <w:lang w:val="en-CA"/>
      </w:rPr>
      <w:t xml:space="preserve">  Procedure Provided by: The Ottawa Hospital</w:t>
    </w:r>
  </w:p>
  <w:p w:rsidR="00D544FF" w:rsidRPr="000A1C15" w:rsidRDefault="00D544FF" w:rsidP="000A1C15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D5E" w:rsidRDefault="00A63D5E">
      <w:r>
        <w:separator/>
      </w:r>
    </w:p>
  </w:footnote>
  <w:footnote w:type="continuationSeparator" w:id="0">
    <w:p w:rsidR="00A63D5E" w:rsidRDefault="00A63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15" w:rsidRPr="00560679" w:rsidRDefault="006659A1" w:rsidP="000A1C15">
    <w:pPr>
      <w:pStyle w:val="Header"/>
      <w:rPr>
        <w:lang w:val="en-CA"/>
      </w:rPr>
    </w:pPr>
    <w:r>
      <w:rPr>
        <w:noProof/>
      </w:rPr>
      <w:drawing>
        <wp:inline distT="0" distB="0" distL="0" distR="0">
          <wp:extent cx="1133475" cy="457200"/>
          <wp:effectExtent l="0" t="0" r="0" b="0"/>
          <wp:docPr id="1" name="Picture 1" descr="ORBCoN 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BCoN 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1C15" w:rsidRPr="00560679">
      <w:rPr>
        <w:lang w:val="en-CA"/>
      </w:rPr>
      <w:t xml:space="preserve">           </w:t>
    </w:r>
  </w:p>
  <w:p w:rsidR="000A1C15" w:rsidRPr="00E93DA1" w:rsidRDefault="000A1C15" w:rsidP="000A1C15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Ontario Regional Blood Coordinating Network</w:t>
    </w:r>
  </w:p>
  <w:p w:rsidR="000A1C15" w:rsidRPr="00E93DA1" w:rsidRDefault="000A1C15" w:rsidP="000A1C15">
    <w:pPr>
      <w:pStyle w:val="Header"/>
      <w:jc w:val="center"/>
      <w:rPr>
        <w:rFonts w:ascii="Arial" w:hAnsi="Arial"/>
        <w:b/>
        <w:sz w:val="22"/>
        <w:szCs w:val="22"/>
        <w:lang w:val="en-US"/>
      </w:rPr>
    </w:pPr>
    <w:r w:rsidRPr="00E93DA1">
      <w:rPr>
        <w:rFonts w:ascii="Arial" w:hAnsi="Arial"/>
        <w:b/>
        <w:sz w:val="22"/>
        <w:szCs w:val="22"/>
        <w:lang w:val="en-US"/>
      </w:rPr>
      <w:t>Transfusion Technical Resource Manual</w:t>
    </w:r>
  </w:p>
  <w:p w:rsidR="000A1C15" w:rsidRDefault="000A1C15" w:rsidP="000A1C15">
    <w:pPr>
      <w:pStyle w:val="Header"/>
      <w:jc w:val="center"/>
      <w:rPr>
        <w:rFonts w:ascii="Arial" w:hAnsi="Arial"/>
        <w:b/>
        <w:sz w:val="24"/>
        <w:lang w:val="en-US"/>
      </w:rPr>
    </w:pPr>
  </w:p>
  <w:p w:rsidR="000A1C15" w:rsidRDefault="000A1C15" w:rsidP="000A1C15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Group and Screen</w:t>
    </w:r>
  </w:p>
  <w:p w:rsidR="000A1C15" w:rsidRDefault="000A1C15" w:rsidP="000A1C15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</w:p>
  <w:tbl>
    <w:tblPr>
      <w:tblW w:w="0" w:type="auto"/>
      <w:jc w:val="center"/>
      <w:tblBorders>
        <w:top w:val="single" w:sz="4" w:space="0" w:color="auto"/>
        <w:bottom w:val="single" w:sz="4" w:space="0" w:color="auto"/>
      </w:tblBorders>
      <w:tblLook w:val="0000" w:firstRow="0" w:lastRow="0" w:firstColumn="0" w:lastColumn="0" w:noHBand="0" w:noVBand="0"/>
    </w:tblPr>
    <w:tblGrid>
      <w:gridCol w:w="4428"/>
      <w:gridCol w:w="4428"/>
    </w:tblGrid>
    <w:tr w:rsidR="000A1C15" w:rsidTr="008F2BAE">
      <w:trPr>
        <w:jc w:val="center"/>
      </w:trPr>
      <w:tc>
        <w:tcPr>
          <w:tcW w:w="4428" w:type="dxa"/>
        </w:tcPr>
        <w:p w:rsidR="000A1C15" w:rsidRDefault="000A1C15" w:rsidP="008F2BAE">
          <w:pPr>
            <w:pStyle w:val="Header"/>
            <w:rPr>
              <w:rFonts w:ascii="Arial" w:hAnsi="Arial" w:cs="Arial"/>
            </w:rPr>
          </w:pPr>
        </w:p>
        <w:p w:rsidR="000A1C15" w:rsidRDefault="000A1C15" w:rsidP="008F2BAE">
          <w:pPr>
            <w:pStyle w:val="Header"/>
            <w:rPr>
              <w:rFonts w:ascii="Arial" w:hAnsi="Arial" w:cs="Arial"/>
              <w:kern w:val="24"/>
            </w:rPr>
          </w:pPr>
          <w:r w:rsidRPr="00E93DA1">
            <w:rPr>
              <w:rFonts w:ascii="Arial" w:hAnsi="Arial" w:cs="Arial"/>
              <w:lang w:val="en-CA"/>
            </w:rPr>
            <w:t>Approved</w:t>
          </w:r>
          <w:r>
            <w:rPr>
              <w:rFonts w:ascii="Arial" w:hAnsi="Arial" w:cs="Arial"/>
            </w:rPr>
            <w:t xml:space="preserve"> By:  </w:t>
          </w:r>
        </w:p>
      </w:tc>
      <w:tc>
        <w:tcPr>
          <w:tcW w:w="4428" w:type="dxa"/>
        </w:tcPr>
        <w:p w:rsidR="000A1C15" w:rsidRDefault="000A1C15" w:rsidP="008F2BAE">
          <w:pPr>
            <w:pStyle w:val="Header"/>
            <w:rPr>
              <w:rFonts w:ascii="Arial" w:hAnsi="Arial" w:cs="Arial"/>
            </w:rPr>
          </w:pPr>
        </w:p>
        <w:p w:rsidR="000A1C15" w:rsidRDefault="000A1C15" w:rsidP="008F2BAE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>Document No: ECHO.004</w:t>
          </w:r>
        </w:p>
      </w:tc>
    </w:tr>
    <w:tr w:rsidR="000A1C15" w:rsidRPr="00560679" w:rsidTr="008F2BAE">
      <w:trPr>
        <w:jc w:val="center"/>
      </w:trPr>
      <w:tc>
        <w:tcPr>
          <w:tcW w:w="4428" w:type="dxa"/>
        </w:tcPr>
        <w:p w:rsidR="000A1C15" w:rsidRDefault="000A1C15" w:rsidP="008F2BAE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Issued</w:t>
          </w:r>
          <w:r>
            <w:rPr>
              <w:rFonts w:ascii="Arial" w:hAnsi="Arial" w:cs="Arial"/>
            </w:rPr>
            <w:t>: 2010/11/09</w:t>
          </w:r>
        </w:p>
      </w:tc>
      <w:tc>
        <w:tcPr>
          <w:tcW w:w="4428" w:type="dxa"/>
        </w:tcPr>
        <w:p w:rsidR="000A1C15" w:rsidRPr="00560679" w:rsidRDefault="000A1C15" w:rsidP="008F2BAE">
          <w:pPr>
            <w:pStyle w:val="Header"/>
            <w:rPr>
              <w:rFonts w:ascii="Arial" w:hAnsi="Arial" w:cs="Arial"/>
              <w:kern w:val="24"/>
              <w:lang w:val="en-CA"/>
            </w:rPr>
          </w:pPr>
          <w:r w:rsidRPr="00E93DA1">
            <w:rPr>
              <w:rFonts w:ascii="Arial" w:hAnsi="Arial" w:cs="Arial"/>
              <w:lang w:val="en-CA"/>
            </w:rPr>
            <w:t>Category</w:t>
          </w:r>
          <w:r w:rsidRPr="00560679">
            <w:rPr>
              <w:rFonts w:ascii="Arial" w:hAnsi="Arial" w:cs="Arial"/>
              <w:lang w:val="en-CA"/>
            </w:rPr>
            <w:t xml:space="preserve">: Solid Phase </w:t>
          </w:r>
          <w:r w:rsidRPr="00E93DA1">
            <w:rPr>
              <w:rFonts w:ascii="Arial" w:hAnsi="Arial" w:cs="Arial"/>
              <w:lang w:val="en-CA"/>
            </w:rPr>
            <w:t>Methods</w:t>
          </w:r>
          <w:r w:rsidRPr="00560679">
            <w:rPr>
              <w:rFonts w:ascii="Arial" w:hAnsi="Arial" w:cs="Arial"/>
              <w:lang w:val="en-CA"/>
            </w:rPr>
            <w:t xml:space="preserve">- </w:t>
          </w:r>
          <w:r w:rsidRPr="00E93DA1">
            <w:rPr>
              <w:rFonts w:ascii="Arial" w:hAnsi="Arial" w:cs="Arial"/>
              <w:lang w:val="en-CA"/>
            </w:rPr>
            <w:t>Echo</w:t>
          </w:r>
        </w:p>
      </w:tc>
    </w:tr>
    <w:tr w:rsidR="000A1C15" w:rsidTr="008F2BAE">
      <w:trPr>
        <w:jc w:val="center"/>
      </w:trPr>
      <w:tc>
        <w:tcPr>
          <w:tcW w:w="4428" w:type="dxa"/>
        </w:tcPr>
        <w:p w:rsidR="000A1C15" w:rsidRDefault="000A1C15" w:rsidP="008F2BAE">
          <w:pPr>
            <w:pStyle w:val="Header"/>
            <w:rPr>
              <w:rFonts w:ascii="Arial" w:hAnsi="Arial" w:cs="Arial"/>
              <w:kern w:val="24"/>
            </w:rPr>
          </w:pPr>
          <w:r>
            <w:rPr>
              <w:rFonts w:ascii="Arial" w:hAnsi="Arial" w:cs="Arial"/>
            </w:rPr>
            <w:t xml:space="preserve">Date </w:t>
          </w:r>
          <w:r w:rsidRPr="00510DE6">
            <w:rPr>
              <w:rFonts w:ascii="Arial" w:hAnsi="Arial" w:cs="Arial"/>
              <w:lang w:val="en-CA"/>
            </w:rPr>
            <w:t>Revised</w:t>
          </w:r>
          <w:r>
            <w:rPr>
              <w:rFonts w:ascii="Arial" w:hAnsi="Arial" w:cs="Arial"/>
            </w:rPr>
            <w:t>: 2014/06/25</w:t>
          </w:r>
        </w:p>
      </w:tc>
      <w:tc>
        <w:tcPr>
          <w:tcW w:w="4428" w:type="dxa"/>
        </w:tcPr>
        <w:p w:rsidR="000A1C15" w:rsidRDefault="000A1C15" w:rsidP="008F2BAE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9722F8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9722F8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  <w:p w:rsidR="000A1C15" w:rsidRDefault="000A1C15" w:rsidP="008F2BAE">
          <w:pPr>
            <w:pStyle w:val="Header"/>
            <w:rPr>
              <w:rFonts w:ascii="Arial" w:hAnsi="Arial" w:cs="Arial"/>
              <w:kern w:val="24"/>
            </w:rPr>
          </w:pPr>
        </w:p>
      </w:tc>
    </w:tr>
  </w:tbl>
  <w:p w:rsidR="00D544FF" w:rsidRDefault="00D544FF">
    <w:pPr>
      <w:pStyle w:val="Header"/>
      <w:shd w:val="clear" w:color="auto" w:fill="FFFFFF"/>
      <w:jc w:val="center"/>
      <w:rPr>
        <w:rFonts w:ascii="Arial" w:hAnsi="Arial"/>
        <w:b/>
        <w:sz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15" w:rsidRDefault="000A1C15" w:rsidP="000A1C15">
    <w:pPr>
      <w:pStyle w:val="Header"/>
      <w:tabs>
        <w:tab w:val="center" w:pos="4680"/>
        <w:tab w:val="left" w:pos="8100"/>
      </w:tabs>
      <w:jc w:val="center"/>
      <w:rPr>
        <w:rFonts w:ascii="Arial" w:hAnsi="Arial"/>
        <w:b/>
        <w:sz w:val="28"/>
        <w:lang w:val="en-US"/>
      </w:rPr>
    </w:pPr>
    <w:r>
      <w:rPr>
        <w:rFonts w:ascii="Arial" w:hAnsi="Arial"/>
        <w:b/>
        <w:sz w:val="28"/>
        <w:lang w:val="en-US"/>
      </w:rPr>
      <w:t>Group and Screen</w:t>
    </w:r>
  </w:p>
  <w:p w:rsidR="00D544FF" w:rsidRPr="000A1C15" w:rsidRDefault="00D544FF" w:rsidP="000A1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67BF1"/>
    <w:multiLevelType w:val="multilevel"/>
    <w:tmpl w:val="70305DA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4D"/>
    <w:rsid w:val="00072C4A"/>
    <w:rsid w:val="000A1C15"/>
    <w:rsid w:val="000F4C8A"/>
    <w:rsid w:val="00100823"/>
    <w:rsid w:val="001C732C"/>
    <w:rsid w:val="001E506E"/>
    <w:rsid w:val="0028749D"/>
    <w:rsid w:val="00290714"/>
    <w:rsid w:val="00295286"/>
    <w:rsid w:val="002B5901"/>
    <w:rsid w:val="00354EF4"/>
    <w:rsid w:val="0037344D"/>
    <w:rsid w:val="003A772E"/>
    <w:rsid w:val="003C6B28"/>
    <w:rsid w:val="004217A1"/>
    <w:rsid w:val="00432F38"/>
    <w:rsid w:val="00440EAA"/>
    <w:rsid w:val="00476998"/>
    <w:rsid w:val="004C5BDF"/>
    <w:rsid w:val="004D0592"/>
    <w:rsid w:val="0052272A"/>
    <w:rsid w:val="00530880"/>
    <w:rsid w:val="00606838"/>
    <w:rsid w:val="00615A97"/>
    <w:rsid w:val="00616DD1"/>
    <w:rsid w:val="00640C24"/>
    <w:rsid w:val="00645388"/>
    <w:rsid w:val="006659A1"/>
    <w:rsid w:val="006F18ED"/>
    <w:rsid w:val="00744CF9"/>
    <w:rsid w:val="00777E3B"/>
    <w:rsid w:val="007836A0"/>
    <w:rsid w:val="0079731F"/>
    <w:rsid w:val="007A49BB"/>
    <w:rsid w:val="007F4ABF"/>
    <w:rsid w:val="007F4C72"/>
    <w:rsid w:val="0081100E"/>
    <w:rsid w:val="00822E06"/>
    <w:rsid w:val="00880133"/>
    <w:rsid w:val="00892A31"/>
    <w:rsid w:val="00893302"/>
    <w:rsid w:val="008F2BAE"/>
    <w:rsid w:val="009230CC"/>
    <w:rsid w:val="009246AD"/>
    <w:rsid w:val="00927B89"/>
    <w:rsid w:val="009722F8"/>
    <w:rsid w:val="009857B8"/>
    <w:rsid w:val="009C7D6B"/>
    <w:rsid w:val="00A1179F"/>
    <w:rsid w:val="00A63D5E"/>
    <w:rsid w:val="00A751CE"/>
    <w:rsid w:val="00AE729A"/>
    <w:rsid w:val="00B278E6"/>
    <w:rsid w:val="00C02E88"/>
    <w:rsid w:val="00C45EFA"/>
    <w:rsid w:val="00C53D9D"/>
    <w:rsid w:val="00C876A6"/>
    <w:rsid w:val="00CA227F"/>
    <w:rsid w:val="00CB747E"/>
    <w:rsid w:val="00CE4A07"/>
    <w:rsid w:val="00D544FF"/>
    <w:rsid w:val="00D90A45"/>
    <w:rsid w:val="00E17E26"/>
    <w:rsid w:val="00E17F40"/>
    <w:rsid w:val="00EF0989"/>
    <w:rsid w:val="00F36D58"/>
    <w:rsid w:val="00F83738"/>
    <w:rsid w:val="00FA5142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2412CC-0B08-4F3F-961B-7E8DF05E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fr-CA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426" w:hanging="142"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2" w:color="auto"/>
      </w:pBdr>
      <w:tabs>
        <w:tab w:val="left" w:pos="4608"/>
        <w:tab w:val="left" w:pos="9738"/>
      </w:tabs>
      <w:ind w:left="-162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5040"/>
      </w:tabs>
      <w:outlineLvl w:val="4"/>
    </w:pPr>
    <w:rPr>
      <w:b/>
      <w:bCs/>
      <w:sz w:val="22"/>
      <w:lang w:val="en-GB"/>
    </w:rPr>
  </w:style>
  <w:style w:type="paragraph" w:styleId="Heading6">
    <w:name w:val="heading 6"/>
    <w:basedOn w:val="Normal"/>
    <w:next w:val="Normal"/>
    <w:qFormat/>
    <w:pPr>
      <w:keepNext/>
      <w:ind w:left="288"/>
      <w:jc w:val="center"/>
      <w:outlineLvl w:val="5"/>
    </w:pPr>
    <w:rPr>
      <w:rFonts w:ascii="Arial" w:hAnsi="Arial"/>
      <w:b/>
      <w:lang w:val="en-US"/>
    </w:rPr>
  </w:style>
  <w:style w:type="paragraph" w:styleId="Heading7">
    <w:name w:val="heading 7"/>
    <w:basedOn w:val="Normal"/>
    <w:next w:val="Normal"/>
    <w:qFormat/>
    <w:pPr>
      <w:keepNext/>
      <w:ind w:left="2880" w:hanging="2160"/>
      <w:jc w:val="both"/>
      <w:outlineLvl w:val="6"/>
    </w:pPr>
    <w:rPr>
      <w:rFonts w:ascii="Arial" w:hAnsi="Arial" w:cs="Arial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ind w:left="2880" w:firstLine="720"/>
      <w:jc w:val="both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ind w:left="2880"/>
      <w:jc w:val="both"/>
      <w:outlineLvl w:val="8"/>
    </w:pPr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 w:val="0"/>
      <w:tabs>
        <w:tab w:val="left" w:pos="720"/>
        <w:tab w:val="left" w:pos="1500"/>
        <w:tab w:val="left" w:pos="5040"/>
      </w:tabs>
    </w:pPr>
    <w:rPr>
      <w:rFonts w:ascii="GeoSlab703 Lt BT" w:hAnsi="GeoSlab703 Lt BT"/>
      <w:snapToGrid w:val="0"/>
      <w:sz w:val="22"/>
      <w:lang w:val="en-GB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 w:hanging="360"/>
    </w:pPr>
    <w:rPr>
      <w:b/>
      <w:lang w:val="en-GB"/>
    </w:rPr>
  </w:style>
  <w:style w:type="paragraph" w:styleId="BodyTextIndent2">
    <w:name w:val="Body Text Indent 2"/>
    <w:basedOn w:val="Normal"/>
    <w:pPr>
      <w:ind w:left="426" w:hanging="142"/>
    </w:pPr>
    <w:rPr>
      <w:rFonts w:ascii="Arial" w:hAnsi="Arial"/>
      <w:lang w:val="en-US"/>
    </w:rPr>
  </w:style>
  <w:style w:type="paragraph" w:styleId="BodyTextIndent3">
    <w:name w:val="Body Text Indent 3"/>
    <w:basedOn w:val="Normal"/>
    <w:pPr>
      <w:ind w:left="716" w:hanging="432"/>
    </w:pPr>
    <w:rPr>
      <w:rFonts w:ascii="Arial" w:hAnsi="Arial"/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paragraph" w:styleId="BlockText">
    <w:name w:val="Block Text"/>
    <w:basedOn w:val="Normal"/>
    <w:pPr>
      <w:suppressAutoHyphens/>
      <w:ind w:left="720" w:right="720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sz w:val="32"/>
      <w:lang w:val="en-US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4"/>
      <w:lang w:val="en-GB"/>
    </w:rPr>
  </w:style>
  <w:style w:type="character" w:customStyle="1" w:styleId="HeaderChar">
    <w:name w:val="Header Char"/>
    <w:link w:val="Header"/>
    <w:rsid w:val="000A1C15"/>
    <w:rPr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50ED5F7C4A14EB88FF1DE55660ED7" ma:contentTypeVersion="3" ma:contentTypeDescription="Create a new document." ma:contentTypeScope="" ma:versionID="38b714e871eb4a31375108c5d61559b4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c3a6e286a453d19b5462bb27c6bb9aeb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88A6B-DFAD-4E72-9FF3-E93BDD8CA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893F03-D4B3-413F-8078-0AA52CBC1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D6701-8178-4C7B-AE27-BBC41B7FD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maddock</dc:creator>
  <cp:keywords/>
  <cp:lastModifiedBy>Nesrallah, Heather</cp:lastModifiedBy>
  <cp:revision>2</cp:revision>
  <cp:lastPrinted>2008-01-25T19:11:00Z</cp:lastPrinted>
  <dcterms:created xsi:type="dcterms:W3CDTF">2020-08-10T20:12:00Z</dcterms:created>
  <dcterms:modified xsi:type="dcterms:W3CDTF">2020-08-10T20:12:00Z</dcterms:modified>
</cp:coreProperties>
</file>