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271" w:rsidRPr="000D1B83" w:rsidRDefault="00D8472A">
      <w:pPr>
        <w:numPr>
          <w:ilvl w:val="0"/>
          <w:numId w:val="1"/>
        </w:numPr>
        <w:rPr>
          <w:rFonts w:ascii="Arial" w:hAnsi="Arial"/>
          <w:b/>
          <w:sz w:val="28"/>
          <w:lang w:val="fr-CA"/>
        </w:rPr>
      </w:pPr>
      <w:bookmarkStart w:id="0" w:name="_GoBack"/>
      <w:bookmarkEnd w:id="0"/>
      <w:r w:rsidRPr="000D1B83">
        <w:rPr>
          <w:rFonts w:ascii="Arial" w:hAnsi="Arial"/>
          <w:b/>
          <w:sz w:val="28"/>
          <w:lang w:val="fr-CA"/>
        </w:rPr>
        <w:t>Principe</w:t>
      </w:r>
    </w:p>
    <w:p w:rsidR="00F54271" w:rsidRPr="000D1B83" w:rsidRDefault="00F54271">
      <w:pPr>
        <w:rPr>
          <w:rFonts w:ascii="Arial" w:hAnsi="Arial"/>
          <w:sz w:val="24"/>
          <w:lang w:val="fr-CA"/>
        </w:rPr>
      </w:pPr>
    </w:p>
    <w:p w:rsidR="00F54271" w:rsidRPr="000D1B83" w:rsidRDefault="004F4C14">
      <w:pPr>
        <w:ind w:left="720"/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>Pour r</w:t>
      </w:r>
      <w:r w:rsidR="00005205" w:rsidRPr="000D1B83">
        <w:rPr>
          <w:rFonts w:ascii="Arial" w:hAnsi="Arial"/>
          <w:sz w:val="24"/>
          <w:lang w:val="fr-CA"/>
        </w:rPr>
        <w:t xml:space="preserve">etirer les anticorps des </w:t>
      </w:r>
      <w:r w:rsidR="00D8472A" w:rsidRPr="000D1B83">
        <w:rPr>
          <w:rFonts w:ascii="Arial" w:hAnsi="Arial"/>
          <w:sz w:val="24"/>
          <w:lang w:val="fr-CA"/>
        </w:rPr>
        <w:t xml:space="preserve">globules rouges </w:t>
      </w:r>
      <w:r w:rsidR="00005205" w:rsidRPr="000D1B83">
        <w:rPr>
          <w:rFonts w:ascii="Arial" w:hAnsi="Arial"/>
          <w:sz w:val="24"/>
          <w:lang w:val="fr-CA"/>
        </w:rPr>
        <w:t xml:space="preserve">qui en sont </w:t>
      </w:r>
      <w:r w:rsidR="00D8472A" w:rsidRPr="000D1B83">
        <w:rPr>
          <w:rFonts w:ascii="Arial" w:hAnsi="Arial"/>
          <w:sz w:val="24"/>
          <w:lang w:val="fr-CA"/>
        </w:rPr>
        <w:t>recouverts</w:t>
      </w:r>
      <w:r w:rsidR="00F54271" w:rsidRPr="000D1B83">
        <w:rPr>
          <w:rFonts w:ascii="Arial" w:hAnsi="Arial"/>
          <w:sz w:val="24"/>
          <w:lang w:val="fr-CA"/>
        </w:rPr>
        <w:t>.</w:t>
      </w:r>
    </w:p>
    <w:p w:rsidR="00F54271" w:rsidRPr="000D1B83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907075" w:rsidRDefault="000D1B83">
      <w:pPr>
        <w:ind w:left="720"/>
        <w:rPr>
          <w:rFonts w:ascii="Arial" w:hAnsi="Arial"/>
          <w:sz w:val="24"/>
          <w:lang w:val="fr-CA"/>
        </w:rPr>
      </w:pPr>
      <w:r w:rsidRPr="000D1B83">
        <w:rPr>
          <w:rFonts w:ascii="Arial" w:hAnsi="Arial"/>
          <w:sz w:val="24"/>
          <w:lang w:val="fr-CA"/>
        </w:rPr>
        <w:t>Les globules rouges recouverts d’anticorps sont bien lavés pour en retirer les protéines non fixées à l’aide d’une solution de lavage spéciale qui préserve le lien des anticorps recouvrant les cellules.</w:t>
      </w:r>
      <w:r w:rsidR="00F54271" w:rsidRPr="000D1B83">
        <w:rPr>
          <w:rFonts w:ascii="Arial" w:hAnsi="Arial"/>
          <w:sz w:val="24"/>
          <w:lang w:val="fr-CA"/>
        </w:rPr>
        <w:t xml:space="preserve"> </w:t>
      </w:r>
      <w:r w:rsidRPr="000D1B83">
        <w:rPr>
          <w:rFonts w:ascii="Arial" w:hAnsi="Arial"/>
          <w:sz w:val="24"/>
          <w:lang w:val="fr-CA"/>
        </w:rPr>
        <w:t>Les cellules lavées sont ensuite mises en suspension dans une solution ayant un faible</w:t>
      </w:r>
      <w:r w:rsidR="00821874">
        <w:rPr>
          <w:rFonts w:ascii="Arial" w:hAnsi="Arial"/>
          <w:sz w:val="24"/>
          <w:lang w:val="fr-CA"/>
        </w:rPr>
        <w:t xml:space="preserve"> </w:t>
      </w:r>
      <w:r w:rsidRPr="000D1B83">
        <w:rPr>
          <w:rFonts w:ascii="Arial" w:hAnsi="Arial"/>
          <w:sz w:val="24"/>
          <w:lang w:val="fr-CA"/>
        </w:rPr>
        <w:t xml:space="preserve">pH </w:t>
      </w:r>
      <w:r w:rsidR="00F54271" w:rsidRPr="000D1B83">
        <w:rPr>
          <w:rFonts w:ascii="Arial" w:hAnsi="Arial"/>
          <w:sz w:val="24"/>
          <w:lang w:val="fr-CA"/>
        </w:rPr>
        <w:t>(</w:t>
      </w:r>
      <w:r w:rsidRPr="000D1B83">
        <w:rPr>
          <w:rFonts w:ascii="Arial" w:hAnsi="Arial"/>
          <w:sz w:val="24"/>
          <w:lang w:val="fr-CA"/>
        </w:rPr>
        <w:t>solution acide d’élution</w:t>
      </w:r>
      <w:r w:rsidR="00F54271" w:rsidRPr="000D1B83">
        <w:rPr>
          <w:rFonts w:ascii="Arial" w:hAnsi="Arial"/>
          <w:sz w:val="24"/>
          <w:lang w:val="fr-CA"/>
        </w:rPr>
        <w:t xml:space="preserve">) </w:t>
      </w:r>
      <w:r w:rsidRPr="000D1B83">
        <w:rPr>
          <w:rFonts w:ascii="Arial" w:hAnsi="Arial"/>
          <w:sz w:val="24"/>
          <w:lang w:val="fr-CA"/>
        </w:rPr>
        <w:t>afin de dissocier les anticorps fixés aux cellules. Après centrifugation</w:t>
      </w:r>
      <w:r w:rsidR="005C5F98">
        <w:rPr>
          <w:rFonts w:ascii="Arial" w:hAnsi="Arial"/>
          <w:sz w:val="24"/>
          <w:lang w:val="fr-CA"/>
        </w:rPr>
        <w:t>,</w:t>
      </w:r>
      <w:r w:rsidRPr="000D1B83">
        <w:rPr>
          <w:rFonts w:ascii="Arial" w:hAnsi="Arial"/>
          <w:sz w:val="24"/>
          <w:lang w:val="fr-CA"/>
        </w:rPr>
        <w:t xml:space="preserve"> le surnageant contenant tout anticorps dissocié est séparé des globules rouges et tamponné par l’addition d’une solution tampon basique. L’éluat est alors prêt à servir à toute épreuve de </w:t>
      </w:r>
      <w:r w:rsidRPr="00907075">
        <w:rPr>
          <w:rFonts w:ascii="Arial" w:hAnsi="Arial"/>
          <w:sz w:val="24"/>
          <w:lang w:val="fr-CA"/>
        </w:rPr>
        <w:t>dépistage ou d’identification d’anticorps</w:t>
      </w:r>
      <w:r w:rsidR="00F54271" w:rsidRPr="00907075">
        <w:rPr>
          <w:rFonts w:ascii="Arial" w:hAnsi="Arial"/>
          <w:sz w:val="24"/>
          <w:lang w:val="fr-CA"/>
        </w:rPr>
        <w:t>.</w:t>
      </w:r>
    </w:p>
    <w:p w:rsidR="00F54271" w:rsidRPr="00907075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907075" w:rsidRDefault="00D8472A">
      <w:pPr>
        <w:numPr>
          <w:ilvl w:val="0"/>
          <w:numId w:val="1"/>
        </w:numPr>
        <w:rPr>
          <w:rFonts w:ascii="Arial" w:hAnsi="Arial"/>
          <w:b/>
          <w:sz w:val="28"/>
          <w:lang w:val="fr-CA"/>
        </w:rPr>
      </w:pPr>
      <w:r w:rsidRPr="00907075">
        <w:rPr>
          <w:rFonts w:ascii="Arial" w:hAnsi="Arial"/>
          <w:b/>
          <w:sz w:val="28"/>
          <w:lang w:val="fr-CA"/>
        </w:rPr>
        <w:t>Portée et politiques connexes</w:t>
      </w:r>
    </w:p>
    <w:p w:rsidR="00F54271" w:rsidRPr="00907075" w:rsidRDefault="00F54271">
      <w:pPr>
        <w:rPr>
          <w:rFonts w:ascii="Arial" w:hAnsi="Arial"/>
          <w:sz w:val="24"/>
          <w:lang w:val="fr-CA"/>
        </w:rPr>
      </w:pPr>
    </w:p>
    <w:p w:rsidR="00F54271" w:rsidRPr="00907075" w:rsidRDefault="00907075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907075">
        <w:rPr>
          <w:rFonts w:ascii="Arial" w:hAnsi="Arial"/>
          <w:sz w:val="24"/>
          <w:lang w:val="fr-CA"/>
        </w:rPr>
        <w:t>Pour les patients chez qui des anticorps cliniquement significatifs ont été identifiés antérieurement, on procédera à une identification visant à exclure tout nouvel anticorps</w:t>
      </w:r>
      <w:r w:rsidR="00F54271" w:rsidRPr="00907075">
        <w:rPr>
          <w:rFonts w:ascii="Arial" w:hAnsi="Arial"/>
          <w:sz w:val="24"/>
          <w:lang w:val="fr-CA"/>
        </w:rPr>
        <w:t>.</w:t>
      </w:r>
    </w:p>
    <w:p w:rsidR="00F54271" w:rsidRPr="00907075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907075" w:rsidRDefault="00D8472A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907075">
        <w:rPr>
          <w:rFonts w:ascii="Arial" w:hAnsi="Arial"/>
          <w:sz w:val="24"/>
          <w:lang w:val="fr-CA"/>
        </w:rPr>
        <w:t>Tous les réactifs doivent être utilisés et vérifiés conformément aux recommandations et aux procédures du fournisseur</w:t>
      </w:r>
      <w:r w:rsidRPr="00907075">
        <w:rPr>
          <w:rFonts w:ascii="Arial" w:hAnsi="Arial"/>
          <w:sz w:val="24"/>
          <w:vertAlign w:val="superscript"/>
          <w:lang w:val="fr-CA"/>
        </w:rPr>
        <w:t>9.1</w:t>
      </w:r>
      <w:r w:rsidRPr="00907075">
        <w:rPr>
          <w:rFonts w:ascii="Arial" w:hAnsi="Arial"/>
          <w:sz w:val="24"/>
          <w:lang w:val="fr-CA"/>
        </w:rPr>
        <w:t>.</w:t>
      </w:r>
    </w:p>
    <w:p w:rsidR="00F54271" w:rsidRPr="00907075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907075" w:rsidRDefault="00907075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907075">
        <w:rPr>
          <w:rFonts w:ascii="Arial" w:hAnsi="Arial"/>
          <w:sz w:val="24"/>
          <w:lang w:val="fr-CA"/>
        </w:rPr>
        <w:t>L’élution doit être faite conformément à la procédure EC.005 - Investigation d'un test direct à l'antiglobuline positif (TDA)</w:t>
      </w:r>
      <w:r w:rsidR="00F54271" w:rsidRPr="00907075">
        <w:rPr>
          <w:rFonts w:ascii="Arial" w:hAnsi="Arial"/>
          <w:sz w:val="24"/>
          <w:lang w:val="fr-CA"/>
        </w:rPr>
        <w:t>.</w:t>
      </w:r>
    </w:p>
    <w:p w:rsidR="00F54271" w:rsidRPr="00907075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907075" w:rsidRDefault="00907075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907075">
        <w:rPr>
          <w:rFonts w:ascii="Arial" w:hAnsi="Arial"/>
          <w:sz w:val="24"/>
          <w:lang w:val="fr-CA"/>
        </w:rPr>
        <w:t xml:space="preserve">Une élution peut être utile dans les circonstances suivantes : </w:t>
      </w:r>
    </w:p>
    <w:p w:rsidR="00F54271" w:rsidRPr="00907075" w:rsidRDefault="00907075" w:rsidP="001771FB">
      <w:pPr>
        <w:numPr>
          <w:ilvl w:val="3"/>
          <w:numId w:val="8"/>
        </w:numPr>
        <w:rPr>
          <w:rFonts w:ascii="Arial" w:hAnsi="Arial"/>
          <w:sz w:val="24"/>
          <w:lang w:val="fr-CA"/>
        </w:rPr>
      </w:pPr>
      <w:r w:rsidRPr="00907075">
        <w:rPr>
          <w:rFonts w:ascii="Arial" w:hAnsi="Arial"/>
          <w:sz w:val="24"/>
          <w:lang w:val="fr-CA"/>
        </w:rPr>
        <w:t>Pour investiguer un soupçon de réaction transfusionnelle tardive</w:t>
      </w:r>
      <w:r w:rsidR="00F54271" w:rsidRPr="00907075">
        <w:rPr>
          <w:rFonts w:ascii="Arial" w:hAnsi="Arial"/>
          <w:sz w:val="24"/>
          <w:lang w:val="fr-CA"/>
        </w:rPr>
        <w:t>.</w:t>
      </w:r>
    </w:p>
    <w:p w:rsidR="00F54271" w:rsidRPr="00907075" w:rsidRDefault="00907075" w:rsidP="001771FB">
      <w:pPr>
        <w:numPr>
          <w:ilvl w:val="3"/>
          <w:numId w:val="8"/>
        </w:numPr>
        <w:rPr>
          <w:rFonts w:ascii="Arial" w:hAnsi="Arial"/>
          <w:sz w:val="24"/>
          <w:lang w:val="fr-CA"/>
        </w:rPr>
      </w:pPr>
      <w:r w:rsidRPr="00907075">
        <w:rPr>
          <w:rFonts w:ascii="Arial" w:hAnsi="Arial"/>
          <w:sz w:val="24"/>
          <w:lang w:val="fr-CA"/>
        </w:rPr>
        <w:t>Pour investiguer une incompatibilité fœto-maternelle, y compris de groupe A</w:t>
      </w:r>
      <w:r w:rsidR="00F54271" w:rsidRPr="00907075">
        <w:rPr>
          <w:rFonts w:ascii="Arial" w:hAnsi="Arial"/>
          <w:sz w:val="24"/>
          <w:lang w:val="fr-CA"/>
        </w:rPr>
        <w:t>BO.</w:t>
      </w:r>
    </w:p>
    <w:p w:rsidR="00F54271" w:rsidRPr="00907075" w:rsidRDefault="00907075" w:rsidP="001771FB">
      <w:pPr>
        <w:numPr>
          <w:ilvl w:val="3"/>
          <w:numId w:val="8"/>
        </w:numPr>
        <w:rPr>
          <w:rFonts w:ascii="Arial" w:hAnsi="Arial"/>
          <w:sz w:val="24"/>
          <w:lang w:val="fr-CA"/>
        </w:rPr>
      </w:pPr>
      <w:r w:rsidRPr="00907075">
        <w:rPr>
          <w:rFonts w:ascii="Arial" w:hAnsi="Arial"/>
          <w:sz w:val="24"/>
          <w:lang w:val="fr-CA"/>
        </w:rPr>
        <w:t>Pour investiguer un phénomène d’origine médicamenteuse</w:t>
      </w:r>
      <w:r w:rsidR="00F54271" w:rsidRPr="00907075">
        <w:rPr>
          <w:rFonts w:ascii="Arial" w:hAnsi="Arial"/>
          <w:sz w:val="24"/>
          <w:lang w:val="fr-CA"/>
        </w:rPr>
        <w:t>.</w:t>
      </w:r>
    </w:p>
    <w:p w:rsidR="00F54271" w:rsidRPr="00907075" w:rsidRDefault="00907075" w:rsidP="001771FB">
      <w:pPr>
        <w:numPr>
          <w:ilvl w:val="3"/>
          <w:numId w:val="8"/>
        </w:numPr>
        <w:rPr>
          <w:rFonts w:ascii="Arial" w:hAnsi="Arial"/>
          <w:sz w:val="24"/>
          <w:lang w:val="fr-CA"/>
        </w:rPr>
      </w:pPr>
      <w:r w:rsidRPr="00907075">
        <w:rPr>
          <w:rFonts w:ascii="Arial" w:hAnsi="Arial"/>
          <w:sz w:val="24"/>
          <w:lang w:val="fr-CA"/>
        </w:rPr>
        <w:t xml:space="preserve">Pour reconnaître les spécificités de multiples anticorps </w:t>
      </w:r>
      <w:r w:rsidR="005C5F98">
        <w:rPr>
          <w:rFonts w:ascii="Arial" w:hAnsi="Arial"/>
          <w:sz w:val="24"/>
          <w:lang w:val="fr-CA"/>
        </w:rPr>
        <w:t xml:space="preserve">qui se trouvent </w:t>
      </w:r>
      <w:r w:rsidRPr="00907075">
        <w:rPr>
          <w:rFonts w:ascii="Arial" w:hAnsi="Arial"/>
          <w:sz w:val="24"/>
          <w:lang w:val="fr-CA"/>
        </w:rPr>
        <w:t>dans le même plasma</w:t>
      </w:r>
      <w:r w:rsidR="00F54271" w:rsidRPr="00907075">
        <w:rPr>
          <w:rFonts w:ascii="Arial" w:hAnsi="Arial"/>
          <w:sz w:val="24"/>
          <w:lang w:val="fr-CA"/>
        </w:rPr>
        <w:t>.</w:t>
      </w:r>
    </w:p>
    <w:p w:rsidR="00F54271" w:rsidRPr="00907075" w:rsidRDefault="00907075" w:rsidP="001771FB">
      <w:pPr>
        <w:numPr>
          <w:ilvl w:val="3"/>
          <w:numId w:val="8"/>
        </w:numPr>
        <w:rPr>
          <w:rFonts w:ascii="Arial" w:hAnsi="Arial"/>
          <w:sz w:val="24"/>
          <w:lang w:val="fr-CA"/>
        </w:rPr>
      </w:pPr>
      <w:r w:rsidRPr="00907075">
        <w:rPr>
          <w:rFonts w:ascii="Arial" w:hAnsi="Arial"/>
          <w:sz w:val="24"/>
          <w:lang w:val="fr-CA"/>
        </w:rPr>
        <w:lastRenderedPageBreak/>
        <w:t>Comme procédure faite dans un laboratoire de référence pour dépister des antigènes d’expression faible, comme dans les sous-groupes faibles de A</w:t>
      </w:r>
      <w:r w:rsidR="00F54271" w:rsidRPr="00907075">
        <w:rPr>
          <w:rFonts w:ascii="Arial" w:hAnsi="Arial"/>
          <w:sz w:val="24"/>
          <w:lang w:val="fr-CA"/>
        </w:rPr>
        <w:t>.</w:t>
      </w:r>
    </w:p>
    <w:p w:rsidR="00F54271" w:rsidRPr="000D1B83" w:rsidRDefault="00907075" w:rsidP="001771FB">
      <w:pPr>
        <w:numPr>
          <w:ilvl w:val="3"/>
          <w:numId w:val="8"/>
        </w:numPr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>À la demande d’un médecin affecté au laboratoire</w:t>
      </w:r>
      <w:r w:rsidR="00F54271" w:rsidRPr="000D1B83">
        <w:rPr>
          <w:rFonts w:ascii="Arial" w:hAnsi="Arial"/>
          <w:sz w:val="24"/>
          <w:lang w:val="fr-CA"/>
        </w:rPr>
        <w:t>.</w:t>
      </w:r>
    </w:p>
    <w:p w:rsidR="00F54271" w:rsidRPr="000D1B83" w:rsidRDefault="00F54271">
      <w:pPr>
        <w:rPr>
          <w:rFonts w:ascii="Arial" w:hAnsi="Arial"/>
          <w:b/>
          <w:sz w:val="28"/>
          <w:lang w:val="fr-CA"/>
        </w:rPr>
      </w:pPr>
    </w:p>
    <w:p w:rsidR="00F54271" w:rsidRPr="00435578" w:rsidRDefault="00D8472A">
      <w:pPr>
        <w:numPr>
          <w:ilvl w:val="0"/>
          <w:numId w:val="1"/>
        </w:numPr>
        <w:rPr>
          <w:rFonts w:ascii="Arial" w:hAnsi="Arial"/>
          <w:b/>
          <w:sz w:val="28"/>
          <w:lang w:val="fr-CA"/>
        </w:rPr>
      </w:pPr>
      <w:r w:rsidRPr="00435578">
        <w:rPr>
          <w:rFonts w:ascii="Arial" w:hAnsi="Arial"/>
          <w:b/>
          <w:sz w:val="28"/>
          <w:lang w:val="fr-CA"/>
        </w:rPr>
        <w:t>Échantillons</w:t>
      </w:r>
    </w:p>
    <w:p w:rsidR="00F54271" w:rsidRPr="00435578" w:rsidRDefault="00F54271">
      <w:pPr>
        <w:rPr>
          <w:rFonts w:ascii="Arial" w:hAnsi="Arial"/>
          <w:sz w:val="24"/>
          <w:lang w:val="fr-CA"/>
        </w:rPr>
      </w:pPr>
    </w:p>
    <w:p w:rsidR="00F54271" w:rsidRPr="00435578" w:rsidRDefault="00907075" w:rsidP="00907075">
      <w:pPr>
        <w:ind w:left="720"/>
        <w:rPr>
          <w:rFonts w:ascii="Arial" w:hAnsi="Arial"/>
          <w:sz w:val="24"/>
          <w:lang w:val="fr-CA"/>
        </w:rPr>
      </w:pPr>
      <w:r w:rsidRPr="00435578">
        <w:rPr>
          <w:rFonts w:ascii="Arial" w:hAnsi="Arial"/>
          <w:sz w:val="24"/>
          <w:lang w:val="fr-CA"/>
        </w:rPr>
        <w:t xml:space="preserve">Globules rouges anticoagulés (tube </w:t>
      </w:r>
      <w:r w:rsidR="00F54271" w:rsidRPr="00435578">
        <w:rPr>
          <w:rFonts w:ascii="Arial" w:hAnsi="Arial"/>
          <w:sz w:val="24"/>
          <w:lang w:val="fr-CA"/>
        </w:rPr>
        <w:t>EDTA</w:t>
      </w:r>
      <w:r w:rsidRPr="00435578">
        <w:rPr>
          <w:rFonts w:ascii="Arial" w:hAnsi="Arial"/>
          <w:sz w:val="24"/>
          <w:lang w:val="fr-CA"/>
        </w:rPr>
        <w:t>) prélevés de préférence moins de 72 heures auparavant</w:t>
      </w:r>
      <w:r w:rsidR="00F54271" w:rsidRPr="00435578">
        <w:rPr>
          <w:rFonts w:ascii="Arial" w:hAnsi="Arial"/>
          <w:sz w:val="24"/>
          <w:lang w:val="fr-CA"/>
        </w:rPr>
        <w:t>.</w:t>
      </w:r>
    </w:p>
    <w:p w:rsidR="00F54271" w:rsidRPr="00435578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1771FB" w:rsidRDefault="001771FB">
      <w:pPr>
        <w:ind w:left="720"/>
        <w:rPr>
          <w:rFonts w:ascii="Arial" w:hAnsi="Arial"/>
          <w:i/>
          <w:sz w:val="24"/>
          <w:lang w:val="fr-CA"/>
        </w:rPr>
      </w:pPr>
      <w:r w:rsidRPr="001771FB">
        <w:rPr>
          <w:rFonts w:ascii="Arial" w:hAnsi="Arial"/>
          <w:b/>
          <w:i/>
          <w:sz w:val="24"/>
          <w:lang w:val="fr-CA"/>
        </w:rPr>
        <w:t xml:space="preserve">Remarque : </w:t>
      </w:r>
      <w:r w:rsidR="00435578" w:rsidRPr="001771FB">
        <w:rPr>
          <w:rFonts w:ascii="Arial" w:hAnsi="Arial"/>
          <w:i/>
          <w:sz w:val="24"/>
          <w:lang w:val="fr-CA"/>
        </w:rPr>
        <w:t>On peut se servir de globules rouges libres provenant d’un échantillon coagulé.</w:t>
      </w:r>
    </w:p>
    <w:p w:rsidR="00F54271" w:rsidRPr="00435578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435578" w:rsidRDefault="00F54271">
      <w:pPr>
        <w:numPr>
          <w:ilvl w:val="0"/>
          <w:numId w:val="1"/>
        </w:numPr>
        <w:rPr>
          <w:rFonts w:ascii="Arial" w:hAnsi="Arial"/>
          <w:b/>
          <w:sz w:val="28"/>
          <w:lang w:val="fr-CA"/>
        </w:rPr>
      </w:pPr>
      <w:r w:rsidRPr="00435578">
        <w:rPr>
          <w:rFonts w:ascii="Arial" w:hAnsi="Arial"/>
          <w:b/>
          <w:sz w:val="28"/>
          <w:lang w:val="fr-CA"/>
        </w:rPr>
        <w:t>Mat</w:t>
      </w:r>
      <w:r w:rsidR="00435578" w:rsidRPr="00435578">
        <w:rPr>
          <w:rFonts w:ascii="Arial" w:hAnsi="Arial"/>
          <w:b/>
          <w:sz w:val="28"/>
          <w:lang w:val="fr-CA"/>
        </w:rPr>
        <w:t>ériel</w:t>
      </w:r>
    </w:p>
    <w:p w:rsidR="00F54271" w:rsidRPr="00435578" w:rsidRDefault="00F54271">
      <w:pPr>
        <w:rPr>
          <w:rFonts w:ascii="Arial" w:hAnsi="Arial"/>
          <w:sz w:val="24"/>
          <w:lang w:val="fr-CA"/>
        </w:rPr>
      </w:pPr>
    </w:p>
    <w:p w:rsidR="00F54271" w:rsidRPr="00435578" w:rsidRDefault="00A515AC">
      <w:pPr>
        <w:ind w:left="720"/>
        <w:rPr>
          <w:rFonts w:ascii="Arial" w:hAnsi="Arial"/>
          <w:sz w:val="24"/>
          <w:lang w:val="fr-CA"/>
        </w:rPr>
      </w:pPr>
      <w:r>
        <w:rPr>
          <w:rFonts w:ascii="Arial" w:hAnsi="Arial"/>
          <w:b/>
          <w:sz w:val="24"/>
          <w:lang w:val="fr-CA"/>
        </w:rPr>
        <w:t>Équipement </w:t>
      </w:r>
      <w:r w:rsidR="00D8472A" w:rsidRPr="00435578">
        <w:rPr>
          <w:rFonts w:ascii="Arial" w:hAnsi="Arial"/>
          <w:sz w:val="24"/>
          <w:lang w:val="fr-CA"/>
        </w:rPr>
        <w:t>:</w:t>
      </w:r>
      <w:r w:rsidR="001771FB">
        <w:rPr>
          <w:rFonts w:ascii="Arial" w:hAnsi="Arial"/>
          <w:sz w:val="24"/>
          <w:lang w:val="fr-CA"/>
        </w:rPr>
        <w:t xml:space="preserve"> </w:t>
      </w:r>
      <w:r w:rsidR="00D8472A" w:rsidRPr="00435578">
        <w:rPr>
          <w:rFonts w:ascii="Arial" w:hAnsi="Arial"/>
          <w:sz w:val="24"/>
          <w:lang w:val="fr-CA"/>
        </w:rPr>
        <w:t>laveur de cellules</w:t>
      </w:r>
    </w:p>
    <w:p w:rsidR="00F54271" w:rsidRPr="00435578" w:rsidRDefault="00F54271">
      <w:pPr>
        <w:ind w:left="720"/>
        <w:rPr>
          <w:rFonts w:ascii="Arial" w:hAnsi="Arial"/>
          <w:sz w:val="24"/>
          <w:lang w:val="fr-CA"/>
        </w:rPr>
      </w:pPr>
      <w:r w:rsidRPr="00435578">
        <w:rPr>
          <w:rFonts w:ascii="Arial" w:hAnsi="Arial"/>
          <w:sz w:val="24"/>
          <w:lang w:val="fr-CA"/>
        </w:rPr>
        <w:tab/>
      </w:r>
      <w:r w:rsidRPr="00435578">
        <w:rPr>
          <w:rFonts w:ascii="Arial" w:hAnsi="Arial"/>
          <w:sz w:val="24"/>
          <w:lang w:val="fr-CA"/>
        </w:rPr>
        <w:tab/>
      </w:r>
      <w:r w:rsidR="001771FB">
        <w:rPr>
          <w:rFonts w:ascii="Arial" w:hAnsi="Arial"/>
          <w:sz w:val="24"/>
          <w:lang w:val="fr-CA"/>
        </w:rPr>
        <w:t xml:space="preserve"> </w:t>
      </w:r>
      <w:r w:rsidR="00907075" w:rsidRPr="00435578">
        <w:rPr>
          <w:rFonts w:ascii="Arial" w:hAnsi="Arial"/>
          <w:sz w:val="24"/>
          <w:lang w:val="fr-CA"/>
        </w:rPr>
        <w:t>c</w:t>
      </w:r>
      <w:r w:rsidR="00D8472A" w:rsidRPr="00435578">
        <w:rPr>
          <w:rFonts w:ascii="Arial" w:hAnsi="Arial"/>
          <w:sz w:val="24"/>
          <w:lang w:val="fr-CA"/>
        </w:rPr>
        <w:t>entrifugeuse sérologique</w:t>
      </w:r>
    </w:p>
    <w:p w:rsidR="00F54271" w:rsidRPr="00435578" w:rsidRDefault="00F54271">
      <w:pPr>
        <w:ind w:left="720"/>
        <w:rPr>
          <w:rFonts w:ascii="Arial" w:hAnsi="Arial"/>
          <w:sz w:val="24"/>
          <w:lang w:val="fr-CA"/>
        </w:rPr>
      </w:pPr>
      <w:r w:rsidRPr="00435578">
        <w:rPr>
          <w:rFonts w:ascii="Arial" w:hAnsi="Arial"/>
          <w:sz w:val="24"/>
          <w:lang w:val="fr-CA"/>
        </w:rPr>
        <w:tab/>
      </w:r>
      <w:r w:rsidRPr="00435578">
        <w:rPr>
          <w:rFonts w:ascii="Arial" w:hAnsi="Arial"/>
          <w:sz w:val="24"/>
          <w:lang w:val="fr-CA"/>
        </w:rPr>
        <w:tab/>
      </w:r>
      <w:r w:rsidR="001771FB">
        <w:rPr>
          <w:rFonts w:ascii="Arial" w:hAnsi="Arial"/>
          <w:sz w:val="24"/>
          <w:lang w:val="fr-CA"/>
        </w:rPr>
        <w:t xml:space="preserve"> </w:t>
      </w:r>
      <w:r w:rsidR="00907075" w:rsidRPr="00435578">
        <w:rPr>
          <w:rFonts w:ascii="Arial" w:hAnsi="Arial"/>
          <w:sz w:val="24"/>
          <w:lang w:val="fr-CA"/>
        </w:rPr>
        <w:t>s</w:t>
      </w:r>
      <w:r w:rsidR="00D8472A" w:rsidRPr="00435578">
        <w:rPr>
          <w:rFonts w:ascii="Arial" w:hAnsi="Arial"/>
          <w:sz w:val="24"/>
          <w:lang w:val="fr-CA"/>
        </w:rPr>
        <w:t>upport à tubes</w:t>
      </w:r>
    </w:p>
    <w:p w:rsidR="00F54271" w:rsidRPr="00435578" w:rsidRDefault="00F54271">
      <w:pPr>
        <w:ind w:left="720"/>
        <w:rPr>
          <w:rFonts w:ascii="Arial" w:hAnsi="Arial"/>
          <w:sz w:val="24"/>
          <w:lang w:val="fr-CA"/>
        </w:rPr>
      </w:pPr>
      <w:r w:rsidRPr="00435578">
        <w:rPr>
          <w:rFonts w:ascii="Arial" w:hAnsi="Arial"/>
          <w:sz w:val="24"/>
          <w:lang w:val="fr-CA"/>
        </w:rPr>
        <w:tab/>
      </w:r>
      <w:r w:rsidRPr="00435578">
        <w:rPr>
          <w:rFonts w:ascii="Arial" w:hAnsi="Arial"/>
          <w:sz w:val="24"/>
          <w:lang w:val="fr-CA"/>
        </w:rPr>
        <w:tab/>
      </w:r>
      <w:r w:rsidRPr="00435578">
        <w:rPr>
          <w:rFonts w:ascii="Arial" w:hAnsi="Arial"/>
          <w:sz w:val="24"/>
          <w:lang w:val="fr-CA"/>
        </w:rPr>
        <w:tab/>
      </w:r>
    </w:p>
    <w:p w:rsidR="00F54271" w:rsidRPr="00435578" w:rsidRDefault="00D8472A">
      <w:pPr>
        <w:ind w:left="720"/>
        <w:rPr>
          <w:rFonts w:ascii="Arial" w:hAnsi="Arial"/>
          <w:sz w:val="24"/>
          <w:lang w:val="fr-CA"/>
        </w:rPr>
      </w:pPr>
      <w:r w:rsidRPr="005C5F98">
        <w:rPr>
          <w:rFonts w:ascii="Arial" w:hAnsi="Arial"/>
          <w:b/>
          <w:sz w:val="24"/>
          <w:lang w:val="fr-CA"/>
        </w:rPr>
        <w:t>Fournitures</w:t>
      </w:r>
      <w:r w:rsidR="00FE36EC">
        <w:rPr>
          <w:rFonts w:ascii="Arial" w:hAnsi="Arial"/>
          <w:sz w:val="24"/>
          <w:lang w:val="fr-CA"/>
        </w:rPr>
        <w:t xml:space="preserve"> : </w:t>
      </w:r>
      <w:r w:rsidRPr="00435578">
        <w:rPr>
          <w:rFonts w:ascii="Arial" w:hAnsi="Arial"/>
          <w:sz w:val="24"/>
          <w:lang w:val="fr-CA"/>
        </w:rPr>
        <w:t>tubes 10 x 75 mm</w:t>
      </w:r>
    </w:p>
    <w:p w:rsidR="00F54271" w:rsidRPr="00435578" w:rsidRDefault="00F54271">
      <w:pPr>
        <w:ind w:left="720"/>
        <w:rPr>
          <w:rFonts w:ascii="Arial" w:hAnsi="Arial"/>
          <w:sz w:val="24"/>
          <w:lang w:val="fr-CA"/>
        </w:rPr>
      </w:pPr>
      <w:r w:rsidRPr="00435578">
        <w:rPr>
          <w:rFonts w:ascii="Arial" w:hAnsi="Arial"/>
          <w:sz w:val="24"/>
          <w:lang w:val="fr-CA"/>
        </w:rPr>
        <w:tab/>
      </w:r>
      <w:r w:rsidRPr="00435578">
        <w:rPr>
          <w:rFonts w:ascii="Arial" w:hAnsi="Arial"/>
          <w:sz w:val="24"/>
          <w:lang w:val="fr-CA"/>
        </w:rPr>
        <w:tab/>
      </w:r>
      <w:r w:rsidR="00E17FB7">
        <w:rPr>
          <w:rFonts w:ascii="Arial" w:hAnsi="Arial"/>
          <w:sz w:val="24"/>
          <w:lang w:val="fr-CA"/>
        </w:rPr>
        <w:t xml:space="preserve"> </w:t>
      </w:r>
      <w:r w:rsidR="00D8472A" w:rsidRPr="00435578">
        <w:rPr>
          <w:rFonts w:ascii="Arial" w:hAnsi="Arial"/>
          <w:sz w:val="24"/>
          <w:lang w:val="fr-CA"/>
        </w:rPr>
        <w:t>pipettes sérologiques</w:t>
      </w:r>
    </w:p>
    <w:p w:rsidR="00F54271" w:rsidRPr="00435578" w:rsidRDefault="00F54271">
      <w:pPr>
        <w:ind w:left="720"/>
        <w:rPr>
          <w:rFonts w:ascii="Arial" w:hAnsi="Arial"/>
          <w:sz w:val="24"/>
          <w:lang w:val="fr-CA"/>
        </w:rPr>
      </w:pPr>
      <w:r w:rsidRPr="00435578">
        <w:rPr>
          <w:rFonts w:ascii="Arial" w:hAnsi="Arial"/>
          <w:sz w:val="24"/>
          <w:lang w:val="fr-CA"/>
        </w:rPr>
        <w:tab/>
      </w:r>
      <w:r w:rsidRPr="00435578">
        <w:rPr>
          <w:rFonts w:ascii="Arial" w:hAnsi="Arial"/>
          <w:sz w:val="24"/>
          <w:lang w:val="fr-CA"/>
        </w:rPr>
        <w:tab/>
      </w:r>
      <w:r w:rsidR="00E17FB7">
        <w:rPr>
          <w:rFonts w:ascii="Arial" w:hAnsi="Arial"/>
          <w:sz w:val="24"/>
          <w:lang w:val="fr-CA"/>
        </w:rPr>
        <w:t xml:space="preserve"> </w:t>
      </w:r>
      <w:r w:rsidR="00907075" w:rsidRPr="00435578">
        <w:rPr>
          <w:rFonts w:ascii="Arial" w:hAnsi="Arial"/>
          <w:sz w:val="24"/>
          <w:lang w:val="fr-CA"/>
        </w:rPr>
        <w:t>bouchon</w:t>
      </w:r>
      <w:r w:rsidR="00A14361">
        <w:rPr>
          <w:rFonts w:ascii="Arial" w:hAnsi="Arial"/>
          <w:sz w:val="24"/>
          <w:lang w:val="fr-CA"/>
        </w:rPr>
        <w:br/>
      </w:r>
      <w:r w:rsidR="00A14361">
        <w:rPr>
          <w:rFonts w:ascii="Arial" w:hAnsi="Arial"/>
          <w:sz w:val="24"/>
          <w:lang w:val="fr-CA"/>
        </w:rPr>
        <w:tab/>
      </w:r>
      <w:r w:rsidR="00A14361">
        <w:rPr>
          <w:rFonts w:ascii="Arial" w:hAnsi="Arial"/>
          <w:sz w:val="24"/>
          <w:lang w:val="fr-CA"/>
        </w:rPr>
        <w:tab/>
      </w:r>
      <w:r w:rsidR="00E17FB7">
        <w:rPr>
          <w:rFonts w:ascii="Arial" w:hAnsi="Arial"/>
          <w:sz w:val="24"/>
          <w:lang w:val="fr-CA"/>
        </w:rPr>
        <w:t xml:space="preserve"> </w:t>
      </w:r>
      <w:r w:rsidR="00A14361">
        <w:rPr>
          <w:rFonts w:ascii="Arial" w:hAnsi="Arial"/>
          <w:sz w:val="24"/>
          <w:lang w:val="fr-CA"/>
        </w:rPr>
        <w:t>contenant pour la solution de lavage</w:t>
      </w:r>
    </w:p>
    <w:p w:rsidR="00F54271" w:rsidRPr="00435578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435578" w:rsidRDefault="00A515AC">
      <w:pPr>
        <w:ind w:left="720"/>
        <w:rPr>
          <w:rFonts w:ascii="Arial" w:hAnsi="Arial"/>
          <w:sz w:val="24"/>
          <w:lang w:val="fr-CA"/>
        </w:rPr>
      </w:pPr>
      <w:r>
        <w:rPr>
          <w:rFonts w:ascii="Arial" w:hAnsi="Arial"/>
          <w:b/>
          <w:sz w:val="24"/>
          <w:lang w:val="fr-CA"/>
        </w:rPr>
        <w:t>Réactifs </w:t>
      </w:r>
      <w:r w:rsidR="00F54271" w:rsidRPr="00435578">
        <w:rPr>
          <w:rFonts w:ascii="Arial" w:hAnsi="Arial"/>
          <w:b/>
          <w:sz w:val="24"/>
          <w:lang w:val="fr-CA"/>
        </w:rPr>
        <w:t>:</w:t>
      </w:r>
      <w:r w:rsidR="00F54271" w:rsidRPr="00435578">
        <w:rPr>
          <w:rFonts w:ascii="Arial" w:hAnsi="Arial"/>
          <w:sz w:val="24"/>
          <w:lang w:val="fr-CA"/>
        </w:rPr>
        <w:tab/>
      </w:r>
      <w:r w:rsidR="005C5F98">
        <w:rPr>
          <w:rFonts w:ascii="Arial" w:hAnsi="Arial"/>
          <w:sz w:val="24"/>
          <w:lang w:val="fr-CA"/>
        </w:rPr>
        <w:t>t</w:t>
      </w:r>
      <w:r w:rsidR="00435578" w:rsidRPr="00435578">
        <w:rPr>
          <w:rFonts w:ascii="Arial" w:hAnsi="Arial"/>
          <w:sz w:val="24"/>
          <w:lang w:val="fr-CA"/>
        </w:rPr>
        <w:t>rouss</w:t>
      </w:r>
      <w:r w:rsidR="005C5F98">
        <w:rPr>
          <w:rFonts w:ascii="Arial" w:hAnsi="Arial"/>
          <w:sz w:val="24"/>
          <w:lang w:val="fr-CA"/>
        </w:rPr>
        <w:t>e</w:t>
      </w:r>
      <w:r w:rsidR="00435578" w:rsidRPr="00435578">
        <w:rPr>
          <w:rFonts w:ascii="Arial" w:hAnsi="Arial"/>
          <w:sz w:val="24"/>
          <w:lang w:val="fr-CA"/>
        </w:rPr>
        <w:t xml:space="preserve"> d’élution avec une solution acide comprenant : </w:t>
      </w:r>
      <w:r w:rsidR="00F54271" w:rsidRPr="00435578">
        <w:rPr>
          <w:rFonts w:ascii="Arial" w:hAnsi="Arial"/>
          <w:sz w:val="24"/>
          <w:lang w:val="fr-CA"/>
        </w:rPr>
        <w:tab/>
      </w:r>
      <w:r w:rsidR="00F54271" w:rsidRPr="00435578">
        <w:rPr>
          <w:rFonts w:ascii="Arial" w:hAnsi="Arial"/>
          <w:sz w:val="24"/>
          <w:lang w:val="fr-CA"/>
        </w:rPr>
        <w:tab/>
      </w:r>
      <w:r w:rsidR="00F54271" w:rsidRPr="00435578">
        <w:rPr>
          <w:rFonts w:ascii="Arial" w:hAnsi="Arial"/>
          <w:sz w:val="24"/>
          <w:lang w:val="fr-CA"/>
        </w:rPr>
        <w:tab/>
      </w:r>
      <w:r w:rsidR="005C5F98">
        <w:rPr>
          <w:rFonts w:ascii="Arial" w:hAnsi="Arial"/>
          <w:sz w:val="24"/>
          <w:lang w:val="fr-CA"/>
        </w:rPr>
        <w:tab/>
      </w:r>
      <w:r w:rsidR="00435578" w:rsidRPr="00435578">
        <w:rPr>
          <w:rFonts w:ascii="Arial" w:hAnsi="Arial"/>
          <w:sz w:val="24"/>
          <w:lang w:val="fr-CA"/>
        </w:rPr>
        <w:t>solution de lavage concentrée</w:t>
      </w:r>
    </w:p>
    <w:p w:rsidR="00F54271" w:rsidRPr="00435578" w:rsidRDefault="005C5F98">
      <w:pPr>
        <w:ind w:left="720"/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</w:r>
      <w:r>
        <w:rPr>
          <w:rFonts w:ascii="Arial" w:hAnsi="Arial"/>
          <w:sz w:val="24"/>
          <w:lang w:val="fr-CA"/>
        </w:rPr>
        <w:tab/>
      </w:r>
      <w:r>
        <w:rPr>
          <w:rFonts w:ascii="Arial" w:hAnsi="Arial"/>
          <w:sz w:val="24"/>
          <w:lang w:val="fr-CA"/>
        </w:rPr>
        <w:tab/>
      </w:r>
      <w:r w:rsidR="00435578" w:rsidRPr="00435578">
        <w:rPr>
          <w:rFonts w:ascii="Arial" w:hAnsi="Arial"/>
          <w:sz w:val="24"/>
          <w:lang w:val="fr-CA"/>
        </w:rPr>
        <w:t>solution acide d’élution</w:t>
      </w:r>
    </w:p>
    <w:p w:rsidR="00F54271" w:rsidRPr="00435578" w:rsidRDefault="00F54271">
      <w:pPr>
        <w:ind w:left="720"/>
        <w:rPr>
          <w:rFonts w:ascii="Arial" w:hAnsi="Arial"/>
          <w:sz w:val="24"/>
          <w:lang w:val="fr-CA"/>
        </w:rPr>
      </w:pPr>
      <w:r w:rsidRPr="00435578">
        <w:rPr>
          <w:rFonts w:ascii="Arial" w:hAnsi="Arial"/>
          <w:sz w:val="24"/>
          <w:lang w:val="fr-CA"/>
        </w:rPr>
        <w:tab/>
      </w:r>
      <w:r w:rsidRPr="00435578">
        <w:rPr>
          <w:rFonts w:ascii="Arial" w:hAnsi="Arial"/>
          <w:sz w:val="24"/>
          <w:lang w:val="fr-CA"/>
        </w:rPr>
        <w:tab/>
      </w:r>
      <w:r w:rsidR="005C5F98">
        <w:rPr>
          <w:rFonts w:ascii="Arial" w:hAnsi="Arial"/>
          <w:sz w:val="24"/>
          <w:lang w:val="fr-CA"/>
        </w:rPr>
        <w:tab/>
      </w:r>
      <w:r w:rsidR="00435578" w:rsidRPr="00435578">
        <w:rPr>
          <w:rFonts w:ascii="Arial" w:hAnsi="Arial"/>
          <w:sz w:val="24"/>
          <w:lang w:val="fr-CA"/>
        </w:rPr>
        <w:t>solution tampon basique</w:t>
      </w:r>
    </w:p>
    <w:p w:rsidR="00F54271" w:rsidRPr="00435578" w:rsidRDefault="00F54271">
      <w:pPr>
        <w:ind w:left="720"/>
        <w:rPr>
          <w:rFonts w:ascii="Arial" w:hAnsi="Arial"/>
          <w:sz w:val="24"/>
          <w:lang w:val="fr-CA"/>
        </w:rPr>
      </w:pPr>
      <w:r w:rsidRPr="00435578">
        <w:rPr>
          <w:rFonts w:ascii="Arial" w:hAnsi="Arial"/>
          <w:sz w:val="24"/>
          <w:lang w:val="fr-CA"/>
        </w:rPr>
        <w:tab/>
      </w:r>
      <w:r w:rsidRPr="00435578">
        <w:rPr>
          <w:rFonts w:ascii="Arial" w:hAnsi="Arial"/>
          <w:sz w:val="24"/>
          <w:lang w:val="fr-CA"/>
        </w:rPr>
        <w:tab/>
      </w:r>
      <w:r w:rsidR="005C5F98">
        <w:rPr>
          <w:rFonts w:ascii="Arial" w:hAnsi="Arial"/>
          <w:sz w:val="24"/>
          <w:lang w:val="fr-CA"/>
        </w:rPr>
        <w:tab/>
      </w:r>
      <w:r w:rsidR="00435578" w:rsidRPr="00435578">
        <w:rPr>
          <w:rFonts w:ascii="Arial" w:hAnsi="Arial"/>
          <w:sz w:val="24"/>
          <w:lang w:val="fr-CA"/>
        </w:rPr>
        <w:t>directives du fabricant</w:t>
      </w:r>
    </w:p>
    <w:p w:rsidR="00F54271" w:rsidRPr="00435578" w:rsidRDefault="005C5F98">
      <w:pPr>
        <w:ind w:left="720"/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</w:r>
      <w:r>
        <w:rPr>
          <w:rFonts w:ascii="Arial" w:hAnsi="Arial"/>
          <w:sz w:val="24"/>
          <w:lang w:val="fr-CA"/>
        </w:rPr>
        <w:tab/>
      </w:r>
      <w:r w:rsidR="00435578" w:rsidRPr="00435578">
        <w:rPr>
          <w:rFonts w:ascii="Arial" w:hAnsi="Arial"/>
          <w:sz w:val="24"/>
          <w:lang w:val="fr-CA"/>
        </w:rPr>
        <w:t>solution s</w:t>
      </w:r>
      <w:r w:rsidR="00F54271" w:rsidRPr="00435578">
        <w:rPr>
          <w:rFonts w:ascii="Arial" w:hAnsi="Arial"/>
          <w:sz w:val="24"/>
          <w:lang w:val="fr-CA"/>
        </w:rPr>
        <w:t>aline</w:t>
      </w:r>
      <w:r w:rsidR="002B0182">
        <w:rPr>
          <w:rFonts w:ascii="Arial" w:hAnsi="Arial"/>
          <w:sz w:val="24"/>
          <w:lang w:val="fr-CA"/>
        </w:rPr>
        <w:t xml:space="preserve"> normale</w:t>
      </w:r>
    </w:p>
    <w:p w:rsidR="00F54271" w:rsidRPr="00435578" w:rsidRDefault="00435578">
      <w:pPr>
        <w:ind w:left="720"/>
        <w:rPr>
          <w:rFonts w:ascii="Arial" w:hAnsi="Arial"/>
          <w:sz w:val="24"/>
          <w:lang w:val="fr-CA"/>
        </w:rPr>
      </w:pPr>
      <w:r w:rsidRPr="00435578">
        <w:rPr>
          <w:rFonts w:ascii="Arial" w:hAnsi="Arial"/>
          <w:sz w:val="24"/>
          <w:lang w:val="fr-CA"/>
        </w:rPr>
        <w:tab/>
      </w:r>
      <w:r w:rsidRPr="00435578">
        <w:rPr>
          <w:rFonts w:ascii="Arial" w:hAnsi="Arial"/>
          <w:sz w:val="24"/>
          <w:lang w:val="fr-CA"/>
        </w:rPr>
        <w:tab/>
        <w:t>eau distillée</w:t>
      </w:r>
    </w:p>
    <w:p w:rsidR="00F54271" w:rsidRPr="00435578" w:rsidRDefault="00F54271">
      <w:pPr>
        <w:ind w:left="720"/>
        <w:rPr>
          <w:rFonts w:ascii="Arial" w:hAnsi="Arial"/>
          <w:sz w:val="24"/>
          <w:lang w:val="fr-CA"/>
        </w:rPr>
      </w:pPr>
      <w:r w:rsidRPr="00435578">
        <w:rPr>
          <w:rFonts w:ascii="Arial" w:hAnsi="Arial"/>
          <w:sz w:val="24"/>
          <w:lang w:val="fr-CA"/>
        </w:rPr>
        <w:tab/>
      </w:r>
      <w:r w:rsidRPr="00435578">
        <w:rPr>
          <w:rFonts w:ascii="Arial" w:hAnsi="Arial"/>
          <w:sz w:val="24"/>
          <w:lang w:val="fr-CA"/>
        </w:rPr>
        <w:tab/>
      </w:r>
      <w:r w:rsidR="00435578" w:rsidRPr="00435578">
        <w:rPr>
          <w:rFonts w:ascii="Arial" w:hAnsi="Arial"/>
          <w:sz w:val="24"/>
          <w:lang w:val="fr-CA"/>
        </w:rPr>
        <w:t>a</w:t>
      </w:r>
      <w:r w:rsidR="00D8472A" w:rsidRPr="00435578">
        <w:rPr>
          <w:rFonts w:ascii="Arial" w:hAnsi="Arial"/>
          <w:sz w:val="24"/>
          <w:lang w:val="fr-CA"/>
        </w:rPr>
        <w:t>nti-IgG</w:t>
      </w:r>
    </w:p>
    <w:p w:rsidR="00F54271" w:rsidRPr="00435578" w:rsidRDefault="00F54271">
      <w:pPr>
        <w:ind w:left="720"/>
        <w:rPr>
          <w:rFonts w:ascii="Arial" w:hAnsi="Arial"/>
          <w:sz w:val="24"/>
          <w:lang w:val="fr-CA"/>
        </w:rPr>
      </w:pPr>
      <w:r w:rsidRPr="00435578">
        <w:rPr>
          <w:rFonts w:ascii="Arial" w:hAnsi="Arial"/>
          <w:sz w:val="24"/>
          <w:lang w:val="fr-CA"/>
        </w:rPr>
        <w:tab/>
      </w:r>
      <w:r w:rsidRPr="00435578">
        <w:rPr>
          <w:rFonts w:ascii="Arial" w:hAnsi="Arial"/>
          <w:sz w:val="24"/>
          <w:lang w:val="fr-CA"/>
        </w:rPr>
        <w:tab/>
      </w:r>
      <w:r w:rsidR="00D8472A" w:rsidRPr="00435578">
        <w:rPr>
          <w:rFonts w:ascii="Arial" w:hAnsi="Arial"/>
          <w:sz w:val="24"/>
          <w:lang w:val="fr-CA"/>
        </w:rPr>
        <w:t>cellules recouvertes d'IgG</w:t>
      </w:r>
    </w:p>
    <w:p w:rsidR="00F54271" w:rsidRDefault="001771FB">
      <w:pPr>
        <w:ind w:left="720"/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</w:r>
      <w:r>
        <w:rPr>
          <w:rFonts w:ascii="Arial" w:hAnsi="Arial"/>
          <w:sz w:val="24"/>
          <w:lang w:val="fr-CA"/>
        </w:rPr>
        <w:tab/>
        <w:t>cellules de dépistage à 3-5 % et/ou panel de cellules</w:t>
      </w:r>
    </w:p>
    <w:p w:rsidR="001771FB" w:rsidRPr="00AC41A4" w:rsidRDefault="001771FB">
      <w:pPr>
        <w:ind w:left="720"/>
        <w:rPr>
          <w:rFonts w:ascii="Arial" w:hAnsi="Arial"/>
          <w:sz w:val="24"/>
          <w:lang w:val="fr-CA"/>
        </w:rPr>
      </w:pPr>
    </w:p>
    <w:p w:rsidR="00F54271" w:rsidRPr="00AC41A4" w:rsidRDefault="00D8472A">
      <w:pPr>
        <w:numPr>
          <w:ilvl w:val="0"/>
          <w:numId w:val="1"/>
        </w:numPr>
        <w:rPr>
          <w:rFonts w:ascii="Arial" w:hAnsi="Arial"/>
          <w:b/>
          <w:sz w:val="28"/>
          <w:lang w:val="fr-CA"/>
        </w:rPr>
      </w:pPr>
      <w:r w:rsidRPr="00AC41A4">
        <w:rPr>
          <w:rFonts w:ascii="Arial" w:hAnsi="Arial"/>
          <w:b/>
          <w:sz w:val="28"/>
          <w:lang w:val="fr-CA"/>
        </w:rPr>
        <w:t>Contrôle de la qualité</w:t>
      </w:r>
    </w:p>
    <w:p w:rsidR="00F54271" w:rsidRPr="00AC41A4" w:rsidRDefault="00F54271">
      <w:pPr>
        <w:rPr>
          <w:rFonts w:ascii="Arial" w:hAnsi="Arial"/>
          <w:sz w:val="24"/>
          <w:lang w:val="fr-CA"/>
        </w:rPr>
      </w:pPr>
    </w:p>
    <w:p w:rsidR="00F54271" w:rsidRDefault="00821874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AC41A4">
        <w:rPr>
          <w:rFonts w:ascii="Arial" w:hAnsi="Arial"/>
          <w:sz w:val="24"/>
          <w:lang w:val="fr-CA"/>
        </w:rPr>
        <w:t xml:space="preserve">Un TDA positif </w:t>
      </w:r>
      <w:r w:rsidR="004F4C14">
        <w:rPr>
          <w:rFonts w:ascii="Arial" w:hAnsi="Arial"/>
          <w:sz w:val="24"/>
          <w:lang w:val="fr-CA"/>
        </w:rPr>
        <w:t>avec</w:t>
      </w:r>
      <w:r w:rsidR="004F4C14" w:rsidRPr="00AC41A4">
        <w:rPr>
          <w:rFonts w:ascii="Arial" w:hAnsi="Arial"/>
          <w:sz w:val="24"/>
          <w:lang w:val="fr-CA"/>
        </w:rPr>
        <w:t xml:space="preserve"> </w:t>
      </w:r>
      <w:r w:rsidRPr="00AC41A4">
        <w:rPr>
          <w:rFonts w:ascii="Arial" w:hAnsi="Arial"/>
          <w:sz w:val="24"/>
          <w:lang w:val="fr-CA"/>
        </w:rPr>
        <w:t xml:space="preserve">complément </w:t>
      </w:r>
      <w:r w:rsidR="00F54271" w:rsidRPr="00AC41A4">
        <w:rPr>
          <w:rFonts w:ascii="Arial" w:hAnsi="Arial"/>
          <w:sz w:val="24"/>
          <w:lang w:val="fr-CA"/>
        </w:rPr>
        <w:t xml:space="preserve">(anti-C3) </w:t>
      </w:r>
      <w:r w:rsidR="001771FB">
        <w:rPr>
          <w:rFonts w:ascii="Arial" w:hAnsi="Arial"/>
          <w:sz w:val="24"/>
          <w:lang w:val="fr-CA"/>
        </w:rPr>
        <w:t xml:space="preserve">et négatif à l’IgG </w:t>
      </w:r>
      <w:r w:rsidR="00AC41A4" w:rsidRPr="00AC41A4">
        <w:rPr>
          <w:rFonts w:ascii="Arial" w:hAnsi="Arial"/>
          <w:sz w:val="24"/>
          <w:lang w:val="fr-CA"/>
        </w:rPr>
        <w:t>suscite habituellement un éluat négatif</w:t>
      </w:r>
      <w:r w:rsidR="001771FB">
        <w:rPr>
          <w:rFonts w:ascii="Arial" w:hAnsi="Arial"/>
          <w:sz w:val="24"/>
          <w:lang w:val="fr-CA"/>
        </w:rPr>
        <w:t>, de sorte que la procédure n’est pas requise</w:t>
      </w:r>
      <w:r w:rsidR="00F54271" w:rsidRPr="00AC41A4">
        <w:rPr>
          <w:rFonts w:ascii="Arial" w:hAnsi="Arial"/>
          <w:sz w:val="24"/>
          <w:lang w:val="fr-CA"/>
        </w:rPr>
        <w:t>.</w:t>
      </w:r>
    </w:p>
    <w:p w:rsidR="00336BF7" w:rsidRPr="00AC41A4" w:rsidRDefault="00336BF7" w:rsidP="00336BF7">
      <w:pPr>
        <w:ind w:left="720"/>
        <w:rPr>
          <w:rFonts w:ascii="Arial" w:hAnsi="Arial"/>
          <w:sz w:val="24"/>
          <w:lang w:val="fr-CA"/>
        </w:rPr>
      </w:pPr>
    </w:p>
    <w:p w:rsidR="00F54271" w:rsidRPr="00AB1349" w:rsidRDefault="00AB1349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AB1349">
        <w:rPr>
          <w:rFonts w:ascii="Arial" w:hAnsi="Arial"/>
          <w:sz w:val="24"/>
          <w:lang w:val="fr-CA"/>
        </w:rPr>
        <w:t>Le dernier lavage est testé avec l’éluat pour s’assure</w:t>
      </w:r>
      <w:r w:rsidR="005C5F98">
        <w:rPr>
          <w:rFonts w:ascii="Arial" w:hAnsi="Arial"/>
          <w:sz w:val="24"/>
          <w:lang w:val="fr-CA"/>
        </w:rPr>
        <w:t>r</w:t>
      </w:r>
      <w:r w:rsidRPr="00AB1349">
        <w:rPr>
          <w:rFonts w:ascii="Arial" w:hAnsi="Arial"/>
          <w:sz w:val="24"/>
          <w:lang w:val="fr-CA"/>
        </w:rPr>
        <w:t xml:space="preserve"> que l’anticorps présent dans l’éluat s’est libéré des cellules originales et qu’il ne s’agit pas d’anticorps résiduel non lié résultant d’une mauvaise procédure de lavage</w:t>
      </w:r>
      <w:r w:rsidR="00F54271" w:rsidRPr="00AB1349">
        <w:rPr>
          <w:rFonts w:ascii="Arial" w:hAnsi="Arial"/>
          <w:sz w:val="24"/>
          <w:lang w:val="fr-CA"/>
        </w:rPr>
        <w:t>.</w:t>
      </w:r>
    </w:p>
    <w:p w:rsidR="00F54271" w:rsidRPr="005A6E29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5A6E29" w:rsidRDefault="00AB1349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5A6E29">
        <w:rPr>
          <w:rFonts w:ascii="Arial" w:hAnsi="Arial"/>
          <w:sz w:val="24"/>
          <w:lang w:val="fr-CA"/>
        </w:rPr>
        <w:t>L’emploi de cellules provenant d’un échantillon prélevé depuis plus de 72 heures peut tacher l’éluat d’hémoglobine et compliquer l’ajustement du pH final de l’éluat à analyser</w:t>
      </w:r>
      <w:r w:rsidR="00F54271" w:rsidRPr="005A6E29">
        <w:rPr>
          <w:rFonts w:ascii="Arial" w:hAnsi="Arial"/>
          <w:sz w:val="24"/>
          <w:lang w:val="fr-CA"/>
        </w:rPr>
        <w:t>.</w:t>
      </w:r>
    </w:p>
    <w:p w:rsidR="00F54271" w:rsidRPr="005A6E29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5A6E29" w:rsidRDefault="00AB1349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5A6E29">
        <w:rPr>
          <w:rFonts w:ascii="Arial" w:hAnsi="Arial"/>
          <w:sz w:val="24"/>
          <w:lang w:val="fr-CA"/>
        </w:rPr>
        <w:t>Une immersion prolongée des cellules dans la solution acide d’élution provoque l’</w:t>
      </w:r>
      <w:r w:rsidR="00F54271" w:rsidRPr="005A6E29">
        <w:rPr>
          <w:rFonts w:ascii="Arial" w:hAnsi="Arial"/>
          <w:sz w:val="24"/>
          <w:lang w:val="fr-CA"/>
        </w:rPr>
        <w:t>h</w:t>
      </w:r>
      <w:r w:rsidRPr="005A6E29">
        <w:rPr>
          <w:rFonts w:ascii="Arial" w:hAnsi="Arial"/>
          <w:sz w:val="24"/>
          <w:lang w:val="fr-CA"/>
        </w:rPr>
        <w:t>é</w:t>
      </w:r>
      <w:r w:rsidR="00F54271" w:rsidRPr="005A6E29">
        <w:rPr>
          <w:rFonts w:ascii="Arial" w:hAnsi="Arial"/>
          <w:sz w:val="24"/>
          <w:lang w:val="fr-CA"/>
        </w:rPr>
        <w:t>molys</w:t>
      </w:r>
      <w:r w:rsidRPr="005A6E29">
        <w:rPr>
          <w:rFonts w:ascii="Arial" w:hAnsi="Arial"/>
          <w:sz w:val="24"/>
          <w:lang w:val="fr-CA"/>
        </w:rPr>
        <w:t>e</w:t>
      </w:r>
      <w:r w:rsidR="00F54271" w:rsidRPr="005A6E29">
        <w:rPr>
          <w:rFonts w:ascii="Arial" w:hAnsi="Arial"/>
          <w:sz w:val="24"/>
          <w:lang w:val="fr-CA"/>
        </w:rPr>
        <w:t>.</w:t>
      </w:r>
      <w:r w:rsidR="00821874" w:rsidRPr="005A6E29">
        <w:rPr>
          <w:rFonts w:ascii="Arial" w:hAnsi="Arial"/>
          <w:sz w:val="24"/>
          <w:lang w:val="fr-CA"/>
        </w:rPr>
        <w:t xml:space="preserve"> </w:t>
      </w:r>
      <w:r w:rsidR="005A6E29" w:rsidRPr="005A6E29">
        <w:rPr>
          <w:rFonts w:ascii="Arial" w:hAnsi="Arial"/>
          <w:sz w:val="24"/>
          <w:lang w:val="fr-CA"/>
        </w:rPr>
        <w:t>La libération subséquente d’hémoglobine dans l’éluat modifie le pH et peut affecter le volume de solution tampon basique nécessaire pour ajuster le pH de l’éluat.</w:t>
      </w:r>
      <w:r w:rsidR="00F54271" w:rsidRPr="005A6E29">
        <w:rPr>
          <w:rFonts w:ascii="Arial" w:hAnsi="Arial"/>
          <w:sz w:val="24"/>
          <w:lang w:val="fr-CA"/>
        </w:rPr>
        <w:t xml:space="preserve"> </w:t>
      </w:r>
    </w:p>
    <w:p w:rsidR="00F54271" w:rsidRPr="005A6E29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5A6E29" w:rsidRDefault="005A6E29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 xml:space="preserve">Consulter et joindre en annexe un dépliant courant du fabricant. </w:t>
      </w:r>
    </w:p>
    <w:p w:rsidR="00F54271" w:rsidRPr="000D1B83" w:rsidRDefault="00F54271">
      <w:pPr>
        <w:rPr>
          <w:rFonts w:ascii="Arial" w:hAnsi="Arial"/>
          <w:b/>
          <w:sz w:val="28"/>
          <w:lang w:val="fr-CA"/>
        </w:rPr>
      </w:pPr>
    </w:p>
    <w:p w:rsidR="00F54271" w:rsidRPr="005A6E29" w:rsidRDefault="00D8472A">
      <w:pPr>
        <w:numPr>
          <w:ilvl w:val="0"/>
          <w:numId w:val="1"/>
        </w:numPr>
        <w:rPr>
          <w:rFonts w:ascii="Arial" w:hAnsi="Arial"/>
          <w:b/>
          <w:sz w:val="28"/>
          <w:lang w:val="fr-CA"/>
        </w:rPr>
      </w:pPr>
      <w:r w:rsidRPr="005A6E29">
        <w:rPr>
          <w:rFonts w:ascii="Arial" w:hAnsi="Arial"/>
          <w:b/>
          <w:sz w:val="28"/>
          <w:lang w:val="fr-CA"/>
        </w:rPr>
        <w:t>Procédure</w:t>
      </w:r>
    </w:p>
    <w:p w:rsidR="00F54271" w:rsidRPr="005A6E29" w:rsidRDefault="00F54271">
      <w:pPr>
        <w:rPr>
          <w:rFonts w:ascii="Arial" w:hAnsi="Arial"/>
          <w:sz w:val="24"/>
          <w:lang w:val="fr-CA"/>
        </w:rPr>
      </w:pPr>
    </w:p>
    <w:p w:rsidR="00F54271" w:rsidRPr="005A6E29" w:rsidRDefault="005A6E29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5A6E29">
        <w:rPr>
          <w:rFonts w:ascii="Arial" w:hAnsi="Arial"/>
          <w:sz w:val="24"/>
          <w:lang w:val="fr-CA"/>
        </w:rPr>
        <w:t>Si le ou les échantillons courants n’ont pas fait l’objet d’un TDA, procéder au TDA et déterminer si les cellules sont recouvertes d’IgG avant de préparer l’éluat</w:t>
      </w:r>
      <w:r w:rsidR="00F54271" w:rsidRPr="005A6E29">
        <w:rPr>
          <w:rFonts w:ascii="Arial" w:hAnsi="Arial"/>
          <w:sz w:val="24"/>
          <w:lang w:val="fr-CA"/>
        </w:rPr>
        <w:t>.</w:t>
      </w:r>
      <w:r w:rsidR="00821874" w:rsidRPr="005A6E29">
        <w:rPr>
          <w:rFonts w:ascii="Arial" w:hAnsi="Arial"/>
          <w:sz w:val="24"/>
          <w:lang w:val="fr-CA"/>
        </w:rPr>
        <w:t xml:space="preserve"> </w:t>
      </w:r>
      <w:r w:rsidR="00D8472A" w:rsidRPr="005A6E29">
        <w:rPr>
          <w:rFonts w:ascii="Arial" w:hAnsi="Arial"/>
          <w:sz w:val="24"/>
          <w:lang w:val="fr-CA"/>
        </w:rPr>
        <w:t>Voir AR.00</w:t>
      </w:r>
      <w:r w:rsidR="001771FB">
        <w:rPr>
          <w:rFonts w:ascii="Arial" w:hAnsi="Arial"/>
          <w:sz w:val="24"/>
          <w:lang w:val="fr-CA"/>
        </w:rPr>
        <w:t>7</w:t>
      </w:r>
      <w:r w:rsidR="00D8472A" w:rsidRPr="005A6E29">
        <w:rPr>
          <w:rFonts w:ascii="Arial" w:hAnsi="Arial"/>
          <w:sz w:val="24"/>
          <w:lang w:val="fr-CA"/>
        </w:rPr>
        <w:t xml:space="preserve"> - Test direct à l’antiglobuline.</w:t>
      </w:r>
    </w:p>
    <w:p w:rsidR="00F54271" w:rsidRPr="005A6E29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5A6E29" w:rsidRDefault="005C5F98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 xml:space="preserve">Reconstituer </w:t>
      </w:r>
      <w:r w:rsidR="00435578" w:rsidRPr="005A6E29">
        <w:rPr>
          <w:rFonts w:ascii="Arial" w:hAnsi="Arial"/>
          <w:sz w:val="24"/>
          <w:lang w:val="fr-CA"/>
        </w:rPr>
        <w:t xml:space="preserve">une solution de lavage et vérifier sa limpidité (aucune </w:t>
      </w:r>
      <w:r w:rsidR="00F54271" w:rsidRPr="005A6E29">
        <w:rPr>
          <w:rFonts w:ascii="Arial" w:hAnsi="Arial"/>
          <w:sz w:val="24"/>
          <w:lang w:val="fr-CA"/>
        </w:rPr>
        <w:t>turbidit</w:t>
      </w:r>
      <w:r w:rsidR="00435578" w:rsidRPr="005A6E29">
        <w:rPr>
          <w:rFonts w:ascii="Arial" w:hAnsi="Arial"/>
          <w:sz w:val="24"/>
          <w:lang w:val="fr-CA"/>
        </w:rPr>
        <w:t>é)</w:t>
      </w:r>
      <w:r w:rsidR="00F54271" w:rsidRPr="005A6E29">
        <w:rPr>
          <w:rFonts w:ascii="Arial" w:hAnsi="Arial"/>
          <w:sz w:val="24"/>
          <w:lang w:val="fr-CA"/>
        </w:rPr>
        <w:t xml:space="preserve"> </w:t>
      </w:r>
      <w:r w:rsidR="00435578" w:rsidRPr="005A6E29">
        <w:rPr>
          <w:rFonts w:ascii="Arial" w:hAnsi="Arial"/>
          <w:sz w:val="24"/>
          <w:lang w:val="fr-CA"/>
        </w:rPr>
        <w:t>et sa date de péremption.</w:t>
      </w:r>
    </w:p>
    <w:p w:rsidR="00F54271" w:rsidRPr="005A6E29" w:rsidRDefault="00F54271">
      <w:pPr>
        <w:rPr>
          <w:rFonts w:ascii="Arial" w:hAnsi="Arial"/>
          <w:sz w:val="24"/>
          <w:lang w:val="fr-CA"/>
        </w:rPr>
      </w:pPr>
    </w:p>
    <w:p w:rsidR="00920994" w:rsidRDefault="00435578" w:rsidP="00920994">
      <w:pPr>
        <w:ind w:left="1440"/>
        <w:rPr>
          <w:rFonts w:ascii="Arial" w:hAnsi="Arial"/>
          <w:sz w:val="24"/>
          <w:lang w:val="fr-CA"/>
        </w:rPr>
      </w:pPr>
      <w:r w:rsidRPr="005A6E29">
        <w:rPr>
          <w:rFonts w:ascii="Arial" w:hAnsi="Arial"/>
          <w:sz w:val="24"/>
          <w:lang w:val="fr-CA"/>
        </w:rPr>
        <w:t>Si la solution est trouble ou périmée</w:t>
      </w:r>
      <w:r w:rsidR="00F54271" w:rsidRPr="005A6E29">
        <w:rPr>
          <w:rFonts w:ascii="Arial" w:hAnsi="Arial"/>
          <w:sz w:val="24"/>
          <w:lang w:val="fr-CA"/>
        </w:rPr>
        <w:t xml:space="preserve">, </w:t>
      </w:r>
      <w:r w:rsidRPr="005A6E29">
        <w:rPr>
          <w:rFonts w:ascii="Arial" w:hAnsi="Arial"/>
          <w:sz w:val="24"/>
          <w:lang w:val="fr-CA"/>
        </w:rPr>
        <w:t>préparer une solution de lavage fraîche</w:t>
      </w:r>
      <w:r w:rsidR="001771FB">
        <w:rPr>
          <w:rFonts w:ascii="Arial" w:hAnsi="Arial"/>
          <w:sz w:val="24"/>
          <w:lang w:val="fr-CA"/>
        </w:rPr>
        <w:t xml:space="preserve"> en suivant les directives sur le dépliant du fabricant</w:t>
      </w:r>
      <w:r w:rsidR="00920994">
        <w:rPr>
          <w:rFonts w:ascii="Arial" w:hAnsi="Arial"/>
          <w:sz w:val="24"/>
          <w:lang w:val="fr-CA"/>
        </w:rPr>
        <w:t>.</w:t>
      </w:r>
    </w:p>
    <w:p w:rsidR="00F54271" w:rsidRPr="005A6E29" w:rsidRDefault="00F54271" w:rsidP="00920994">
      <w:pPr>
        <w:ind w:left="1440"/>
        <w:rPr>
          <w:rFonts w:ascii="Arial" w:hAnsi="Arial"/>
          <w:sz w:val="24"/>
          <w:lang w:val="fr-CA"/>
        </w:rPr>
      </w:pPr>
    </w:p>
    <w:p w:rsidR="00F54271" w:rsidRPr="005A6E29" w:rsidRDefault="00D8472A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5A6E29">
        <w:rPr>
          <w:rFonts w:ascii="Arial" w:hAnsi="Arial"/>
          <w:sz w:val="24"/>
          <w:lang w:val="fr-CA"/>
        </w:rPr>
        <w:t xml:space="preserve">Centrifuger l'échantillon pendant </w:t>
      </w:r>
      <w:r w:rsidR="00920994">
        <w:rPr>
          <w:rFonts w:ascii="Arial" w:hAnsi="Arial"/>
          <w:sz w:val="24"/>
          <w:lang w:val="fr-CA"/>
        </w:rPr>
        <w:t>5</w:t>
      </w:r>
      <w:r w:rsidRPr="005A6E29">
        <w:rPr>
          <w:rFonts w:ascii="Arial" w:hAnsi="Arial"/>
          <w:sz w:val="24"/>
          <w:lang w:val="fr-CA"/>
        </w:rPr>
        <w:t xml:space="preserve"> minutes à 3500 rpm ou l'équivalent.</w:t>
      </w:r>
    </w:p>
    <w:p w:rsidR="00F54271" w:rsidRPr="005A6E29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435578" w:rsidRDefault="00435578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5A6E29">
        <w:rPr>
          <w:rFonts w:ascii="Arial" w:hAnsi="Arial"/>
          <w:sz w:val="24"/>
          <w:lang w:val="fr-CA"/>
        </w:rPr>
        <w:t xml:space="preserve">Étiqueter </w:t>
      </w:r>
      <w:r w:rsidR="008813CF">
        <w:rPr>
          <w:rFonts w:ascii="Arial" w:hAnsi="Arial"/>
          <w:sz w:val="24"/>
          <w:lang w:val="fr-CA"/>
        </w:rPr>
        <w:t>7</w:t>
      </w:r>
      <w:r w:rsidRPr="005A6E29">
        <w:rPr>
          <w:rFonts w:ascii="Arial" w:hAnsi="Arial"/>
          <w:sz w:val="24"/>
          <w:lang w:val="fr-CA"/>
        </w:rPr>
        <w:t xml:space="preserve"> tubes de </w:t>
      </w:r>
      <w:r w:rsidR="00F54271" w:rsidRPr="005A6E29">
        <w:rPr>
          <w:rFonts w:ascii="Arial" w:hAnsi="Arial"/>
          <w:sz w:val="24"/>
          <w:lang w:val="fr-CA"/>
        </w:rPr>
        <w:t>10 x 75</w:t>
      </w:r>
      <w:r w:rsidRPr="005A6E29">
        <w:rPr>
          <w:rFonts w:ascii="Arial" w:hAnsi="Arial"/>
          <w:sz w:val="24"/>
          <w:lang w:val="fr-CA"/>
        </w:rPr>
        <w:t xml:space="preserve"> </w:t>
      </w:r>
      <w:r w:rsidR="00F54271" w:rsidRPr="005A6E29">
        <w:rPr>
          <w:rFonts w:ascii="Arial" w:hAnsi="Arial"/>
          <w:sz w:val="24"/>
          <w:lang w:val="fr-CA"/>
        </w:rPr>
        <w:t xml:space="preserve">mm </w:t>
      </w:r>
      <w:r w:rsidRPr="005A6E29">
        <w:rPr>
          <w:rFonts w:ascii="Arial" w:hAnsi="Arial"/>
          <w:sz w:val="24"/>
          <w:lang w:val="fr-CA"/>
        </w:rPr>
        <w:t>en y mettant le nom complet du patient et son numéro d’identification. T</w:t>
      </w:r>
      <w:r w:rsidR="00D8472A" w:rsidRPr="005A6E29">
        <w:rPr>
          <w:rFonts w:ascii="Arial" w:hAnsi="Arial"/>
          <w:sz w:val="24"/>
          <w:lang w:val="fr-CA"/>
        </w:rPr>
        <w:t xml:space="preserve">ranscrire les </w:t>
      </w:r>
      <w:r w:rsidR="00D8472A" w:rsidRPr="002B0182">
        <w:rPr>
          <w:rFonts w:ascii="Arial" w:hAnsi="Arial"/>
          <w:sz w:val="24"/>
          <w:lang w:val="fr-CA"/>
        </w:rPr>
        <w:t>données à</w:t>
      </w:r>
      <w:r w:rsidR="00D8472A" w:rsidRPr="003B26D0">
        <w:rPr>
          <w:rFonts w:ascii="Arial" w:hAnsi="Arial"/>
          <w:b/>
          <w:sz w:val="24"/>
          <w:lang w:val="fr-CA"/>
        </w:rPr>
        <w:t xml:space="preserve"> </w:t>
      </w:r>
      <w:r w:rsidR="00D8472A" w:rsidRPr="002B0182">
        <w:rPr>
          <w:rFonts w:ascii="Arial" w:hAnsi="Arial"/>
          <w:sz w:val="24"/>
          <w:lang w:val="fr-CA"/>
        </w:rPr>
        <w:t xml:space="preserve">partir de l'étiquette de l'échantillon du patient </w:t>
      </w:r>
      <w:r w:rsidR="00D8472A" w:rsidRPr="00435578">
        <w:rPr>
          <w:rFonts w:ascii="Arial" w:hAnsi="Arial"/>
          <w:sz w:val="24"/>
          <w:lang w:val="fr-CA"/>
        </w:rPr>
        <w:t>(et non du formulaire de demande).</w:t>
      </w:r>
      <w:r w:rsidR="00F54271" w:rsidRPr="00435578">
        <w:rPr>
          <w:rFonts w:ascii="Arial" w:hAnsi="Arial"/>
          <w:sz w:val="24"/>
          <w:lang w:val="fr-CA"/>
        </w:rPr>
        <w:t xml:space="preserve"> </w:t>
      </w:r>
      <w:r>
        <w:rPr>
          <w:rFonts w:ascii="Arial" w:hAnsi="Arial"/>
          <w:sz w:val="24"/>
          <w:lang w:val="fr-CA"/>
        </w:rPr>
        <w:t xml:space="preserve">Ces tubes serviront tout au long de la procédure; on les appellera les « tubes propres et étiquetés ». </w:t>
      </w:r>
    </w:p>
    <w:p w:rsidR="00F54271" w:rsidRPr="00435578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141B36" w:rsidRDefault="00F54271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141B36">
        <w:rPr>
          <w:rFonts w:ascii="Arial" w:hAnsi="Arial"/>
          <w:sz w:val="24"/>
          <w:lang w:val="fr-CA"/>
        </w:rPr>
        <w:t>A</w:t>
      </w:r>
      <w:r w:rsidR="00AB1349" w:rsidRPr="00141B36">
        <w:rPr>
          <w:rFonts w:ascii="Arial" w:hAnsi="Arial"/>
          <w:sz w:val="24"/>
          <w:lang w:val="fr-CA"/>
        </w:rPr>
        <w:t xml:space="preserve">près la </w:t>
      </w:r>
      <w:r w:rsidRPr="00141B36">
        <w:rPr>
          <w:rFonts w:ascii="Arial" w:hAnsi="Arial"/>
          <w:sz w:val="24"/>
          <w:lang w:val="fr-CA"/>
        </w:rPr>
        <w:t>centrifugation, transf</w:t>
      </w:r>
      <w:r w:rsidR="00AB1349" w:rsidRPr="00141B36">
        <w:rPr>
          <w:rFonts w:ascii="Arial" w:hAnsi="Arial"/>
          <w:sz w:val="24"/>
          <w:lang w:val="fr-CA"/>
        </w:rPr>
        <w:t xml:space="preserve">érer tout le </w:t>
      </w:r>
      <w:r w:rsidRPr="00141B36">
        <w:rPr>
          <w:rFonts w:ascii="Arial" w:hAnsi="Arial"/>
          <w:sz w:val="24"/>
          <w:lang w:val="fr-CA"/>
        </w:rPr>
        <w:t xml:space="preserve">plasma </w:t>
      </w:r>
      <w:r w:rsidR="00AB1349" w:rsidRPr="00141B36">
        <w:rPr>
          <w:rFonts w:ascii="Arial" w:hAnsi="Arial"/>
          <w:sz w:val="24"/>
          <w:lang w:val="fr-CA"/>
        </w:rPr>
        <w:t xml:space="preserve">dans un tube propre et étiqueté </w:t>
      </w:r>
      <w:r w:rsidR="005C5F98">
        <w:rPr>
          <w:rFonts w:ascii="Arial" w:hAnsi="Arial"/>
          <w:sz w:val="24"/>
          <w:lang w:val="fr-CA"/>
        </w:rPr>
        <w:t xml:space="preserve">pour servir à d’autres analyses au besoin. </w:t>
      </w:r>
    </w:p>
    <w:p w:rsidR="00F54271" w:rsidRPr="00141B36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141B36" w:rsidRDefault="00AB1349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141B36">
        <w:rPr>
          <w:rFonts w:ascii="Arial" w:hAnsi="Arial"/>
          <w:sz w:val="24"/>
          <w:lang w:val="fr-CA"/>
        </w:rPr>
        <w:t>Laver une fois les cellules concentrées avec de la solution saline</w:t>
      </w:r>
      <w:r w:rsidR="002B0182">
        <w:rPr>
          <w:rFonts w:ascii="Arial" w:hAnsi="Arial"/>
          <w:sz w:val="24"/>
          <w:lang w:val="fr-CA"/>
        </w:rPr>
        <w:t xml:space="preserve"> normale</w:t>
      </w:r>
      <w:r w:rsidRPr="00141B36">
        <w:rPr>
          <w:rFonts w:ascii="Arial" w:hAnsi="Arial"/>
          <w:sz w:val="24"/>
          <w:lang w:val="fr-CA"/>
        </w:rPr>
        <w:t xml:space="preserve">. Le volume des cellules doit être d’au moins </w:t>
      </w:r>
      <w:r w:rsidR="00F54271" w:rsidRPr="00141B36">
        <w:rPr>
          <w:rFonts w:ascii="Arial" w:hAnsi="Arial"/>
          <w:sz w:val="24"/>
          <w:lang w:val="fr-CA"/>
        </w:rPr>
        <w:t>1</w:t>
      </w:r>
      <w:r w:rsidRPr="00141B36">
        <w:rPr>
          <w:rFonts w:ascii="Arial" w:hAnsi="Arial"/>
          <w:sz w:val="24"/>
          <w:lang w:val="fr-CA"/>
        </w:rPr>
        <w:t>,</w:t>
      </w:r>
      <w:r w:rsidR="00F54271" w:rsidRPr="00141B36">
        <w:rPr>
          <w:rFonts w:ascii="Arial" w:hAnsi="Arial"/>
          <w:sz w:val="24"/>
          <w:lang w:val="fr-CA"/>
        </w:rPr>
        <w:t>0</w:t>
      </w:r>
      <w:r w:rsidRPr="00141B36">
        <w:rPr>
          <w:rFonts w:ascii="Arial" w:hAnsi="Arial"/>
          <w:sz w:val="24"/>
          <w:lang w:val="fr-CA"/>
        </w:rPr>
        <w:t xml:space="preserve"> </w:t>
      </w:r>
      <w:r w:rsidR="00F54271" w:rsidRPr="00141B36">
        <w:rPr>
          <w:rFonts w:ascii="Arial" w:hAnsi="Arial"/>
          <w:sz w:val="24"/>
          <w:lang w:val="fr-CA"/>
        </w:rPr>
        <w:t>mL.</w:t>
      </w:r>
    </w:p>
    <w:p w:rsidR="00F54271" w:rsidRPr="00141B36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141B36" w:rsidRDefault="005A6E29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141B36">
        <w:rPr>
          <w:rFonts w:ascii="Arial" w:hAnsi="Arial"/>
          <w:sz w:val="24"/>
          <w:lang w:val="fr-CA"/>
        </w:rPr>
        <w:t xml:space="preserve">Faire </w:t>
      </w:r>
      <w:r w:rsidR="00920994">
        <w:rPr>
          <w:rFonts w:ascii="Arial" w:hAnsi="Arial"/>
          <w:sz w:val="24"/>
          <w:lang w:val="fr-CA"/>
        </w:rPr>
        <w:t>4</w:t>
      </w:r>
      <w:r w:rsidRPr="00141B36">
        <w:rPr>
          <w:rFonts w:ascii="Arial" w:hAnsi="Arial"/>
          <w:sz w:val="24"/>
          <w:lang w:val="fr-CA"/>
        </w:rPr>
        <w:t xml:space="preserve"> autres lavages des cellules concentrées en se servant de la solution de lavage </w:t>
      </w:r>
      <w:r w:rsidR="00E14387">
        <w:rPr>
          <w:rFonts w:ascii="Arial" w:hAnsi="Arial"/>
          <w:sz w:val="24"/>
          <w:lang w:val="fr-CA"/>
        </w:rPr>
        <w:t>reconstituée</w:t>
      </w:r>
      <w:r w:rsidRPr="00141B36">
        <w:rPr>
          <w:rFonts w:ascii="Arial" w:hAnsi="Arial"/>
          <w:sz w:val="24"/>
          <w:lang w:val="fr-CA"/>
        </w:rPr>
        <w:t xml:space="preserve"> pour </w:t>
      </w:r>
      <w:r w:rsidR="005C5F98">
        <w:rPr>
          <w:rFonts w:ascii="Arial" w:hAnsi="Arial"/>
          <w:sz w:val="24"/>
          <w:lang w:val="fr-CA"/>
        </w:rPr>
        <w:t xml:space="preserve">en </w:t>
      </w:r>
      <w:r w:rsidRPr="00141B36">
        <w:rPr>
          <w:rFonts w:ascii="Arial" w:hAnsi="Arial"/>
          <w:sz w:val="24"/>
          <w:lang w:val="fr-CA"/>
        </w:rPr>
        <w:t>retire</w:t>
      </w:r>
      <w:r w:rsidR="005C5F98">
        <w:rPr>
          <w:rFonts w:ascii="Arial" w:hAnsi="Arial"/>
          <w:sz w:val="24"/>
          <w:lang w:val="fr-CA"/>
        </w:rPr>
        <w:t>r</w:t>
      </w:r>
      <w:r w:rsidRPr="00141B36">
        <w:rPr>
          <w:rFonts w:ascii="Arial" w:hAnsi="Arial"/>
          <w:sz w:val="24"/>
          <w:lang w:val="fr-CA"/>
        </w:rPr>
        <w:t xml:space="preserve"> tout anticorps non lié. </w:t>
      </w:r>
    </w:p>
    <w:p w:rsidR="00F54271" w:rsidRPr="00141B36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141B36" w:rsidRDefault="00F54271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141B36">
        <w:rPr>
          <w:rFonts w:ascii="Arial" w:hAnsi="Arial"/>
          <w:sz w:val="24"/>
          <w:lang w:val="fr-CA"/>
        </w:rPr>
        <w:t>R</w:t>
      </w:r>
      <w:r w:rsidR="005A6E29" w:rsidRPr="00141B36">
        <w:rPr>
          <w:rFonts w:ascii="Arial" w:hAnsi="Arial"/>
          <w:sz w:val="24"/>
          <w:lang w:val="fr-CA"/>
        </w:rPr>
        <w:t>éserver « l</w:t>
      </w:r>
      <w:r w:rsidR="005C5F98">
        <w:rPr>
          <w:rFonts w:ascii="Arial" w:hAnsi="Arial"/>
          <w:sz w:val="24"/>
          <w:lang w:val="fr-CA"/>
        </w:rPr>
        <w:t>e</w:t>
      </w:r>
      <w:r w:rsidR="005A6E29" w:rsidRPr="00141B36">
        <w:rPr>
          <w:rFonts w:ascii="Arial" w:hAnsi="Arial"/>
          <w:sz w:val="24"/>
          <w:lang w:val="fr-CA"/>
        </w:rPr>
        <w:t xml:space="preserve"> dernier lavage »</w:t>
      </w:r>
      <w:r w:rsidRPr="00141B36">
        <w:rPr>
          <w:rFonts w:ascii="Arial" w:hAnsi="Arial"/>
          <w:sz w:val="24"/>
          <w:lang w:val="fr-CA"/>
        </w:rPr>
        <w:t>.</w:t>
      </w:r>
    </w:p>
    <w:p w:rsidR="00F54271" w:rsidRPr="00141B36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0D1B83" w:rsidRDefault="005A6E29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141B36">
        <w:rPr>
          <w:rFonts w:ascii="Arial" w:hAnsi="Arial"/>
          <w:sz w:val="24"/>
          <w:lang w:val="fr-CA"/>
        </w:rPr>
        <w:t xml:space="preserve">Écrire sur un tube propre étiqueté « Dernier lavage » et verser </w:t>
      </w:r>
      <w:r w:rsidR="003B26D0">
        <w:rPr>
          <w:rFonts w:ascii="Arial" w:hAnsi="Arial"/>
          <w:sz w:val="24"/>
          <w:lang w:val="fr-CA"/>
        </w:rPr>
        <w:t>le surnageant</w:t>
      </w:r>
      <w:r w:rsidR="003B26D0" w:rsidRPr="00141B36">
        <w:rPr>
          <w:rFonts w:ascii="Arial" w:hAnsi="Arial"/>
          <w:sz w:val="24"/>
          <w:lang w:val="fr-CA"/>
        </w:rPr>
        <w:t xml:space="preserve"> </w:t>
      </w:r>
      <w:r w:rsidRPr="00141B36">
        <w:rPr>
          <w:rFonts w:ascii="Arial" w:hAnsi="Arial"/>
          <w:sz w:val="24"/>
          <w:lang w:val="fr-CA"/>
        </w:rPr>
        <w:t>du dernier lavage dans le tube</w:t>
      </w:r>
      <w:r w:rsidR="00F54271" w:rsidRPr="00141B36">
        <w:rPr>
          <w:rFonts w:ascii="Arial" w:hAnsi="Arial"/>
          <w:sz w:val="24"/>
          <w:lang w:val="fr-CA"/>
        </w:rPr>
        <w:t>.</w:t>
      </w:r>
      <w:r>
        <w:rPr>
          <w:rFonts w:ascii="Arial" w:hAnsi="Arial"/>
          <w:sz w:val="24"/>
          <w:lang w:val="fr-CA"/>
        </w:rPr>
        <w:br/>
      </w:r>
    </w:p>
    <w:p w:rsidR="00F54271" w:rsidRPr="000D1B83" w:rsidRDefault="005A6E29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 xml:space="preserve">En présence d’un anticorps plasmatique ou d’un résultat de TDA fortement positif </w:t>
      </w:r>
      <w:r w:rsidR="00F54271" w:rsidRPr="000D1B83">
        <w:rPr>
          <w:rFonts w:ascii="Arial" w:hAnsi="Arial"/>
          <w:sz w:val="24"/>
          <w:lang w:val="fr-CA"/>
        </w:rPr>
        <w:t>(</w:t>
      </w:r>
      <w:r>
        <w:rPr>
          <w:rFonts w:ascii="Arial" w:hAnsi="Arial"/>
          <w:sz w:val="24"/>
          <w:lang w:val="fr-CA"/>
        </w:rPr>
        <w:t xml:space="preserve">c.-à-d. de niveau </w:t>
      </w:r>
      <w:r w:rsidR="00F54271" w:rsidRPr="00141B36">
        <w:rPr>
          <w:rFonts w:ascii="Arial" w:hAnsi="Arial"/>
          <w:sz w:val="24"/>
          <w:lang w:val="fr-CA"/>
        </w:rPr>
        <w:t>2 o</w:t>
      </w:r>
      <w:r w:rsidRPr="00141B36">
        <w:rPr>
          <w:rFonts w:ascii="Arial" w:hAnsi="Arial"/>
          <w:sz w:val="24"/>
          <w:lang w:val="fr-CA"/>
        </w:rPr>
        <w:t>u plus</w:t>
      </w:r>
      <w:r w:rsidR="00F54271" w:rsidRPr="00141B36">
        <w:rPr>
          <w:rFonts w:ascii="Arial" w:hAnsi="Arial"/>
          <w:sz w:val="24"/>
          <w:lang w:val="fr-CA"/>
        </w:rPr>
        <w:t xml:space="preserve">), </w:t>
      </w:r>
      <w:r w:rsidRPr="00141B36">
        <w:rPr>
          <w:rFonts w:ascii="Arial" w:hAnsi="Arial"/>
          <w:sz w:val="24"/>
          <w:lang w:val="fr-CA"/>
        </w:rPr>
        <w:t xml:space="preserve">le dernier lavage doit être testé </w:t>
      </w:r>
      <w:r w:rsidR="001771FB">
        <w:rPr>
          <w:rFonts w:ascii="Arial" w:hAnsi="Arial"/>
          <w:sz w:val="24"/>
          <w:lang w:val="fr-CA"/>
        </w:rPr>
        <w:t xml:space="preserve">avant de procéder à la préparation de l’éluat (voir </w:t>
      </w:r>
      <w:r w:rsidRPr="00141B36">
        <w:rPr>
          <w:rFonts w:ascii="Arial" w:hAnsi="Arial"/>
          <w:sz w:val="24"/>
          <w:lang w:val="fr-CA"/>
        </w:rPr>
        <w:t xml:space="preserve">l’étape </w:t>
      </w:r>
      <w:r w:rsidR="00F54271" w:rsidRPr="00141B36">
        <w:rPr>
          <w:rFonts w:ascii="Arial" w:hAnsi="Arial"/>
          <w:sz w:val="24"/>
          <w:lang w:val="fr-CA"/>
        </w:rPr>
        <w:t xml:space="preserve">6.10 </w:t>
      </w:r>
      <w:r w:rsidRPr="00141B36">
        <w:rPr>
          <w:rFonts w:ascii="Arial" w:hAnsi="Arial"/>
          <w:sz w:val="24"/>
          <w:lang w:val="fr-CA"/>
        </w:rPr>
        <w:t>si le temps le permet</w:t>
      </w:r>
      <w:r w:rsidR="001771FB">
        <w:rPr>
          <w:rFonts w:ascii="Arial" w:hAnsi="Arial"/>
          <w:sz w:val="24"/>
          <w:lang w:val="fr-CA"/>
        </w:rPr>
        <w:t>)</w:t>
      </w:r>
      <w:r w:rsidRPr="00141B36">
        <w:rPr>
          <w:rFonts w:ascii="Arial" w:hAnsi="Arial"/>
          <w:sz w:val="24"/>
          <w:lang w:val="fr-CA"/>
        </w:rPr>
        <w:t>.</w:t>
      </w:r>
      <w:r w:rsidR="00821874" w:rsidRPr="00141B36">
        <w:rPr>
          <w:rFonts w:ascii="Arial" w:hAnsi="Arial"/>
          <w:sz w:val="24"/>
          <w:lang w:val="fr-CA"/>
        </w:rPr>
        <w:t xml:space="preserve"> </w:t>
      </w:r>
      <w:r w:rsidRPr="00141B36">
        <w:rPr>
          <w:rFonts w:ascii="Arial" w:hAnsi="Arial"/>
          <w:sz w:val="24"/>
          <w:lang w:val="fr-CA"/>
        </w:rPr>
        <w:t>Il faut obtenir des résultats négatifs avan</w:t>
      </w:r>
      <w:r>
        <w:rPr>
          <w:rFonts w:ascii="Arial" w:hAnsi="Arial"/>
          <w:sz w:val="24"/>
          <w:lang w:val="fr-CA"/>
        </w:rPr>
        <w:t>t de continuer la préparation de l’éluat</w:t>
      </w:r>
      <w:r w:rsidR="00920994">
        <w:rPr>
          <w:rFonts w:ascii="Arial" w:hAnsi="Arial"/>
          <w:sz w:val="24"/>
          <w:lang w:val="fr-CA"/>
        </w:rPr>
        <w:t>,</w:t>
      </w:r>
      <w:r>
        <w:rPr>
          <w:rFonts w:ascii="Arial" w:hAnsi="Arial"/>
          <w:sz w:val="24"/>
          <w:lang w:val="fr-CA"/>
        </w:rPr>
        <w:t xml:space="preserve"> ou </w:t>
      </w:r>
      <w:r w:rsidR="003B26D0">
        <w:rPr>
          <w:rFonts w:ascii="Arial" w:hAnsi="Arial"/>
          <w:sz w:val="24"/>
          <w:lang w:val="fr-CA"/>
        </w:rPr>
        <w:t xml:space="preserve">le surnageant </w:t>
      </w:r>
      <w:r>
        <w:rPr>
          <w:rFonts w:ascii="Arial" w:hAnsi="Arial"/>
          <w:sz w:val="24"/>
          <w:lang w:val="fr-CA"/>
        </w:rPr>
        <w:t>d</w:t>
      </w:r>
      <w:r w:rsidR="005C5F98">
        <w:rPr>
          <w:rFonts w:ascii="Arial" w:hAnsi="Arial"/>
          <w:sz w:val="24"/>
          <w:lang w:val="fr-CA"/>
        </w:rPr>
        <w:t>u</w:t>
      </w:r>
      <w:r>
        <w:rPr>
          <w:rFonts w:ascii="Arial" w:hAnsi="Arial"/>
          <w:sz w:val="24"/>
          <w:lang w:val="fr-CA"/>
        </w:rPr>
        <w:t xml:space="preserve"> dernier lavage </w:t>
      </w:r>
      <w:r w:rsidR="003B26D0">
        <w:rPr>
          <w:rFonts w:ascii="Arial" w:hAnsi="Arial"/>
          <w:sz w:val="24"/>
          <w:lang w:val="fr-CA"/>
        </w:rPr>
        <w:t xml:space="preserve">doit être mis en place </w:t>
      </w:r>
      <w:r>
        <w:rPr>
          <w:rFonts w:ascii="Arial" w:hAnsi="Arial"/>
          <w:sz w:val="24"/>
          <w:lang w:val="fr-CA"/>
        </w:rPr>
        <w:t>parallèlement à l’éluat</w:t>
      </w:r>
      <w:r w:rsidR="00F54271" w:rsidRPr="000D1B83">
        <w:rPr>
          <w:rFonts w:ascii="Arial" w:hAnsi="Arial"/>
          <w:sz w:val="24"/>
          <w:lang w:val="fr-CA"/>
        </w:rPr>
        <w:t>.</w:t>
      </w:r>
    </w:p>
    <w:p w:rsidR="00F54271" w:rsidRPr="000D1B83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141B36" w:rsidRDefault="005A6E29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 xml:space="preserve">Garder le tube contenant les cellules lavées pour préparer </w:t>
      </w:r>
      <w:r w:rsidRPr="00141B36">
        <w:rPr>
          <w:rFonts w:ascii="Arial" w:hAnsi="Arial"/>
          <w:sz w:val="24"/>
          <w:lang w:val="fr-CA"/>
        </w:rPr>
        <w:t>l’éluat</w:t>
      </w:r>
      <w:r w:rsidR="00F54271" w:rsidRPr="00141B36">
        <w:rPr>
          <w:rFonts w:ascii="Arial" w:hAnsi="Arial"/>
          <w:sz w:val="24"/>
          <w:lang w:val="fr-CA"/>
        </w:rPr>
        <w:t>.</w:t>
      </w:r>
    </w:p>
    <w:p w:rsidR="00F54271" w:rsidRPr="00141B36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141B36" w:rsidRDefault="00F54271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141B36">
        <w:rPr>
          <w:rFonts w:ascii="Arial" w:hAnsi="Arial"/>
          <w:sz w:val="24"/>
          <w:lang w:val="fr-CA"/>
        </w:rPr>
        <w:t>Pr</w:t>
      </w:r>
      <w:r w:rsidR="005A6E29" w:rsidRPr="00141B36">
        <w:rPr>
          <w:rFonts w:ascii="Arial" w:hAnsi="Arial"/>
          <w:sz w:val="24"/>
          <w:lang w:val="fr-CA"/>
        </w:rPr>
        <w:t>éparer l’éluat</w:t>
      </w:r>
      <w:r w:rsidRPr="00141B36">
        <w:rPr>
          <w:rFonts w:ascii="Arial" w:hAnsi="Arial"/>
          <w:sz w:val="24"/>
          <w:lang w:val="fr-CA"/>
        </w:rPr>
        <w:t>.</w:t>
      </w:r>
    </w:p>
    <w:p w:rsidR="00F54271" w:rsidRPr="00141B36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141B36" w:rsidRDefault="005A6E29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141B36">
        <w:rPr>
          <w:rFonts w:ascii="Arial" w:hAnsi="Arial"/>
          <w:sz w:val="24"/>
          <w:lang w:val="fr-CA"/>
        </w:rPr>
        <w:t>Écrire sur un tube propre étiqueté « Éluat »</w:t>
      </w:r>
      <w:r w:rsidR="00F54271" w:rsidRPr="00141B36">
        <w:rPr>
          <w:rFonts w:ascii="Arial" w:hAnsi="Arial"/>
          <w:sz w:val="24"/>
          <w:lang w:val="fr-CA"/>
        </w:rPr>
        <w:t>.</w:t>
      </w:r>
    </w:p>
    <w:p w:rsidR="00F54271" w:rsidRPr="00141B36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141B36" w:rsidRDefault="00F54271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141B36">
        <w:rPr>
          <w:rFonts w:ascii="Arial" w:hAnsi="Arial"/>
          <w:sz w:val="24"/>
          <w:lang w:val="fr-CA"/>
        </w:rPr>
        <w:t>Pipette</w:t>
      </w:r>
      <w:r w:rsidR="005A6E29" w:rsidRPr="00141B36">
        <w:rPr>
          <w:rFonts w:ascii="Arial" w:hAnsi="Arial"/>
          <w:sz w:val="24"/>
          <w:lang w:val="fr-CA"/>
        </w:rPr>
        <w:t>r</w:t>
      </w:r>
      <w:r w:rsidRPr="00141B36">
        <w:rPr>
          <w:rFonts w:ascii="Arial" w:hAnsi="Arial"/>
          <w:sz w:val="24"/>
          <w:lang w:val="fr-CA"/>
        </w:rPr>
        <w:t xml:space="preserve"> 1</w:t>
      </w:r>
      <w:r w:rsidR="005A6E29" w:rsidRPr="00141B36">
        <w:rPr>
          <w:rFonts w:ascii="Arial" w:hAnsi="Arial"/>
          <w:sz w:val="24"/>
          <w:lang w:val="fr-CA"/>
        </w:rPr>
        <w:t xml:space="preserve"> </w:t>
      </w:r>
      <w:r w:rsidRPr="00141B36">
        <w:rPr>
          <w:rFonts w:ascii="Arial" w:hAnsi="Arial"/>
          <w:sz w:val="24"/>
          <w:lang w:val="fr-CA"/>
        </w:rPr>
        <w:t xml:space="preserve">mL </w:t>
      </w:r>
      <w:r w:rsidR="005A6E29" w:rsidRPr="00141B36">
        <w:rPr>
          <w:rFonts w:ascii="Arial" w:hAnsi="Arial"/>
          <w:sz w:val="24"/>
          <w:lang w:val="fr-CA"/>
        </w:rPr>
        <w:t>de cellules concentrées du patient dans un tube propre étiqueté (habituellement</w:t>
      </w:r>
      <w:r w:rsidR="00920994">
        <w:rPr>
          <w:rFonts w:ascii="Arial" w:hAnsi="Arial"/>
          <w:sz w:val="24"/>
          <w:lang w:val="fr-CA"/>
        </w:rPr>
        <w:t xml:space="preserve"> </w:t>
      </w:r>
      <w:r w:rsidR="005A6E29" w:rsidRPr="00141B36">
        <w:rPr>
          <w:rFonts w:ascii="Arial" w:hAnsi="Arial"/>
          <w:sz w:val="24"/>
          <w:lang w:val="fr-CA"/>
        </w:rPr>
        <w:t>20 gouttes</w:t>
      </w:r>
      <w:r w:rsidRPr="00141B36">
        <w:rPr>
          <w:rFonts w:ascii="Arial" w:hAnsi="Arial"/>
          <w:sz w:val="24"/>
          <w:lang w:val="fr-CA"/>
        </w:rPr>
        <w:t>).</w:t>
      </w:r>
    </w:p>
    <w:p w:rsidR="00F54271" w:rsidRPr="000D1B83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141B36" w:rsidRDefault="001771FB">
      <w:pPr>
        <w:ind w:left="2160" w:hanging="720"/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ab/>
      </w:r>
      <w:r w:rsidR="00141B36" w:rsidRPr="001771FB">
        <w:rPr>
          <w:rFonts w:ascii="Arial" w:hAnsi="Arial"/>
          <w:b/>
          <w:sz w:val="24"/>
          <w:lang w:val="fr-CA"/>
        </w:rPr>
        <w:t>Remarque</w:t>
      </w:r>
      <w:r w:rsidR="00141B36" w:rsidRPr="00FD5D2F">
        <w:rPr>
          <w:rFonts w:ascii="Arial" w:hAnsi="Arial"/>
          <w:b/>
          <w:sz w:val="24"/>
          <w:lang w:val="fr-CA"/>
        </w:rPr>
        <w:t> </w:t>
      </w:r>
      <w:r w:rsidR="00141B36" w:rsidRPr="00141B36">
        <w:rPr>
          <w:rFonts w:ascii="Arial" w:hAnsi="Arial"/>
          <w:sz w:val="24"/>
          <w:lang w:val="fr-CA"/>
        </w:rPr>
        <w:t>: Si l’échantillon ne contient pas autant de gouttes que le fabricant le recommande, mettre la quantité maximale de cellules concentrées contenues dans l’échantillon</w:t>
      </w:r>
      <w:r>
        <w:rPr>
          <w:rFonts w:ascii="Arial" w:hAnsi="Arial"/>
          <w:sz w:val="24"/>
          <w:lang w:val="fr-CA"/>
        </w:rPr>
        <w:t xml:space="preserve"> et ajuster en conséquence le volume de solution acide de l’élution et de solution tampon basique</w:t>
      </w:r>
      <w:r w:rsidR="00141B36" w:rsidRPr="00141B36">
        <w:rPr>
          <w:rFonts w:ascii="Arial" w:hAnsi="Arial"/>
          <w:sz w:val="24"/>
          <w:lang w:val="fr-CA"/>
        </w:rPr>
        <w:t xml:space="preserve">. </w:t>
      </w:r>
      <w:r w:rsidR="005A6E29" w:rsidRPr="00141B36">
        <w:rPr>
          <w:rFonts w:ascii="Arial" w:hAnsi="Arial"/>
          <w:sz w:val="24"/>
          <w:lang w:val="fr-CA"/>
        </w:rPr>
        <w:t xml:space="preserve">Inscrire le nombre de gouttes </w:t>
      </w:r>
      <w:r w:rsidR="00141B36" w:rsidRPr="00141B36">
        <w:rPr>
          <w:rFonts w:ascii="Arial" w:hAnsi="Arial"/>
          <w:sz w:val="24"/>
          <w:lang w:val="fr-CA"/>
        </w:rPr>
        <w:t>mises</w:t>
      </w:r>
      <w:r w:rsidR="005A6E29" w:rsidRPr="00141B36">
        <w:rPr>
          <w:rFonts w:ascii="Arial" w:hAnsi="Arial"/>
          <w:sz w:val="24"/>
          <w:lang w:val="fr-CA"/>
        </w:rPr>
        <w:t xml:space="preserve"> dans le tube étiqueté</w:t>
      </w:r>
      <w:r w:rsidR="00F54271" w:rsidRPr="00141B36">
        <w:rPr>
          <w:rFonts w:ascii="Arial" w:hAnsi="Arial"/>
          <w:sz w:val="24"/>
          <w:lang w:val="fr-CA"/>
        </w:rPr>
        <w:t>.</w:t>
      </w:r>
      <w:r>
        <w:rPr>
          <w:rFonts w:ascii="Arial" w:hAnsi="Arial"/>
          <w:sz w:val="24"/>
          <w:lang w:val="fr-CA"/>
        </w:rPr>
        <w:t xml:space="preserve"> Voir les Remarques 8.7.4 et 8.7.5.</w:t>
      </w:r>
    </w:p>
    <w:p w:rsidR="00F54271" w:rsidRPr="00141B36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141B36" w:rsidRDefault="00141B36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141B36">
        <w:rPr>
          <w:rFonts w:ascii="Arial" w:hAnsi="Arial"/>
          <w:sz w:val="24"/>
          <w:lang w:val="fr-CA"/>
        </w:rPr>
        <w:t xml:space="preserve">Ajouter </w:t>
      </w:r>
      <w:r w:rsidR="00F54271" w:rsidRPr="00141B36">
        <w:rPr>
          <w:rFonts w:ascii="Arial" w:hAnsi="Arial"/>
          <w:sz w:val="24"/>
          <w:lang w:val="fr-CA"/>
        </w:rPr>
        <w:t>1</w:t>
      </w:r>
      <w:r w:rsidRPr="00141B36">
        <w:rPr>
          <w:rFonts w:ascii="Arial" w:hAnsi="Arial"/>
          <w:sz w:val="24"/>
          <w:lang w:val="fr-CA"/>
        </w:rPr>
        <w:t xml:space="preserve"> </w:t>
      </w:r>
      <w:r w:rsidR="00F54271" w:rsidRPr="00141B36">
        <w:rPr>
          <w:rFonts w:ascii="Arial" w:hAnsi="Arial"/>
          <w:sz w:val="24"/>
          <w:lang w:val="fr-CA"/>
        </w:rPr>
        <w:t xml:space="preserve">mL (20 </w:t>
      </w:r>
      <w:r w:rsidRPr="00141B36">
        <w:rPr>
          <w:rFonts w:ascii="Arial" w:hAnsi="Arial"/>
          <w:sz w:val="24"/>
          <w:lang w:val="fr-CA"/>
        </w:rPr>
        <w:t>gouttes</w:t>
      </w:r>
      <w:r w:rsidR="00F54271" w:rsidRPr="00141B36">
        <w:rPr>
          <w:rFonts w:ascii="Arial" w:hAnsi="Arial"/>
          <w:sz w:val="24"/>
          <w:lang w:val="fr-CA"/>
        </w:rPr>
        <w:t xml:space="preserve">) </w:t>
      </w:r>
      <w:r w:rsidRPr="00141B36">
        <w:rPr>
          <w:rFonts w:ascii="Arial" w:hAnsi="Arial"/>
          <w:sz w:val="24"/>
          <w:lang w:val="fr-CA"/>
        </w:rPr>
        <w:t xml:space="preserve">ou une quantité équivalente de solution acide d’élution, en suivant les directives du fabricant. </w:t>
      </w:r>
    </w:p>
    <w:p w:rsidR="00F54271" w:rsidRPr="00141B36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141B36" w:rsidRDefault="00F54271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141B36">
        <w:rPr>
          <w:rFonts w:ascii="Arial" w:hAnsi="Arial"/>
          <w:sz w:val="24"/>
          <w:lang w:val="fr-CA"/>
        </w:rPr>
        <w:t>M</w:t>
      </w:r>
      <w:r w:rsidR="00141B36" w:rsidRPr="00141B36">
        <w:rPr>
          <w:rFonts w:ascii="Arial" w:hAnsi="Arial"/>
          <w:sz w:val="24"/>
          <w:lang w:val="fr-CA"/>
        </w:rPr>
        <w:t>élanger</w:t>
      </w:r>
      <w:r w:rsidRPr="00141B36">
        <w:rPr>
          <w:rFonts w:ascii="Arial" w:hAnsi="Arial"/>
          <w:sz w:val="24"/>
          <w:lang w:val="fr-CA"/>
        </w:rPr>
        <w:t xml:space="preserve"> </w:t>
      </w:r>
      <w:r w:rsidR="00141B36" w:rsidRPr="002B0182">
        <w:rPr>
          <w:rFonts w:ascii="Arial" w:hAnsi="Arial"/>
          <w:sz w:val="24"/>
          <w:lang w:val="fr-CA"/>
        </w:rPr>
        <w:t>délicatement</w:t>
      </w:r>
      <w:r w:rsidRPr="00141B36">
        <w:rPr>
          <w:rFonts w:ascii="Arial" w:hAnsi="Arial"/>
          <w:sz w:val="24"/>
          <w:lang w:val="fr-CA"/>
        </w:rPr>
        <w:t xml:space="preserve"> </w:t>
      </w:r>
      <w:r w:rsidR="00141B36" w:rsidRPr="00141B36">
        <w:rPr>
          <w:rFonts w:ascii="Arial" w:hAnsi="Arial"/>
          <w:sz w:val="24"/>
          <w:lang w:val="fr-CA"/>
        </w:rPr>
        <w:t xml:space="preserve">en inversant le tube </w:t>
      </w:r>
      <w:r w:rsidRPr="00141B36">
        <w:rPr>
          <w:rFonts w:ascii="Arial" w:hAnsi="Arial"/>
          <w:sz w:val="24"/>
          <w:lang w:val="fr-CA"/>
        </w:rPr>
        <w:t>4</w:t>
      </w:r>
      <w:r w:rsidR="00141B36" w:rsidRPr="00141B36">
        <w:rPr>
          <w:rFonts w:ascii="Arial" w:hAnsi="Arial"/>
          <w:sz w:val="24"/>
          <w:lang w:val="fr-CA"/>
        </w:rPr>
        <w:t xml:space="preserve"> ou </w:t>
      </w:r>
      <w:r w:rsidRPr="00141B36">
        <w:rPr>
          <w:rFonts w:ascii="Arial" w:hAnsi="Arial"/>
          <w:sz w:val="24"/>
          <w:lang w:val="fr-CA"/>
        </w:rPr>
        <w:t xml:space="preserve">5 </w:t>
      </w:r>
      <w:r w:rsidR="00141B36" w:rsidRPr="00141B36">
        <w:rPr>
          <w:rFonts w:ascii="Arial" w:hAnsi="Arial"/>
          <w:sz w:val="24"/>
          <w:lang w:val="fr-CA"/>
        </w:rPr>
        <w:t>fois</w:t>
      </w:r>
      <w:r w:rsidRPr="00141B36">
        <w:rPr>
          <w:rFonts w:ascii="Arial" w:hAnsi="Arial"/>
          <w:sz w:val="24"/>
          <w:lang w:val="fr-CA"/>
        </w:rPr>
        <w:t>.</w:t>
      </w:r>
    </w:p>
    <w:p w:rsidR="00F54271" w:rsidRPr="00141B36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141B36" w:rsidRDefault="00F54271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141B36">
        <w:rPr>
          <w:rFonts w:ascii="Arial" w:hAnsi="Arial"/>
          <w:sz w:val="24"/>
          <w:lang w:val="fr-CA"/>
        </w:rPr>
        <w:t>Centrifuge</w:t>
      </w:r>
      <w:r w:rsidR="00141B36" w:rsidRPr="00141B36">
        <w:rPr>
          <w:rFonts w:ascii="Arial" w:hAnsi="Arial"/>
          <w:sz w:val="24"/>
          <w:lang w:val="fr-CA"/>
        </w:rPr>
        <w:t>r</w:t>
      </w:r>
      <w:r w:rsidRPr="00141B36">
        <w:rPr>
          <w:rFonts w:ascii="Arial" w:hAnsi="Arial"/>
          <w:sz w:val="24"/>
          <w:lang w:val="fr-CA"/>
        </w:rPr>
        <w:t xml:space="preserve"> </w:t>
      </w:r>
      <w:r w:rsidRPr="002B0182">
        <w:rPr>
          <w:rFonts w:ascii="Arial" w:hAnsi="Arial"/>
          <w:sz w:val="24"/>
          <w:lang w:val="fr-CA"/>
        </w:rPr>
        <w:t>imm</w:t>
      </w:r>
      <w:r w:rsidR="00141B36" w:rsidRPr="002B0182">
        <w:rPr>
          <w:rFonts w:ascii="Arial" w:hAnsi="Arial"/>
          <w:sz w:val="24"/>
          <w:lang w:val="fr-CA"/>
        </w:rPr>
        <w:t>édiatement</w:t>
      </w:r>
      <w:r w:rsidRPr="00141B36">
        <w:rPr>
          <w:rFonts w:ascii="Arial" w:hAnsi="Arial"/>
          <w:sz w:val="24"/>
          <w:lang w:val="fr-CA"/>
        </w:rPr>
        <w:t xml:space="preserve"> </w:t>
      </w:r>
      <w:r w:rsidR="00141B36" w:rsidRPr="00141B36">
        <w:rPr>
          <w:rFonts w:ascii="Arial" w:hAnsi="Arial"/>
          <w:sz w:val="24"/>
          <w:lang w:val="fr-CA"/>
        </w:rPr>
        <w:t xml:space="preserve">pendant </w:t>
      </w:r>
      <w:r w:rsidRPr="00141B36">
        <w:rPr>
          <w:rFonts w:ascii="Arial" w:hAnsi="Arial"/>
          <w:sz w:val="24"/>
          <w:lang w:val="fr-CA"/>
        </w:rPr>
        <w:t xml:space="preserve">45 </w:t>
      </w:r>
      <w:r w:rsidR="00141B36" w:rsidRPr="00141B36">
        <w:rPr>
          <w:rFonts w:ascii="Arial" w:hAnsi="Arial"/>
          <w:sz w:val="24"/>
          <w:lang w:val="fr-CA"/>
        </w:rPr>
        <w:t xml:space="preserve">à </w:t>
      </w:r>
      <w:r w:rsidRPr="00141B36">
        <w:rPr>
          <w:rFonts w:ascii="Arial" w:hAnsi="Arial"/>
          <w:sz w:val="24"/>
          <w:lang w:val="fr-CA"/>
        </w:rPr>
        <w:t>60 second</w:t>
      </w:r>
      <w:r w:rsidR="00141B36" w:rsidRPr="00141B36">
        <w:rPr>
          <w:rFonts w:ascii="Arial" w:hAnsi="Arial"/>
          <w:sz w:val="24"/>
          <w:lang w:val="fr-CA"/>
        </w:rPr>
        <w:t>e</w:t>
      </w:r>
      <w:r w:rsidRPr="00141B36">
        <w:rPr>
          <w:rFonts w:ascii="Arial" w:hAnsi="Arial"/>
          <w:sz w:val="24"/>
          <w:lang w:val="fr-CA"/>
        </w:rPr>
        <w:t xml:space="preserve">s </w:t>
      </w:r>
      <w:r w:rsidR="00141B36" w:rsidRPr="00141B36">
        <w:rPr>
          <w:rFonts w:ascii="Arial" w:hAnsi="Arial"/>
          <w:sz w:val="24"/>
          <w:lang w:val="fr-CA"/>
        </w:rPr>
        <w:t xml:space="preserve">à </w:t>
      </w:r>
      <w:r w:rsidRPr="00141B36">
        <w:rPr>
          <w:rFonts w:ascii="Arial" w:hAnsi="Arial"/>
          <w:sz w:val="24"/>
          <w:lang w:val="fr-CA"/>
        </w:rPr>
        <w:t>3400 rpm o</w:t>
      </w:r>
      <w:r w:rsidR="00141B36" w:rsidRPr="00141B36">
        <w:rPr>
          <w:rFonts w:ascii="Arial" w:hAnsi="Arial"/>
          <w:sz w:val="24"/>
          <w:lang w:val="fr-CA"/>
        </w:rPr>
        <w:t>u selon les recommandations du fabricant</w:t>
      </w:r>
      <w:r w:rsidRPr="00141B36">
        <w:rPr>
          <w:rFonts w:ascii="Arial" w:hAnsi="Arial"/>
          <w:sz w:val="24"/>
          <w:lang w:val="fr-CA"/>
        </w:rPr>
        <w:t>.</w:t>
      </w:r>
      <w:r w:rsidR="00821874" w:rsidRPr="00141B36">
        <w:rPr>
          <w:rFonts w:ascii="Arial" w:hAnsi="Arial"/>
          <w:sz w:val="24"/>
          <w:lang w:val="fr-CA"/>
        </w:rPr>
        <w:t xml:space="preserve"> </w:t>
      </w:r>
      <w:r w:rsidR="00D8472A" w:rsidRPr="00141B36">
        <w:rPr>
          <w:rFonts w:ascii="Arial" w:hAnsi="Arial"/>
          <w:sz w:val="24"/>
          <w:lang w:val="fr-CA"/>
        </w:rPr>
        <w:t>Voir la Remarque 8.</w:t>
      </w:r>
      <w:r w:rsidR="002B0182">
        <w:rPr>
          <w:rFonts w:ascii="Arial" w:hAnsi="Arial"/>
          <w:sz w:val="24"/>
          <w:lang w:val="fr-CA"/>
        </w:rPr>
        <w:t>1</w:t>
      </w:r>
      <w:r w:rsidR="00D8472A" w:rsidRPr="00141B36">
        <w:rPr>
          <w:rFonts w:ascii="Arial" w:hAnsi="Arial"/>
          <w:sz w:val="24"/>
          <w:lang w:val="fr-CA"/>
        </w:rPr>
        <w:t>.</w:t>
      </w:r>
    </w:p>
    <w:p w:rsidR="00F54271" w:rsidRPr="000D1B83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141B36" w:rsidRDefault="00F54271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141B36">
        <w:rPr>
          <w:rFonts w:ascii="Arial" w:hAnsi="Arial"/>
          <w:sz w:val="24"/>
          <w:lang w:val="fr-CA"/>
        </w:rPr>
        <w:t>Transf</w:t>
      </w:r>
      <w:r w:rsidR="00141B36" w:rsidRPr="00141B36">
        <w:rPr>
          <w:rFonts w:ascii="Arial" w:hAnsi="Arial"/>
          <w:sz w:val="24"/>
          <w:lang w:val="fr-CA"/>
        </w:rPr>
        <w:t>érer l’éluat surnageant dans un tube propre et étiqueté</w:t>
      </w:r>
      <w:r w:rsidRPr="00141B36">
        <w:rPr>
          <w:rFonts w:ascii="Arial" w:hAnsi="Arial"/>
          <w:sz w:val="24"/>
          <w:lang w:val="fr-CA"/>
        </w:rPr>
        <w:t>.</w:t>
      </w:r>
      <w:r w:rsidR="00821874" w:rsidRPr="00141B36">
        <w:rPr>
          <w:rFonts w:ascii="Arial" w:hAnsi="Arial"/>
          <w:sz w:val="24"/>
          <w:lang w:val="fr-CA"/>
        </w:rPr>
        <w:t xml:space="preserve"> </w:t>
      </w:r>
      <w:r w:rsidR="00141B36" w:rsidRPr="00141B36">
        <w:rPr>
          <w:rFonts w:ascii="Arial" w:hAnsi="Arial"/>
          <w:sz w:val="24"/>
          <w:lang w:val="fr-CA"/>
        </w:rPr>
        <w:t>Jeter les cellules qui se sont déposées au fond</w:t>
      </w:r>
      <w:r w:rsidRPr="00141B36">
        <w:rPr>
          <w:rFonts w:ascii="Arial" w:hAnsi="Arial"/>
          <w:sz w:val="24"/>
          <w:lang w:val="fr-CA"/>
        </w:rPr>
        <w:t>.</w:t>
      </w:r>
    </w:p>
    <w:p w:rsidR="00F54271" w:rsidRPr="000D1B83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0D1B83" w:rsidRDefault="00F54271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0D1B83">
        <w:rPr>
          <w:rFonts w:ascii="Arial" w:hAnsi="Arial"/>
          <w:sz w:val="24"/>
          <w:lang w:val="fr-CA"/>
        </w:rPr>
        <w:t>A</w:t>
      </w:r>
      <w:r w:rsidR="00141B36">
        <w:rPr>
          <w:rFonts w:ascii="Arial" w:hAnsi="Arial"/>
          <w:sz w:val="24"/>
          <w:lang w:val="fr-CA"/>
        </w:rPr>
        <w:t xml:space="preserve">jouter environ </w:t>
      </w:r>
      <w:r w:rsidRPr="000D1B83">
        <w:rPr>
          <w:rFonts w:ascii="Arial" w:hAnsi="Arial"/>
          <w:sz w:val="24"/>
          <w:lang w:val="fr-CA"/>
        </w:rPr>
        <w:t xml:space="preserve">5 </w:t>
      </w:r>
      <w:r w:rsidR="00141B36">
        <w:rPr>
          <w:rFonts w:ascii="Arial" w:hAnsi="Arial"/>
          <w:sz w:val="24"/>
          <w:lang w:val="fr-CA"/>
        </w:rPr>
        <w:t>gouttes de solution tampon basique et bien mélanger</w:t>
      </w:r>
      <w:r w:rsidRPr="000D1B83">
        <w:rPr>
          <w:rFonts w:ascii="Arial" w:hAnsi="Arial"/>
          <w:sz w:val="24"/>
          <w:lang w:val="fr-CA"/>
        </w:rPr>
        <w:t>.</w:t>
      </w:r>
    </w:p>
    <w:p w:rsidR="00F54271" w:rsidRPr="000D1B83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141B36" w:rsidRDefault="00F54271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141B36">
        <w:rPr>
          <w:rFonts w:ascii="Arial" w:hAnsi="Arial"/>
          <w:sz w:val="24"/>
          <w:lang w:val="fr-CA"/>
        </w:rPr>
        <w:t>Continue</w:t>
      </w:r>
      <w:r w:rsidR="00141B36" w:rsidRPr="00141B36">
        <w:rPr>
          <w:rFonts w:ascii="Arial" w:hAnsi="Arial"/>
          <w:sz w:val="24"/>
          <w:lang w:val="fr-CA"/>
        </w:rPr>
        <w:t xml:space="preserve">r à ajouter de la solution tampon basique </w:t>
      </w:r>
      <w:r w:rsidR="00920994">
        <w:rPr>
          <w:rFonts w:ascii="Arial" w:hAnsi="Arial"/>
          <w:sz w:val="24"/>
          <w:lang w:val="fr-CA"/>
        </w:rPr>
        <w:t>1</w:t>
      </w:r>
      <w:r w:rsidR="00141B36" w:rsidRPr="002B0182">
        <w:rPr>
          <w:rFonts w:ascii="Arial" w:hAnsi="Arial"/>
          <w:sz w:val="24"/>
          <w:lang w:val="fr-CA"/>
        </w:rPr>
        <w:t xml:space="preserve"> goutte à la fois</w:t>
      </w:r>
      <w:r w:rsidRPr="002B0182">
        <w:rPr>
          <w:rFonts w:ascii="Arial" w:hAnsi="Arial"/>
          <w:sz w:val="24"/>
          <w:lang w:val="fr-CA"/>
        </w:rPr>
        <w:t>,</w:t>
      </w:r>
      <w:r w:rsidRPr="00141B36">
        <w:rPr>
          <w:rFonts w:ascii="Arial" w:hAnsi="Arial"/>
          <w:sz w:val="24"/>
          <w:lang w:val="fr-CA"/>
        </w:rPr>
        <w:t xml:space="preserve"> </w:t>
      </w:r>
      <w:r w:rsidR="00141B36" w:rsidRPr="00141B36">
        <w:rPr>
          <w:rFonts w:ascii="Arial" w:hAnsi="Arial"/>
          <w:sz w:val="24"/>
          <w:lang w:val="fr-CA"/>
        </w:rPr>
        <w:t>en mélangeant après chaque goutte jusqu’à ce que le liquide devienne bleu et le reste même après mélange</w:t>
      </w:r>
      <w:r w:rsidRPr="00141B36">
        <w:rPr>
          <w:rFonts w:ascii="Arial" w:hAnsi="Arial"/>
          <w:sz w:val="24"/>
          <w:lang w:val="fr-CA"/>
        </w:rPr>
        <w:t>.</w:t>
      </w:r>
      <w:r w:rsidR="00821874" w:rsidRPr="00141B36">
        <w:rPr>
          <w:rFonts w:ascii="Arial" w:hAnsi="Arial"/>
          <w:sz w:val="24"/>
          <w:lang w:val="fr-CA"/>
        </w:rPr>
        <w:t xml:space="preserve"> </w:t>
      </w:r>
      <w:r w:rsidR="00D8472A" w:rsidRPr="00141B36">
        <w:rPr>
          <w:rFonts w:ascii="Arial" w:hAnsi="Arial"/>
          <w:sz w:val="24"/>
          <w:lang w:val="fr-CA"/>
        </w:rPr>
        <w:t xml:space="preserve">Voir </w:t>
      </w:r>
      <w:r w:rsidR="00141B36" w:rsidRPr="00141B36">
        <w:rPr>
          <w:rFonts w:ascii="Arial" w:hAnsi="Arial"/>
          <w:sz w:val="24"/>
          <w:lang w:val="fr-CA"/>
        </w:rPr>
        <w:t xml:space="preserve">les </w:t>
      </w:r>
      <w:r w:rsidR="002B0182">
        <w:rPr>
          <w:rFonts w:ascii="Arial" w:hAnsi="Arial"/>
          <w:sz w:val="24"/>
          <w:lang w:val="fr-CA"/>
        </w:rPr>
        <w:t>Remarques 8.2</w:t>
      </w:r>
      <w:r w:rsidR="00D8472A" w:rsidRPr="00141B36">
        <w:rPr>
          <w:rFonts w:ascii="Arial" w:hAnsi="Arial"/>
          <w:sz w:val="24"/>
          <w:lang w:val="fr-CA"/>
        </w:rPr>
        <w:t xml:space="preserve"> et 8.</w:t>
      </w:r>
      <w:r w:rsidR="002B0182">
        <w:rPr>
          <w:rFonts w:ascii="Arial" w:hAnsi="Arial"/>
          <w:sz w:val="24"/>
          <w:lang w:val="fr-CA"/>
        </w:rPr>
        <w:t>7</w:t>
      </w:r>
      <w:r w:rsidR="00D8472A" w:rsidRPr="00141B36">
        <w:rPr>
          <w:rFonts w:ascii="Arial" w:hAnsi="Arial"/>
          <w:sz w:val="24"/>
          <w:lang w:val="fr-CA"/>
        </w:rPr>
        <w:t>.5.</w:t>
      </w:r>
    </w:p>
    <w:p w:rsidR="00F54271" w:rsidRPr="000D1B83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3459B0" w:rsidRDefault="00141B36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3459B0">
        <w:rPr>
          <w:rFonts w:ascii="Arial" w:hAnsi="Arial"/>
          <w:sz w:val="24"/>
          <w:lang w:val="fr-CA"/>
        </w:rPr>
        <w:t xml:space="preserve">Bien mélanger et </w:t>
      </w:r>
      <w:r w:rsidR="00F54271" w:rsidRPr="003459B0">
        <w:rPr>
          <w:rFonts w:ascii="Arial" w:hAnsi="Arial"/>
          <w:sz w:val="24"/>
          <w:lang w:val="fr-CA"/>
        </w:rPr>
        <w:t>centrifuge</w:t>
      </w:r>
      <w:r w:rsidRPr="003459B0">
        <w:rPr>
          <w:rFonts w:ascii="Arial" w:hAnsi="Arial"/>
          <w:sz w:val="24"/>
          <w:lang w:val="fr-CA"/>
        </w:rPr>
        <w:t>r pour éliminer tout précipité ou débris cellulaire</w:t>
      </w:r>
      <w:r w:rsidR="00F54271" w:rsidRPr="003459B0">
        <w:rPr>
          <w:rFonts w:ascii="Arial" w:hAnsi="Arial"/>
          <w:sz w:val="24"/>
          <w:lang w:val="fr-CA"/>
        </w:rPr>
        <w:t>.</w:t>
      </w:r>
      <w:r w:rsidR="00821874" w:rsidRPr="003459B0">
        <w:rPr>
          <w:rFonts w:ascii="Arial" w:hAnsi="Arial"/>
          <w:sz w:val="24"/>
          <w:lang w:val="fr-CA"/>
        </w:rPr>
        <w:t xml:space="preserve"> </w:t>
      </w:r>
      <w:r w:rsidR="00F54271" w:rsidRPr="003459B0">
        <w:rPr>
          <w:rFonts w:ascii="Arial" w:hAnsi="Arial"/>
          <w:sz w:val="24"/>
          <w:lang w:val="fr-CA"/>
        </w:rPr>
        <w:t>Transf</w:t>
      </w:r>
      <w:r w:rsidRPr="003459B0">
        <w:rPr>
          <w:rFonts w:ascii="Arial" w:hAnsi="Arial"/>
          <w:sz w:val="24"/>
          <w:lang w:val="fr-CA"/>
        </w:rPr>
        <w:t>érer l’éluat dans un tube propre étiqueté.</w:t>
      </w:r>
    </w:p>
    <w:p w:rsidR="00F54271" w:rsidRPr="003459B0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3459B0" w:rsidRDefault="00821874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3459B0">
        <w:rPr>
          <w:rFonts w:ascii="Arial" w:hAnsi="Arial"/>
          <w:sz w:val="24"/>
          <w:lang w:val="fr-CA"/>
        </w:rPr>
        <w:t xml:space="preserve"> </w:t>
      </w:r>
      <w:r w:rsidR="003459B0" w:rsidRPr="003459B0">
        <w:rPr>
          <w:rFonts w:ascii="Arial" w:hAnsi="Arial"/>
          <w:sz w:val="24"/>
          <w:lang w:val="fr-CA"/>
        </w:rPr>
        <w:t xml:space="preserve">S’assurer que l’éluat est limpide. En présence de turbidité, répéter la </w:t>
      </w:r>
      <w:r w:rsidR="00F54271" w:rsidRPr="003459B0">
        <w:rPr>
          <w:rFonts w:ascii="Arial" w:hAnsi="Arial"/>
          <w:sz w:val="24"/>
          <w:lang w:val="fr-CA"/>
        </w:rPr>
        <w:t>centrifugation.</w:t>
      </w:r>
      <w:r w:rsidRPr="003459B0">
        <w:rPr>
          <w:rFonts w:ascii="Arial" w:hAnsi="Arial"/>
          <w:sz w:val="24"/>
          <w:lang w:val="fr-CA"/>
        </w:rPr>
        <w:t xml:space="preserve"> </w:t>
      </w:r>
      <w:r w:rsidR="00D8472A" w:rsidRPr="003459B0">
        <w:rPr>
          <w:rFonts w:ascii="Arial" w:hAnsi="Arial"/>
          <w:sz w:val="24"/>
          <w:lang w:val="fr-CA"/>
        </w:rPr>
        <w:t xml:space="preserve">Voir </w:t>
      </w:r>
      <w:r w:rsidR="00141B36" w:rsidRPr="003459B0">
        <w:rPr>
          <w:rFonts w:ascii="Arial" w:hAnsi="Arial"/>
          <w:sz w:val="24"/>
          <w:lang w:val="fr-CA"/>
        </w:rPr>
        <w:t>la R</w:t>
      </w:r>
      <w:r w:rsidR="00D8472A" w:rsidRPr="003459B0">
        <w:rPr>
          <w:rFonts w:ascii="Arial" w:hAnsi="Arial"/>
          <w:sz w:val="24"/>
          <w:lang w:val="fr-CA"/>
        </w:rPr>
        <w:t>emarque 8.</w:t>
      </w:r>
      <w:r w:rsidR="002B0182">
        <w:rPr>
          <w:rFonts w:ascii="Arial" w:hAnsi="Arial"/>
          <w:sz w:val="24"/>
          <w:lang w:val="fr-CA"/>
        </w:rPr>
        <w:t>3</w:t>
      </w:r>
      <w:r w:rsidR="00D8472A" w:rsidRPr="003459B0">
        <w:rPr>
          <w:rFonts w:ascii="Arial" w:hAnsi="Arial"/>
          <w:sz w:val="24"/>
          <w:lang w:val="fr-CA"/>
        </w:rPr>
        <w:t>.</w:t>
      </w:r>
    </w:p>
    <w:p w:rsidR="00F54271" w:rsidRPr="000D1B83" w:rsidRDefault="00F54271">
      <w:pPr>
        <w:rPr>
          <w:rFonts w:ascii="Arial" w:hAnsi="Arial"/>
          <w:sz w:val="24"/>
          <w:lang w:val="fr-CA"/>
        </w:rPr>
      </w:pPr>
    </w:p>
    <w:p w:rsidR="008813CF" w:rsidRDefault="0037353B" w:rsidP="00DD25DC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8813CF">
        <w:rPr>
          <w:rFonts w:ascii="Arial" w:hAnsi="Arial"/>
          <w:sz w:val="24"/>
          <w:lang w:val="fr-CA"/>
        </w:rPr>
        <w:t xml:space="preserve">Tester </w:t>
      </w:r>
      <w:r w:rsidR="003459B0" w:rsidRPr="008813CF">
        <w:rPr>
          <w:rFonts w:ascii="Arial" w:hAnsi="Arial"/>
          <w:sz w:val="24"/>
          <w:lang w:val="fr-CA"/>
        </w:rPr>
        <w:t>l’éluat et le dernier lavage</w:t>
      </w:r>
      <w:r w:rsidR="00F54271" w:rsidRPr="008813CF">
        <w:rPr>
          <w:rFonts w:ascii="Arial" w:hAnsi="Arial"/>
          <w:sz w:val="24"/>
          <w:lang w:val="fr-CA"/>
        </w:rPr>
        <w:t xml:space="preserve"> </w:t>
      </w:r>
      <w:r w:rsidR="003459B0" w:rsidRPr="008813CF">
        <w:rPr>
          <w:rFonts w:ascii="Arial" w:hAnsi="Arial"/>
          <w:sz w:val="24"/>
          <w:lang w:val="fr-CA"/>
        </w:rPr>
        <w:t xml:space="preserve">(si le dernier lavage ne l’a pas déjà été). </w:t>
      </w:r>
    </w:p>
    <w:p w:rsidR="008813CF" w:rsidRDefault="008813CF" w:rsidP="008813CF">
      <w:pPr>
        <w:ind w:left="1440"/>
        <w:rPr>
          <w:rFonts w:ascii="Arial" w:hAnsi="Arial"/>
          <w:sz w:val="24"/>
          <w:lang w:val="fr-CA"/>
        </w:rPr>
      </w:pPr>
    </w:p>
    <w:p w:rsidR="00F54271" w:rsidRPr="008813CF" w:rsidRDefault="006F47E3" w:rsidP="00DD25DC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8813CF">
        <w:rPr>
          <w:rFonts w:ascii="Arial" w:hAnsi="Arial"/>
          <w:sz w:val="24"/>
          <w:lang w:val="fr-CA"/>
        </w:rPr>
        <w:t xml:space="preserve">Si </w:t>
      </w:r>
      <w:r w:rsidR="00C412C1" w:rsidRPr="008813CF">
        <w:rPr>
          <w:rFonts w:ascii="Arial" w:hAnsi="Arial"/>
          <w:sz w:val="24"/>
          <w:lang w:val="fr-CA"/>
        </w:rPr>
        <w:t xml:space="preserve">le surnageant </w:t>
      </w:r>
      <w:r w:rsidRPr="008813CF">
        <w:rPr>
          <w:rFonts w:ascii="Arial" w:hAnsi="Arial"/>
          <w:sz w:val="24"/>
          <w:lang w:val="fr-CA"/>
        </w:rPr>
        <w:t>du dernier lavage réagit positivement à l’une des cellules de dépistage, l’éluat</w:t>
      </w:r>
      <w:r w:rsidR="00C412C1" w:rsidRPr="008813CF">
        <w:rPr>
          <w:rFonts w:ascii="Arial" w:hAnsi="Arial"/>
          <w:sz w:val="24"/>
          <w:lang w:val="fr-CA"/>
        </w:rPr>
        <w:t xml:space="preserve"> doit être répét</w:t>
      </w:r>
      <w:r w:rsidR="00196B45" w:rsidRPr="008813CF">
        <w:rPr>
          <w:rFonts w:ascii="Arial" w:hAnsi="Arial"/>
          <w:sz w:val="24"/>
          <w:lang w:val="fr-CA"/>
        </w:rPr>
        <w:t>é</w:t>
      </w:r>
      <w:r w:rsidRPr="008813CF">
        <w:rPr>
          <w:rFonts w:ascii="Arial" w:hAnsi="Arial"/>
          <w:sz w:val="24"/>
          <w:lang w:val="fr-CA"/>
        </w:rPr>
        <w:t xml:space="preserve"> en lavant les cellules 2 autres fois ou plus avant de préparer l’éluat. Dans ce cas, il serait préférable de tester l’eau du dernier lavage avant de procéder à la préparation de l’éluat</w:t>
      </w:r>
      <w:r w:rsidR="00F54271" w:rsidRPr="008813CF">
        <w:rPr>
          <w:rFonts w:ascii="Arial" w:hAnsi="Arial"/>
          <w:sz w:val="24"/>
          <w:lang w:val="fr-CA"/>
        </w:rPr>
        <w:t>.</w:t>
      </w:r>
    </w:p>
    <w:p w:rsidR="00F54271" w:rsidRPr="00C62C05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Default="00C62C05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C62C05">
        <w:rPr>
          <w:rFonts w:ascii="Arial" w:hAnsi="Arial"/>
          <w:sz w:val="24"/>
          <w:lang w:val="fr-CA"/>
        </w:rPr>
        <w:t xml:space="preserve">Si </w:t>
      </w:r>
      <w:r w:rsidR="00D80ED7">
        <w:rPr>
          <w:rFonts w:ascii="Arial" w:hAnsi="Arial"/>
          <w:sz w:val="24"/>
          <w:lang w:val="fr-CA"/>
        </w:rPr>
        <w:t xml:space="preserve">le surnageant </w:t>
      </w:r>
      <w:r w:rsidRPr="00C62C05">
        <w:rPr>
          <w:rFonts w:ascii="Arial" w:hAnsi="Arial"/>
          <w:sz w:val="24"/>
          <w:lang w:val="fr-CA"/>
        </w:rPr>
        <w:t xml:space="preserve">du dernier lavage réagit </w:t>
      </w:r>
      <w:r w:rsidR="00F54271" w:rsidRPr="00C62C05">
        <w:rPr>
          <w:rFonts w:ascii="Arial" w:hAnsi="Arial"/>
          <w:sz w:val="24"/>
          <w:lang w:val="fr-CA"/>
        </w:rPr>
        <w:t>n</w:t>
      </w:r>
      <w:r w:rsidRPr="00C62C05">
        <w:rPr>
          <w:rFonts w:ascii="Arial" w:hAnsi="Arial"/>
          <w:sz w:val="24"/>
          <w:lang w:val="fr-CA"/>
        </w:rPr>
        <w:t>é</w:t>
      </w:r>
      <w:r w:rsidR="00F54271" w:rsidRPr="00C62C05">
        <w:rPr>
          <w:rFonts w:ascii="Arial" w:hAnsi="Arial"/>
          <w:sz w:val="24"/>
          <w:lang w:val="fr-CA"/>
        </w:rPr>
        <w:t>gative</w:t>
      </w:r>
      <w:r w:rsidRPr="00C62C05">
        <w:rPr>
          <w:rFonts w:ascii="Arial" w:hAnsi="Arial"/>
          <w:sz w:val="24"/>
          <w:lang w:val="fr-CA"/>
        </w:rPr>
        <w:t xml:space="preserve">ment et que l’éluat </w:t>
      </w:r>
      <w:r w:rsidRPr="002B0182">
        <w:rPr>
          <w:rFonts w:ascii="Arial" w:hAnsi="Arial"/>
          <w:sz w:val="24"/>
          <w:lang w:val="fr-CA"/>
        </w:rPr>
        <w:t xml:space="preserve">réagit </w:t>
      </w:r>
      <w:r w:rsidR="00F54271" w:rsidRPr="002B0182">
        <w:rPr>
          <w:rFonts w:ascii="Arial" w:hAnsi="Arial"/>
          <w:sz w:val="24"/>
          <w:lang w:val="fr-CA"/>
        </w:rPr>
        <w:t>positive</w:t>
      </w:r>
      <w:r w:rsidRPr="002B0182">
        <w:rPr>
          <w:rFonts w:ascii="Arial" w:hAnsi="Arial"/>
          <w:sz w:val="24"/>
          <w:lang w:val="fr-CA"/>
        </w:rPr>
        <w:t>ment à certaines ou à toutes les cellules de dépistage</w:t>
      </w:r>
      <w:r w:rsidR="00F54271" w:rsidRPr="00C62C05">
        <w:rPr>
          <w:rFonts w:ascii="Arial" w:hAnsi="Arial"/>
          <w:sz w:val="24"/>
          <w:lang w:val="fr-CA"/>
        </w:rPr>
        <w:t>, test</w:t>
      </w:r>
      <w:r w:rsidRPr="00C62C05">
        <w:rPr>
          <w:rFonts w:ascii="Arial" w:hAnsi="Arial"/>
          <w:sz w:val="24"/>
          <w:lang w:val="fr-CA"/>
        </w:rPr>
        <w:t>er l’éluat contre un panel de cellules</w:t>
      </w:r>
      <w:r w:rsidR="00F54271" w:rsidRPr="00C62C05">
        <w:rPr>
          <w:rFonts w:ascii="Arial" w:hAnsi="Arial"/>
          <w:sz w:val="24"/>
          <w:lang w:val="fr-CA"/>
        </w:rPr>
        <w:t>.</w:t>
      </w:r>
      <w:r w:rsidR="00821874" w:rsidRPr="00C62C05">
        <w:rPr>
          <w:rFonts w:ascii="Arial" w:hAnsi="Arial"/>
          <w:sz w:val="24"/>
          <w:lang w:val="fr-CA"/>
        </w:rPr>
        <w:t xml:space="preserve"> </w:t>
      </w:r>
      <w:r w:rsidRPr="00C62C05">
        <w:rPr>
          <w:rFonts w:ascii="Arial" w:hAnsi="Arial"/>
          <w:sz w:val="24"/>
          <w:lang w:val="fr-CA"/>
        </w:rPr>
        <w:t xml:space="preserve">Voir EC.007- Identification d’anticorps réactifs chauds et </w:t>
      </w:r>
      <w:r w:rsidR="008813CF">
        <w:rPr>
          <w:rFonts w:ascii="Arial" w:hAnsi="Arial"/>
          <w:sz w:val="24"/>
          <w:lang w:val="fr-CA"/>
        </w:rPr>
        <w:t xml:space="preserve">se </w:t>
      </w:r>
      <w:r w:rsidRPr="00C62C05">
        <w:rPr>
          <w:rFonts w:ascii="Arial" w:hAnsi="Arial"/>
          <w:sz w:val="24"/>
          <w:lang w:val="fr-CA"/>
        </w:rPr>
        <w:t xml:space="preserve">servir de </w:t>
      </w:r>
      <w:r w:rsidRPr="002E69FA">
        <w:rPr>
          <w:rFonts w:ascii="Arial" w:hAnsi="Arial"/>
          <w:sz w:val="24"/>
          <w:lang w:val="fr-CA"/>
        </w:rPr>
        <w:t>l’é</w:t>
      </w:r>
      <w:r w:rsidR="00F54271" w:rsidRPr="002E69FA">
        <w:rPr>
          <w:rFonts w:ascii="Arial" w:hAnsi="Arial"/>
          <w:sz w:val="24"/>
          <w:lang w:val="fr-CA"/>
        </w:rPr>
        <w:t>luat</w:t>
      </w:r>
      <w:r w:rsidR="00F54271" w:rsidRPr="00C62C05">
        <w:rPr>
          <w:rFonts w:ascii="Arial" w:hAnsi="Arial"/>
          <w:sz w:val="24"/>
          <w:lang w:val="fr-CA"/>
        </w:rPr>
        <w:t xml:space="preserve"> </w:t>
      </w:r>
      <w:r w:rsidRPr="00C62C05">
        <w:rPr>
          <w:rFonts w:ascii="Arial" w:hAnsi="Arial"/>
          <w:sz w:val="24"/>
          <w:lang w:val="fr-CA"/>
        </w:rPr>
        <w:t xml:space="preserve">au lieu de </w:t>
      </w:r>
      <w:r w:rsidR="00F54271" w:rsidRPr="00C62C05">
        <w:rPr>
          <w:rFonts w:ascii="Arial" w:hAnsi="Arial"/>
          <w:sz w:val="24"/>
          <w:lang w:val="fr-CA"/>
        </w:rPr>
        <w:t>plasma.</w:t>
      </w:r>
      <w:r w:rsidR="002E69FA">
        <w:rPr>
          <w:rFonts w:ascii="Arial" w:hAnsi="Arial"/>
          <w:sz w:val="24"/>
          <w:lang w:val="fr-CA"/>
        </w:rPr>
        <w:br/>
      </w:r>
    </w:p>
    <w:p w:rsidR="00F54271" w:rsidRPr="002E69FA" w:rsidRDefault="002E69FA" w:rsidP="002E69FA">
      <w:pPr>
        <w:numPr>
          <w:ilvl w:val="1"/>
          <w:numId w:val="1"/>
        </w:numPr>
        <w:tabs>
          <w:tab w:val="num" w:pos="1800"/>
        </w:tabs>
        <w:rPr>
          <w:rFonts w:ascii="Arial" w:hAnsi="Arial"/>
          <w:sz w:val="24"/>
          <w:lang w:val="fr-CA"/>
        </w:rPr>
      </w:pPr>
      <w:r w:rsidRPr="002E69FA">
        <w:rPr>
          <w:rFonts w:ascii="Arial" w:hAnsi="Arial"/>
          <w:sz w:val="24"/>
          <w:lang w:val="fr-CA"/>
        </w:rPr>
        <w:t>Si tant le dernier lavage que l’éluat réagissent négativement aux cellules de dépistage, que le dernier lavage a une réaction négative aux cellules A</w:t>
      </w:r>
      <w:r w:rsidRPr="002E69FA">
        <w:rPr>
          <w:rFonts w:ascii="Arial" w:hAnsi="Arial"/>
          <w:sz w:val="24"/>
          <w:vertAlign w:val="subscript"/>
          <w:lang w:val="fr-CA"/>
        </w:rPr>
        <w:t>1</w:t>
      </w:r>
      <w:r w:rsidRPr="002E69FA">
        <w:rPr>
          <w:rFonts w:ascii="Arial" w:hAnsi="Arial"/>
          <w:sz w:val="24"/>
          <w:lang w:val="fr-CA"/>
        </w:rPr>
        <w:t xml:space="preserve"> et/ou B et que l’éluat réagit positivement aux cellules A</w:t>
      </w:r>
      <w:r w:rsidRPr="002E69FA">
        <w:rPr>
          <w:rFonts w:ascii="Arial" w:hAnsi="Arial"/>
          <w:sz w:val="24"/>
          <w:vertAlign w:val="subscript"/>
          <w:lang w:val="fr-CA"/>
        </w:rPr>
        <w:t>1</w:t>
      </w:r>
      <w:r w:rsidRPr="002E69FA">
        <w:rPr>
          <w:rFonts w:ascii="Arial" w:hAnsi="Arial"/>
          <w:sz w:val="24"/>
          <w:lang w:val="fr-CA"/>
        </w:rPr>
        <w:t xml:space="preserve"> et/ou B,</w:t>
      </w:r>
      <w:r>
        <w:rPr>
          <w:rFonts w:ascii="Arial" w:hAnsi="Arial"/>
          <w:sz w:val="24"/>
          <w:lang w:val="fr-CA"/>
        </w:rPr>
        <w:t xml:space="preserve"> </w:t>
      </w:r>
      <w:r w:rsidR="00582D2E" w:rsidRPr="002E69FA">
        <w:rPr>
          <w:rFonts w:ascii="Arial" w:hAnsi="Arial"/>
          <w:sz w:val="24"/>
          <w:lang w:val="fr-CA"/>
        </w:rPr>
        <w:t xml:space="preserve">les cellules sont recouvertes d’anticorps </w:t>
      </w:r>
      <w:r w:rsidR="00F54271" w:rsidRPr="002E69FA">
        <w:rPr>
          <w:rFonts w:ascii="Arial" w:hAnsi="Arial"/>
          <w:sz w:val="24"/>
          <w:lang w:val="fr-CA"/>
        </w:rPr>
        <w:t>ABO probabl</w:t>
      </w:r>
      <w:r w:rsidR="00582D2E" w:rsidRPr="002E69FA">
        <w:rPr>
          <w:rFonts w:ascii="Arial" w:hAnsi="Arial"/>
          <w:sz w:val="24"/>
          <w:lang w:val="fr-CA"/>
        </w:rPr>
        <w:t>ement en raison de la transfusion de composants plasmatiques ou de dérivés contenant des a</w:t>
      </w:r>
      <w:r w:rsidR="00F54271" w:rsidRPr="002E69FA">
        <w:rPr>
          <w:rFonts w:ascii="Arial" w:hAnsi="Arial"/>
          <w:sz w:val="24"/>
          <w:lang w:val="fr-CA"/>
        </w:rPr>
        <w:t xml:space="preserve">nti-A,B, </w:t>
      </w:r>
      <w:r w:rsidR="00582D2E" w:rsidRPr="002E69FA">
        <w:rPr>
          <w:rFonts w:ascii="Arial" w:hAnsi="Arial"/>
          <w:sz w:val="24"/>
          <w:lang w:val="fr-CA"/>
        </w:rPr>
        <w:t xml:space="preserve">des </w:t>
      </w:r>
      <w:r w:rsidR="00F54271" w:rsidRPr="002E69FA">
        <w:rPr>
          <w:rFonts w:ascii="Arial" w:hAnsi="Arial"/>
          <w:sz w:val="24"/>
          <w:lang w:val="fr-CA"/>
        </w:rPr>
        <w:t xml:space="preserve">anti-A </w:t>
      </w:r>
      <w:r w:rsidR="00582D2E" w:rsidRPr="002E69FA">
        <w:rPr>
          <w:rFonts w:ascii="Arial" w:hAnsi="Arial"/>
          <w:sz w:val="24"/>
          <w:lang w:val="fr-CA"/>
        </w:rPr>
        <w:t>et</w:t>
      </w:r>
      <w:r w:rsidR="00F54271" w:rsidRPr="002E69FA">
        <w:rPr>
          <w:rFonts w:ascii="Arial" w:hAnsi="Arial"/>
          <w:sz w:val="24"/>
          <w:lang w:val="fr-CA"/>
        </w:rPr>
        <w:t>/o</w:t>
      </w:r>
      <w:r w:rsidR="00582D2E" w:rsidRPr="002E69FA">
        <w:rPr>
          <w:rFonts w:ascii="Arial" w:hAnsi="Arial"/>
          <w:sz w:val="24"/>
          <w:lang w:val="fr-CA"/>
        </w:rPr>
        <w:t>u</w:t>
      </w:r>
      <w:r w:rsidR="00F54271" w:rsidRPr="002E69FA">
        <w:rPr>
          <w:rFonts w:ascii="Arial" w:hAnsi="Arial"/>
          <w:sz w:val="24"/>
          <w:lang w:val="fr-CA"/>
        </w:rPr>
        <w:t xml:space="preserve"> </w:t>
      </w:r>
      <w:r w:rsidR="00582D2E" w:rsidRPr="002E69FA">
        <w:rPr>
          <w:rFonts w:ascii="Arial" w:hAnsi="Arial"/>
          <w:sz w:val="24"/>
          <w:lang w:val="fr-CA"/>
        </w:rPr>
        <w:t xml:space="preserve">des </w:t>
      </w:r>
      <w:r w:rsidR="00F54271" w:rsidRPr="002E69FA">
        <w:rPr>
          <w:rFonts w:ascii="Arial" w:hAnsi="Arial"/>
          <w:sz w:val="24"/>
          <w:lang w:val="fr-CA"/>
        </w:rPr>
        <w:t>anti B o</w:t>
      </w:r>
      <w:r w:rsidR="00582D2E" w:rsidRPr="002E69FA">
        <w:rPr>
          <w:rFonts w:ascii="Arial" w:hAnsi="Arial"/>
          <w:sz w:val="24"/>
          <w:lang w:val="fr-CA"/>
        </w:rPr>
        <w:t>u d’un anticorps ABO maternel</w:t>
      </w:r>
      <w:r w:rsidR="00F54271" w:rsidRPr="002E69FA">
        <w:rPr>
          <w:rFonts w:ascii="Arial" w:hAnsi="Arial"/>
          <w:sz w:val="24"/>
          <w:lang w:val="fr-CA"/>
        </w:rPr>
        <w:t>.</w:t>
      </w:r>
      <w:r w:rsidR="00821874" w:rsidRPr="002E69FA">
        <w:rPr>
          <w:rFonts w:ascii="Arial" w:hAnsi="Arial"/>
          <w:sz w:val="24"/>
          <w:lang w:val="fr-CA"/>
        </w:rPr>
        <w:t xml:space="preserve"> </w:t>
      </w:r>
      <w:r w:rsidR="00D8472A" w:rsidRPr="002E69FA">
        <w:rPr>
          <w:rFonts w:ascii="Arial" w:hAnsi="Arial"/>
          <w:sz w:val="24"/>
          <w:lang w:val="fr-CA"/>
        </w:rPr>
        <w:t>Voir 7.0 – Documentation.</w:t>
      </w:r>
    </w:p>
    <w:p w:rsidR="00F54271" w:rsidRPr="00C62C05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C62C05" w:rsidRDefault="00C62C05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C62C05">
        <w:rPr>
          <w:rFonts w:ascii="Arial" w:hAnsi="Arial"/>
          <w:sz w:val="24"/>
          <w:lang w:val="fr-CA"/>
        </w:rPr>
        <w:t xml:space="preserve">Si </w:t>
      </w:r>
      <w:r w:rsidR="00D80ED7">
        <w:rPr>
          <w:rFonts w:ascii="Arial" w:hAnsi="Arial"/>
          <w:sz w:val="24"/>
          <w:lang w:val="fr-CA"/>
        </w:rPr>
        <w:t>le surnageant</w:t>
      </w:r>
      <w:r w:rsidR="00D80ED7" w:rsidRPr="00C62C05">
        <w:rPr>
          <w:rFonts w:ascii="Arial" w:hAnsi="Arial"/>
          <w:sz w:val="24"/>
          <w:lang w:val="fr-CA"/>
        </w:rPr>
        <w:t xml:space="preserve"> </w:t>
      </w:r>
      <w:r w:rsidRPr="00C62C05">
        <w:rPr>
          <w:rFonts w:ascii="Arial" w:hAnsi="Arial"/>
          <w:sz w:val="24"/>
          <w:lang w:val="fr-CA"/>
        </w:rPr>
        <w:t>du dernier lavage réagit négativement et que l’éluat réagit</w:t>
      </w:r>
      <w:r w:rsidR="00F54271" w:rsidRPr="00C62C05">
        <w:rPr>
          <w:rFonts w:ascii="Arial" w:hAnsi="Arial"/>
          <w:sz w:val="24"/>
          <w:lang w:val="fr-CA"/>
        </w:rPr>
        <w:t xml:space="preserve"> </w:t>
      </w:r>
      <w:r w:rsidR="00F54271" w:rsidRPr="002E69FA">
        <w:rPr>
          <w:rFonts w:ascii="Arial" w:hAnsi="Arial"/>
          <w:sz w:val="24"/>
          <w:lang w:val="fr-CA"/>
        </w:rPr>
        <w:t>positive</w:t>
      </w:r>
      <w:r w:rsidRPr="002E69FA">
        <w:rPr>
          <w:rFonts w:ascii="Arial" w:hAnsi="Arial"/>
          <w:sz w:val="24"/>
          <w:lang w:val="fr-CA"/>
        </w:rPr>
        <w:t>ment</w:t>
      </w:r>
      <w:r w:rsidR="00F54271" w:rsidRPr="002E69FA">
        <w:rPr>
          <w:rFonts w:ascii="Arial" w:hAnsi="Arial"/>
          <w:sz w:val="24"/>
          <w:lang w:val="fr-CA"/>
        </w:rPr>
        <w:t xml:space="preserve"> </w:t>
      </w:r>
      <w:r w:rsidR="00582D2E" w:rsidRPr="002E69FA">
        <w:rPr>
          <w:rFonts w:ascii="Arial" w:hAnsi="Arial"/>
          <w:sz w:val="24"/>
          <w:lang w:val="fr-CA"/>
        </w:rPr>
        <w:t>à certaines ou toutes les cellules du panel :</w:t>
      </w:r>
      <w:r w:rsidR="00582D2E" w:rsidRPr="002E69FA">
        <w:rPr>
          <w:rFonts w:ascii="Arial" w:hAnsi="Arial"/>
          <w:sz w:val="24"/>
          <w:lang w:val="fr-CA"/>
        </w:rPr>
        <w:br/>
      </w:r>
    </w:p>
    <w:p w:rsidR="00F54271" w:rsidRPr="00C62C05" w:rsidRDefault="00F54271" w:rsidP="00B46C2C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C62C05">
        <w:rPr>
          <w:rFonts w:ascii="Arial" w:hAnsi="Arial"/>
          <w:sz w:val="24"/>
          <w:lang w:val="fr-CA"/>
        </w:rPr>
        <w:t>P</w:t>
      </w:r>
      <w:r w:rsidR="00B46C2C" w:rsidRPr="00C62C05">
        <w:rPr>
          <w:rFonts w:ascii="Arial" w:hAnsi="Arial"/>
          <w:sz w:val="24"/>
          <w:lang w:val="fr-CA"/>
        </w:rPr>
        <w:t>rocéder à une exclusion d’anticorps</w:t>
      </w:r>
      <w:r w:rsidRPr="00C62C05">
        <w:rPr>
          <w:rFonts w:ascii="Arial" w:hAnsi="Arial"/>
          <w:sz w:val="24"/>
          <w:lang w:val="fr-CA"/>
        </w:rPr>
        <w:t>.</w:t>
      </w:r>
      <w:r w:rsidR="00821874" w:rsidRPr="00C62C05">
        <w:rPr>
          <w:rFonts w:ascii="Arial" w:hAnsi="Arial"/>
          <w:sz w:val="24"/>
          <w:lang w:val="fr-CA"/>
        </w:rPr>
        <w:t xml:space="preserve"> </w:t>
      </w:r>
      <w:r w:rsidR="00D8472A" w:rsidRPr="00C62C05">
        <w:rPr>
          <w:rFonts w:ascii="Arial" w:hAnsi="Arial"/>
          <w:sz w:val="24"/>
          <w:lang w:val="fr-CA"/>
        </w:rPr>
        <w:t>Voir EC.008 - Exclusion d'anticorps</w:t>
      </w:r>
      <w:r w:rsidR="005C5F98">
        <w:rPr>
          <w:rFonts w:ascii="Arial" w:hAnsi="Arial"/>
          <w:sz w:val="24"/>
          <w:lang w:val="fr-CA"/>
        </w:rPr>
        <w:t xml:space="preserve">. </w:t>
      </w:r>
      <w:r w:rsidR="006F47E3" w:rsidRPr="00C62C05">
        <w:rPr>
          <w:rFonts w:ascii="Arial" w:hAnsi="Arial"/>
          <w:sz w:val="24"/>
          <w:lang w:val="fr-CA"/>
        </w:rPr>
        <w:t>Si toutes les cellules réagissent positivement, envisager un anticorps</w:t>
      </w:r>
      <w:r w:rsidRPr="00C62C05">
        <w:rPr>
          <w:rFonts w:ascii="Arial" w:hAnsi="Arial"/>
          <w:sz w:val="24"/>
          <w:lang w:val="fr-CA"/>
        </w:rPr>
        <w:t xml:space="preserve"> </w:t>
      </w:r>
      <w:r w:rsidR="008813CF">
        <w:rPr>
          <w:rFonts w:ascii="Arial" w:hAnsi="Arial"/>
          <w:sz w:val="24"/>
          <w:lang w:val="fr-CA"/>
        </w:rPr>
        <w:t>à un antigène très fréquent,</w:t>
      </w:r>
      <w:r w:rsidR="00B46C2C" w:rsidRPr="00C62C05">
        <w:rPr>
          <w:rFonts w:ascii="Arial" w:hAnsi="Arial"/>
          <w:sz w:val="24"/>
          <w:lang w:val="fr-CA"/>
        </w:rPr>
        <w:t xml:space="preserve"> un autoanticorps </w:t>
      </w:r>
      <w:r w:rsidRPr="00C62C05">
        <w:rPr>
          <w:rFonts w:ascii="Arial" w:hAnsi="Arial"/>
          <w:sz w:val="24"/>
          <w:lang w:val="fr-CA"/>
        </w:rPr>
        <w:t>pan-r</w:t>
      </w:r>
      <w:r w:rsidR="006F47E3" w:rsidRPr="00C62C05">
        <w:rPr>
          <w:rFonts w:ascii="Arial" w:hAnsi="Arial"/>
          <w:sz w:val="24"/>
          <w:lang w:val="fr-CA"/>
        </w:rPr>
        <w:t>é</w:t>
      </w:r>
      <w:r w:rsidRPr="00C62C05">
        <w:rPr>
          <w:rFonts w:ascii="Arial" w:hAnsi="Arial"/>
          <w:sz w:val="24"/>
          <w:lang w:val="fr-CA"/>
        </w:rPr>
        <w:t>acti</w:t>
      </w:r>
      <w:r w:rsidR="006F47E3" w:rsidRPr="00C62C05">
        <w:rPr>
          <w:rFonts w:ascii="Arial" w:hAnsi="Arial"/>
          <w:sz w:val="24"/>
          <w:lang w:val="fr-CA"/>
        </w:rPr>
        <w:t>f</w:t>
      </w:r>
      <w:r w:rsidR="008813CF">
        <w:rPr>
          <w:rFonts w:ascii="Arial" w:hAnsi="Arial"/>
          <w:sz w:val="24"/>
          <w:lang w:val="fr-CA"/>
        </w:rPr>
        <w:t xml:space="preserve"> ou un anticorps résultant d’un médicament (consulter le tableau EC-010-1)</w:t>
      </w:r>
      <w:r w:rsidRPr="00C62C05">
        <w:rPr>
          <w:rFonts w:ascii="Arial" w:hAnsi="Arial"/>
          <w:sz w:val="24"/>
          <w:lang w:val="fr-CA"/>
        </w:rPr>
        <w:t>.</w:t>
      </w:r>
    </w:p>
    <w:p w:rsidR="00F54271" w:rsidRPr="00C62C05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C62C05" w:rsidRDefault="00C62C05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C62C05">
        <w:rPr>
          <w:rFonts w:ascii="Arial" w:hAnsi="Arial"/>
          <w:sz w:val="24"/>
          <w:lang w:val="fr-CA"/>
        </w:rPr>
        <w:t>Si l’élution révèle la présence d’un ou de plusieurs anticorps cliniquement significatifs, choisir des unités de donneur qui ne contiennent pas d’antigène à ce ou ces anticorps pour l’épreuve de compatibilité</w:t>
      </w:r>
      <w:r w:rsidR="00F54271" w:rsidRPr="00C62C05">
        <w:rPr>
          <w:rFonts w:ascii="Arial" w:hAnsi="Arial"/>
          <w:sz w:val="24"/>
          <w:lang w:val="fr-CA"/>
        </w:rPr>
        <w:t>.</w:t>
      </w:r>
    </w:p>
    <w:p w:rsidR="00F54271" w:rsidRPr="00C62C05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C62C05" w:rsidRDefault="00821874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C62C05">
        <w:rPr>
          <w:rFonts w:ascii="Arial" w:hAnsi="Arial"/>
          <w:sz w:val="24"/>
          <w:lang w:val="fr-CA"/>
        </w:rPr>
        <w:t xml:space="preserve"> </w:t>
      </w:r>
      <w:r w:rsidR="00C62C05" w:rsidRPr="00C62C05">
        <w:rPr>
          <w:rFonts w:ascii="Arial" w:hAnsi="Arial"/>
          <w:sz w:val="24"/>
          <w:lang w:val="fr-CA"/>
        </w:rPr>
        <w:t>Inscrire l’anticorps identifié</w:t>
      </w:r>
      <w:r w:rsidR="00F54271" w:rsidRPr="00C62C05">
        <w:rPr>
          <w:rFonts w:ascii="Arial" w:hAnsi="Arial"/>
          <w:sz w:val="24"/>
          <w:lang w:val="fr-CA"/>
        </w:rPr>
        <w:t>.</w:t>
      </w:r>
      <w:r w:rsidRPr="00C62C05">
        <w:rPr>
          <w:rFonts w:ascii="Arial" w:hAnsi="Arial"/>
          <w:sz w:val="24"/>
          <w:lang w:val="fr-CA"/>
        </w:rPr>
        <w:t xml:space="preserve"> </w:t>
      </w:r>
      <w:r w:rsidR="00D8472A" w:rsidRPr="00C62C05">
        <w:rPr>
          <w:rFonts w:ascii="Arial" w:hAnsi="Arial"/>
          <w:sz w:val="24"/>
          <w:lang w:val="fr-CA"/>
        </w:rPr>
        <w:t>Voir 7.0 – Documentation.</w:t>
      </w:r>
    </w:p>
    <w:p w:rsidR="00F54271" w:rsidRPr="00C62C05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C62C05" w:rsidRDefault="00C62C05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C62C05">
        <w:rPr>
          <w:rFonts w:ascii="Arial" w:hAnsi="Arial"/>
          <w:sz w:val="24"/>
          <w:lang w:val="fr-CA"/>
        </w:rPr>
        <w:t xml:space="preserve">Si le dernier lavage et l’éluat ont une réaction </w:t>
      </w:r>
      <w:r w:rsidR="00F54271" w:rsidRPr="002E69FA">
        <w:rPr>
          <w:rFonts w:ascii="Arial" w:hAnsi="Arial"/>
          <w:sz w:val="24"/>
          <w:lang w:val="fr-CA"/>
        </w:rPr>
        <w:t>n</w:t>
      </w:r>
      <w:r w:rsidRPr="002E69FA">
        <w:rPr>
          <w:rFonts w:ascii="Arial" w:hAnsi="Arial"/>
          <w:sz w:val="24"/>
          <w:lang w:val="fr-CA"/>
        </w:rPr>
        <w:t>é</w:t>
      </w:r>
      <w:r w:rsidR="00F54271" w:rsidRPr="002E69FA">
        <w:rPr>
          <w:rFonts w:ascii="Arial" w:hAnsi="Arial"/>
          <w:sz w:val="24"/>
          <w:lang w:val="fr-CA"/>
        </w:rPr>
        <w:t xml:space="preserve">gative </w:t>
      </w:r>
      <w:r w:rsidRPr="002E69FA">
        <w:rPr>
          <w:rFonts w:ascii="Arial" w:hAnsi="Arial"/>
          <w:sz w:val="24"/>
          <w:lang w:val="fr-CA"/>
        </w:rPr>
        <w:t>aux cellules de dépistage et aux cellules</w:t>
      </w:r>
      <w:r w:rsidR="00F54271" w:rsidRPr="002E69FA">
        <w:rPr>
          <w:rFonts w:ascii="Arial" w:hAnsi="Arial"/>
          <w:sz w:val="24"/>
          <w:lang w:val="fr-CA"/>
        </w:rPr>
        <w:t xml:space="preserve"> A</w:t>
      </w:r>
      <w:r w:rsidR="00F54271" w:rsidRPr="002E69FA">
        <w:rPr>
          <w:rFonts w:ascii="Arial" w:hAnsi="Arial"/>
          <w:sz w:val="24"/>
          <w:vertAlign w:val="subscript"/>
          <w:lang w:val="fr-CA"/>
        </w:rPr>
        <w:t>1</w:t>
      </w:r>
      <w:r w:rsidR="00F54271" w:rsidRPr="002E69FA">
        <w:rPr>
          <w:rFonts w:ascii="Arial" w:hAnsi="Arial"/>
          <w:sz w:val="24"/>
          <w:lang w:val="fr-CA"/>
        </w:rPr>
        <w:t xml:space="preserve"> </w:t>
      </w:r>
      <w:r w:rsidRPr="002E69FA">
        <w:rPr>
          <w:rFonts w:ascii="Arial" w:hAnsi="Arial"/>
          <w:sz w:val="24"/>
          <w:lang w:val="fr-CA"/>
        </w:rPr>
        <w:t>et</w:t>
      </w:r>
      <w:r w:rsidRPr="002E69FA">
        <w:rPr>
          <w:rFonts w:ascii="Arial" w:hAnsi="Arial"/>
          <w:b/>
          <w:sz w:val="24"/>
          <w:lang w:val="fr-CA"/>
        </w:rPr>
        <w:t xml:space="preserve"> </w:t>
      </w:r>
      <w:r w:rsidR="00F54271" w:rsidRPr="002E69FA">
        <w:rPr>
          <w:rFonts w:ascii="Arial" w:hAnsi="Arial"/>
          <w:sz w:val="24"/>
          <w:lang w:val="fr-CA"/>
        </w:rPr>
        <w:t>B,</w:t>
      </w:r>
      <w:r w:rsidR="00F54271" w:rsidRPr="00C62C05">
        <w:rPr>
          <w:rFonts w:ascii="Arial" w:hAnsi="Arial"/>
          <w:sz w:val="24"/>
          <w:lang w:val="fr-CA"/>
        </w:rPr>
        <w:t xml:space="preserve"> </w:t>
      </w:r>
      <w:r w:rsidRPr="00C62C05">
        <w:rPr>
          <w:rFonts w:ascii="Arial" w:hAnsi="Arial"/>
          <w:sz w:val="24"/>
          <w:lang w:val="fr-CA"/>
        </w:rPr>
        <w:t>le cas échéant, inscrire les résultats</w:t>
      </w:r>
      <w:r w:rsidR="00F54271" w:rsidRPr="00C62C05">
        <w:rPr>
          <w:rFonts w:ascii="Arial" w:hAnsi="Arial"/>
          <w:sz w:val="24"/>
          <w:lang w:val="fr-CA"/>
        </w:rPr>
        <w:t>.</w:t>
      </w:r>
      <w:r w:rsidR="00821874" w:rsidRPr="00C62C05">
        <w:rPr>
          <w:rFonts w:ascii="Arial" w:hAnsi="Arial"/>
          <w:sz w:val="24"/>
          <w:lang w:val="fr-CA"/>
        </w:rPr>
        <w:t xml:space="preserve"> </w:t>
      </w:r>
      <w:r w:rsidRPr="00C62C05">
        <w:rPr>
          <w:rFonts w:ascii="Arial" w:hAnsi="Arial"/>
          <w:sz w:val="24"/>
          <w:lang w:val="fr-CA"/>
        </w:rPr>
        <w:t xml:space="preserve">Voir les Remarques </w:t>
      </w:r>
      <w:r w:rsidR="00F54271" w:rsidRPr="00C62C05">
        <w:rPr>
          <w:rFonts w:ascii="Arial" w:hAnsi="Arial"/>
          <w:sz w:val="24"/>
          <w:lang w:val="fr-CA"/>
        </w:rPr>
        <w:t>8.</w:t>
      </w:r>
      <w:r w:rsidR="002E69FA">
        <w:rPr>
          <w:rFonts w:ascii="Arial" w:hAnsi="Arial"/>
          <w:sz w:val="24"/>
          <w:lang w:val="fr-CA"/>
        </w:rPr>
        <w:t>5</w:t>
      </w:r>
      <w:r w:rsidR="00F54271" w:rsidRPr="00C62C05">
        <w:rPr>
          <w:rFonts w:ascii="Arial" w:hAnsi="Arial"/>
          <w:sz w:val="24"/>
          <w:lang w:val="fr-CA"/>
        </w:rPr>
        <w:t>, 8.</w:t>
      </w:r>
      <w:r w:rsidR="00196B45">
        <w:rPr>
          <w:rFonts w:ascii="Arial" w:hAnsi="Arial"/>
          <w:sz w:val="24"/>
          <w:lang w:val="fr-CA"/>
        </w:rPr>
        <w:t xml:space="preserve">7 et </w:t>
      </w:r>
      <w:r w:rsidR="00F54271" w:rsidRPr="00C62C05">
        <w:rPr>
          <w:rFonts w:ascii="Arial" w:hAnsi="Arial"/>
          <w:sz w:val="24"/>
          <w:lang w:val="fr-CA"/>
        </w:rPr>
        <w:t>8.</w:t>
      </w:r>
      <w:r w:rsidR="002E69FA">
        <w:rPr>
          <w:rFonts w:ascii="Arial" w:hAnsi="Arial"/>
          <w:sz w:val="24"/>
          <w:lang w:val="fr-CA"/>
        </w:rPr>
        <w:t>8</w:t>
      </w:r>
      <w:r w:rsidR="00F54271" w:rsidRPr="00C62C05">
        <w:rPr>
          <w:rFonts w:ascii="Arial" w:hAnsi="Arial"/>
          <w:sz w:val="24"/>
          <w:lang w:val="fr-CA"/>
        </w:rPr>
        <w:t xml:space="preserve"> </w:t>
      </w:r>
      <w:r w:rsidRPr="00C62C05">
        <w:rPr>
          <w:rFonts w:ascii="Arial" w:hAnsi="Arial"/>
          <w:sz w:val="24"/>
          <w:lang w:val="fr-CA"/>
        </w:rPr>
        <w:t>et la section</w:t>
      </w:r>
      <w:r w:rsidR="00F54271" w:rsidRPr="00C62C05">
        <w:rPr>
          <w:rFonts w:ascii="Arial" w:hAnsi="Arial"/>
          <w:sz w:val="24"/>
          <w:lang w:val="fr-CA"/>
        </w:rPr>
        <w:t xml:space="preserve"> 7.0 – </w:t>
      </w:r>
      <w:r w:rsidRPr="00C62C05">
        <w:rPr>
          <w:rFonts w:ascii="Arial" w:hAnsi="Arial"/>
          <w:sz w:val="24"/>
          <w:lang w:val="fr-CA"/>
        </w:rPr>
        <w:t xml:space="preserve">Documentation. </w:t>
      </w:r>
    </w:p>
    <w:p w:rsidR="00F54271" w:rsidRPr="000D1B83" w:rsidRDefault="00F54271">
      <w:pPr>
        <w:rPr>
          <w:rFonts w:ascii="Arial" w:hAnsi="Arial"/>
          <w:sz w:val="24"/>
          <w:lang w:val="fr-CA"/>
        </w:rPr>
      </w:pPr>
    </w:p>
    <w:p w:rsidR="00F54271" w:rsidRPr="000D1B83" w:rsidRDefault="00D8472A">
      <w:pPr>
        <w:numPr>
          <w:ilvl w:val="0"/>
          <w:numId w:val="1"/>
        </w:numPr>
        <w:rPr>
          <w:rFonts w:ascii="Arial" w:hAnsi="Arial"/>
          <w:b/>
          <w:sz w:val="28"/>
          <w:lang w:val="fr-CA"/>
        </w:rPr>
      </w:pPr>
      <w:r w:rsidRPr="000D1B83">
        <w:rPr>
          <w:rFonts w:ascii="Arial" w:hAnsi="Arial"/>
          <w:b/>
          <w:color w:val="000000"/>
          <w:sz w:val="28"/>
          <w:lang w:val="fr-CA"/>
        </w:rPr>
        <w:t>Documentation</w:t>
      </w:r>
    </w:p>
    <w:p w:rsidR="00F54271" w:rsidRPr="000D1B83" w:rsidRDefault="00F54271">
      <w:pPr>
        <w:rPr>
          <w:rFonts w:ascii="Arial" w:hAnsi="Arial"/>
          <w:sz w:val="24"/>
          <w:lang w:val="fr-CA"/>
        </w:rPr>
      </w:pPr>
    </w:p>
    <w:p w:rsidR="00F54271" w:rsidRPr="00B32B01" w:rsidRDefault="00B32B01">
      <w:pPr>
        <w:ind w:left="720"/>
        <w:rPr>
          <w:rFonts w:ascii="Arial" w:hAnsi="Arial"/>
          <w:sz w:val="24"/>
          <w:lang w:val="fr-CA"/>
        </w:rPr>
      </w:pPr>
      <w:r w:rsidRPr="00B32B01">
        <w:rPr>
          <w:rFonts w:ascii="Arial" w:hAnsi="Arial"/>
          <w:sz w:val="24"/>
          <w:lang w:val="fr-CA"/>
        </w:rPr>
        <w:t>Le résultat du « dernier lavage » doit être négatif pou</w:t>
      </w:r>
      <w:r w:rsidR="005C5F98">
        <w:rPr>
          <w:rFonts w:ascii="Arial" w:hAnsi="Arial"/>
          <w:sz w:val="24"/>
          <w:lang w:val="fr-CA"/>
        </w:rPr>
        <w:t>r</w:t>
      </w:r>
      <w:r w:rsidRPr="00B32B01">
        <w:rPr>
          <w:rFonts w:ascii="Arial" w:hAnsi="Arial"/>
          <w:sz w:val="24"/>
          <w:lang w:val="fr-CA"/>
        </w:rPr>
        <w:t xml:space="preserve"> que l’épreuve d’élution soit qualifiée de valide</w:t>
      </w:r>
      <w:r w:rsidR="00F54271" w:rsidRPr="00B32B01">
        <w:rPr>
          <w:rFonts w:ascii="Arial" w:hAnsi="Arial"/>
          <w:sz w:val="24"/>
          <w:lang w:val="fr-CA"/>
        </w:rPr>
        <w:t>.</w:t>
      </w:r>
      <w:r w:rsidR="00821874" w:rsidRPr="00B32B01">
        <w:rPr>
          <w:rFonts w:ascii="Arial" w:hAnsi="Arial"/>
          <w:sz w:val="24"/>
          <w:lang w:val="fr-CA"/>
        </w:rPr>
        <w:t xml:space="preserve"> </w:t>
      </w:r>
      <w:r w:rsidR="00582D2E" w:rsidRPr="00B32B01">
        <w:rPr>
          <w:rFonts w:ascii="Arial" w:hAnsi="Arial"/>
          <w:sz w:val="24"/>
          <w:lang w:val="fr-CA"/>
        </w:rPr>
        <w:t xml:space="preserve">Voir la Remarque </w:t>
      </w:r>
      <w:r w:rsidR="00F54271" w:rsidRPr="00B32B01">
        <w:rPr>
          <w:rFonts w:ascii="Arial" w:hAnsi="Arial"/>
          <w:sz w:val="24"/>
          <w:lang w:val="fr-CA"/>
        </w:rPr>
        <w:t>8.</w:t>
      </w:r>
      <w:r w:rsidR="002E69FA">
        <w:rPr>
          <w:rFonts w:ascii="Arial" w:hAnsi="Arial"/>
          <w:sz w:val="24"/>
          <w:lang w:val="fr-CA"/>
        </w:rPr>
        <w:t>6</w:t>
      </w:r>
      <w:r w:rsidR="00F54271" w:rsidRPr="00B32B01">
        <w:rPr>
          <w:rFonts w:ascii="Arial" w:hAnsi="Arial"/>
          <w:sz w:val="24"/>
          <w:lang w:val="fr-CA"/>
        </w:rPr>
        <w:t>.</w:t>
      </w:r>
    </w:p>
    <w:p w:rsidR="00F54271" w:rsidRPr="00B32B01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B32B01" w:rsidRDefault="00B32B01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B32B01">
        <w:rPr>
          <w:rFonts w:ascii="Arial" w:hAnsi="Arial"/>
          <w:sz w:val="24"/>
          <w:lang w:val="fr-CA"/>
        </w:rPr>
        <w:t>Si un anticorps est identifié dans l’éluat,</w:t>
      </w:r>
      <w:r w:rsidR="00F54271" w:rsidRPr="00B32B01">
        <w:rPr>
          <w:rFonts w:ascii="Arial" w:hAnsi="Arial"/>
          <w:sz w:val="24"/>
          <w:lang w:val="fr-CA"/>
        </w:rPr>
        <w:t xml:space="preserve"> </w:t>
      </w:r>
      <w:r w:rsidRPr="00B32B01">
        <w:rPr>
          <w:rFonts w:ascii="Arial" w:hAnsi="Arial"/>
          <w:sz w:val="24"/>
          <w:lang w:val="fr-CA"/>
        </w:rPr>
        <w:t>inscrire</w:t>
      </w:r>
      <w:r w:rsidR="00360F85">
        <w:rPr>
          <w:rFonts w:ascii="Arial" w:hAnsi="Arial"/>
          <w:sz w:val="24"/>
          <w:lang w:val="fr-CA"/>
        </w:rPr>
        <w:t xml:space="preserve"> </w:t>
      </w:r>
      <w:r w:rsidR="00F54271" w:rsidRPr="00B32B01">
        <w:rPr>
          <w:rFonts w:ascii="Arial" w:hAnsi="Arial"/>
          <w:sz w:val="24"/>
          <w:lang w:val="fr-CA"/>
        </w:rPr>
        <w:t xml:space="preserve">: </w:t>
      </w:r>
      <w:r w:rsidRPr="00B32B01">
        <w:rPr>
          <w:rFonts w:ascii="Arial" w:hAnsi="Arial"/>
          <w:sz w:val="24"/>
          <w:lang w:val="fr-CA"/>
        </w:rPr>
        <w:t>« Présence d’anticorps a</w:t>
      </w:r>
      <w:r w:rsidR="00F54271" w:rsidRPr="00B32B01">
        <w:rPr>
          <w:rFonts w:ascii="Arial" w:hAnsi="Arial"/>
          <w:sz w:val="24"/>
          <w:lang w:val="fr-CA"/>
        </w:rPr>
        <w:t>nti - …. (n</w:t>
      </w:r>
      <w:r w:rsidRPr="00B32B01">
        <w:rPr>
          <w:rFonts w:ascii="Arial" w:hAnsi="Arial"/>
          <w:sz w:val="24"/>
          <w:lang w:val="fr-CA"/>
        </w:rPr>
        <w:t>om de l’anticorps</w:t>
      </w:r>
      <w:r w:rsidR="00F54271" w:rsidRPr="00B32B01">
        <w:rPr>
          <w:rFonts w:ascii="Arial" w:hAnsi="Arial"/>
          <w:sz w:val="24"/>
          <w:lang w:val="fr-CA"/>
        </w:rPr>
        <w:t>)</w:t>
      </w:r>
      <w:r w:rsidRPr="00B32B01">
        <w:rPr>
          <w:rFonts w:ascii="Arial" w:hAnsi="Arial"/>
          <w:sz w:val="24"/>
          <w:lang w:val="fr-CA"/>
        </w:rPr>
        <w:t xml:space="preserve"> dans l’éluat ».</w:t>
      </w:r>
    </w:p>
    <w:p w:rsidR="00F54271" w:rsidRPr="000D1B83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360F85" w:rsidRDefault="00B32B01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360F85">
        <w:rPr>
          <w:rFonts w:ascii="Arial" w:hAnsi="Arial"/>
          <w:sz w:val="24"/>
          <w:lang w:val="fr-CA"/>
        </w:rPr>
        <w:t>Si la réaction de l’éluat est positive à toutes les cellules utilisées dans l’épreuve</w:t>
      </w:r>
      <w:r w:rsidR="00A515AC">
        <w:rPr>
          <w:rFonts w:ascii="Arial" w:hAnsi="Arial"/>
          <w:sz w:val="24"/>
          <w:lang w:val="fr-CA"/>
        </w:rPr>
        <w:t>,</w:t>
      </w:r>
      <w:r w:rsidRPr="00360F85">
        <w:rPr>
          <w:rFonts w:ascii="Arial" w:hAnsi="Arial"/>
          <w:sz w:val="24"/>
          <w:lang w:val="fr-CA"/>
        </w:rPr>
        <w:t xml:space="preserve"> inscrire : «L’éluat a réagi de façon non spécifique à toutes les cellules de l’épreuve ».</w:t>
      </w:r>
    </w:p>
    <w:p w:rsidR="00F54271" w:rsidRPr="00360F85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360F85" w:rsidRDefault="00B32B01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360F85">
        <w:rPr>
          <w:rFonts w:ascii="Arial" w:hAnsi="Arial"/>
          <w:sz w:val="24"/>
          <w:lang w:val="fr-CA"/>
        </w:rPr>
        <w:t xml:space="preserve">Si la réaction de l’éluat est négative aux cellules de dépistage, </w:t>
      </w:r>
      <w:r w:rsidR="00F54271" w:rsidRPr="00360F85">
        <w:rPr>
          <w:rFonts w:ascii="Arial" w:hAnsi="Arial"/>
          <w:sz w:val="24"/>
          <w:lang w:val="fr-CA"/>
        </w:rPr>
        <w:t xml:space="preserve">A </w:t>
      </w:r>
      <w:r w:rsidRPr="00360F85">
        <w:rPr>
          <w:rFonts w:ascii="Arial" w:hAnsi="Arial"/>
          <w:sz w:val="24"/>
          <w:lang w:val="fr-CA"/>
        </w:rPr>
        <w:t>et</w:t>
      </w:r>
      <w:r w:rsidR="00F54271" w:rsidRPr="00360F85">
        <w:rPr>
          <w:rFonts w:ascii="Arial" w:hAnsi="Arial"/>
          <w:sz w:val="24"/>
          <w:lang w:val="fr-CA"/>
        </w:rPr>
        <w:t xml:space="preserve"> B </w:t>
      </w:r>
      <w:r w:rsidRPr="00360F85">
        <w:rPr>
          <w:rFonts w:ascii="Arial" w:hAnsi="Arial"/>
          <w:sz w:val="24"/>
          <w:lang w:val="fr-CA"/>
        </w:rPr>
        <w:t>et/ou du panel</w:t>
      </w:r>
      <w:r w:rsidR="00F54271" w:rsidRPr="00360F85">
        <w:rPr>
          <w:rFonts w:ascii="Arial" w:hAnsi="Arial"/>
          <w:sz w:val="24"/>
          <w:lang w:val="fr-CA"/>
        </w:rPr>
        <w:t xml:space="preserve">, </w:t>
      </w:r>
      <w:r w:rsidR="00C62C05" w:rsidRPr="00360F85">
        <w:rPr>
          <w:rFonts w:ascii="Arial" w:hAnsi="Arial"/>
          <w:sz w:val="24"/>
          <w:lang w:val="fr-CA"/>
        </w:rPr>
        <w:t xml:space="preserve">inscrire « L’éluat ne révèle aucun anticorps </w:t>
      </w:r>
      <w:r w:rsidR="00F30DE9">
        <w:rPr>
          <w:rFonts w:ascii="Arial" w:hAnsi="Arial"/>
          <w:sz w:val="24"/>
          <w:lang w:val="fr-CA"/>
        </w:rPr>
        <w:t>aux</w:t>
      </w:r>
      <w:r w:rsidRPr="00360F85">
        <w:rPr>
          <w:rFonts w:ascii="Arial" w:hAnsi="Arial"/>
          <w:sz w:val="24"/>
          <w:lang w:val="fr-CA"/>
        </w:rPr>
        <w:t xml:space="preserve"> </w:t>
      </w:r>
      <w:r w:rsidR="00C62C05" w:rsidRPr="00360F85">
        <w:rPr>
          <w:rFonts w:ascii="Arial" w:hAnsi="Arial"/>
          <w:sz w:val="24"/>
          <w:lang w:val="fr-CA"/>
        </w:rPr>
        <w:t>globules rouges</w:t>
      </w:r>
      <w:r w:rsidRPr="00360F85">
        <w:rPr>
          <w:rFonts w:ascii="Arial" w:hAnsi="Arial"/>
          <w:sz w:val="24"/>
          <w:lang w:val="fr-CA"/>
        </w:rPr>
        <w:t> »</w:t>
      </w:r>
      <w:r w:rsidR="00F54271" w:rsidRPr="00360F85">
        <w:rPr>
          <w:rFonts w:ascii="Arial" w:hAnsi="Arial"/>
          <w:sz w:val="24"/>
          <w:lang w:val="fr-CA"/>
        </w:rPr>
        <w:t>.</w:t>
      </w:r>
      <w:r w:rsidR="001E0D57" w:rsidRPr="00360F85">
        <w:rPr>
          <w:rFonts w:ascii="Arial" w:hAnsi="Arial"/>
          <w:sz w:val="24"/>
          <w:lang w:val="fr-CA"/>
        </w:rPr>
        <w:t xml:space="preserve"> </w:t>
      </w:r>
      <w:r w:rsidR="00D8472A" w:rsidRPr="00360F85">
        <w:rPr>
          <w:rFonts w:ascii="Arial" w:hAnsi="Arial"/>
          <w:sz w:val="24"/>
          <w:lang w:val="fr-CA"/>
        </w:rPr>
        <w:t>Voir Remarques 8</w:t>
      </w:r>
      <w:r w:rsidR="00A515AC">
        <w:rPr>
          <w:rFonts w:ascii="Arial" w:hAnsi="Arial"/>
          <w:sz w:val="24"/>
          <w:lang w:val="fr-CA"/>
        </w:rPr>
        <w:t>.</w:t>
      </w:r>
      <w:r w:rsidR="00196B45">
        <w:rPr>
          <w:rFonts w:ascii="Arial" w:hAnsi="Arial"/>
          <w:sz w:val="24"/>
          <w:lang w:val="fr-CA"/>
        </w:rPr>
        <w:t xml:space="preserve">5 </w:t>
      </w:r>
      <w:r w:rsidR="00D8472A" w:rsidRPr="00360F85">
        <w:rPr>
          <w:rFonts w:ascii="Arial" w:hAnsi="Arial"/>
          <w:sz w:val="24"/>
          <w:lang w:val="fr-CA"/>
        </w:rPr>
        <w:t>et 8.</w:t>
      </w:r>
      <w:r w:rsidR="00196B45">
        <w:rPr>
          <w:rFonts w:ascii="Arial" w:hAnsi="Arial"/>
          <w:sz w:val="24"/>
          <w:lang w:val="fr-CA"/>
        </w:rPr>
        <w:t>7</w:t>
      </w:r>
      <w:r w:rsidR="00D8472A" w:rsidRPr="00360F85">
        <w:rPr>
          <w:rFonts w:ascii="Arial" w:hAnsi="Arial"/>
          <w:sz w:val="24"/>
          <w:lang w:val="fr-CA"/>
        </w:rPr>
        <w:t>.</w:t>
      </w:r>
    </w:p>
    <w:p w:rsidR="00F54271" w:rsidRPr="00360F85" w:rsidRDefault="00F54271">
      <w:pPr>
        <w:rPr>
          <w:rFonts w:ascii="Arial" w:hAnsi="Arial"/>
          <w:b/>
          <w:sz w:val="28"/>
          <w:lang w:val="fr-CA"/>
        </w:rPr>
      </w:pPr>
    </w:p>
    <w:p w:rsidR="00F54271" w:rsidRPr="00360F85" w:rsidRDefault="00821874">
      <w:pPr>
        <w:numPr>
          <w:ilvl w:val="0"/>
          <w:numId w:val="1"/>
        </w:numPr>
        <w:rPr>
          <w:rFonts w:ascii="Arial" w:hAnsi="Arial"/>
          <w:b/>
          <w:sz w:val="28"/>
          <w:lang w:val="fr-CA"/>
        </w:rPr>
      </w:pPr>
      <w:r w:rsidRPr="00360F85">
        <w:rPr>
          <w:rFonts w:ascii="Arial" w:hAnsi="Arial"/>
          <w:b/>
          <w:sz w:val="28"/>
          <w:lang w:val="fr-CA"/>
        </w:rPr>
        <w:t>R</w:t>
      </w:r>
      <w:r w:rsidR="00D8472A" w:rsidRPr="00360F85">
        <w:rPr>
          <w:rFonts w:ascii="Arial" w:hAnsi="Arial"/>
          <w:b/>
          <w:sz w:val="28"/>
          <w:lang w:val="fr-CA"/>
        </w:rPr>
        <w:t>emarques</w:t>
      </w:r>
    </w:p>
    <w:p w:rsidR="00F54271" w:rsidRPr="00821874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821874" w:rsidRDefault="00D8472A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821874">
        <w:rPr>
          <w:rFonts w:ascii="Arial" w:hAnsi="Arial"/>
          <w:sz w:val="24"/>
          <w:lang w:val="fr-CA"/>
        </w:rPr>
        <w:t>Après la centrifugation, les cellules devraient former un culot au fond du tube.</w:t>
      </w:r>
      <w:r w:rsidR="00F54271" w:rsidRPr="00821874">
        <w:rPr>
          <w:rFonts w:ascii="Arial" w:hAnsi="Arial"/>
          <w:sz w:val="24"/>
          <w:lang w:val="fr-CA"/>
        </w:rPr>
        <w:t xml:space="preserve"> </w:t>
      </w:r>
      <w:r w:rsidRPr="00821874">
        <w:rPr>
          <w:rFonts w:ascii="Arial" w:hAnsi="Arial"/>
          <w:sz w:val="24"/>
          <w:lang w:val="fr-CA"/>
        </w:rPr>
        <w:t>On ne doit pas voir de traînée de globules rouges le long du tube.</w:t>
      </w:r>
      <w:r w:rsidR="00F54271" w:rsidRPr="00821874">
        <w:rPr>
          <w:rFonts w:ascii="Arial" w:hAnsi="Arial"/>
          <w:sz w:val="24"/>
          <w:lang w:val="fr-CA"/>
        </w:rPr>
        <w:t xml:space="preserve"> </w:t>
      </w:r>
      <w:r w:rsidRPr="00821874">
        <w:rPr>
          <w:rFonts w:ascii="Arial" w:hAnsi="Arial"/>
          <w:sz w:val="24"/>
          <w:lang w:val="fr-CA"/>
        </w:rPr>
        <w:t>En présence d’une traînée de cellules sur la paroi du tube, il faut prolonger le temps de centrifugation jusqu’à ce que toutes les cellules forment un culot au fond du tube.</w:t>
      </w:r>
    </w:p>
    <w:p w:rsidR="00F54271" w:rsidRPr="00354D1C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8813CF" w:rsidRDefault="00354D1C" w:rsidP="00DD25DC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8813CF">
        <w:rPr>
          <w:rFonts w:ascii="Arial" w:hAnsi="Arial"/>
          <w:sz w:val="24"/>
          <w:lang w:val="fr-CA"/>
        </w:rPr>
        <w:t>Le volume de la solution tampon basique nécessaire ici varie selon les éluats, en fonction de divers facteurs, dont le plus important est l’ampleur de l’hémolyse survenue à l’étape de l’élution</w:t>
      </w:r>
      <w:r w:rsidR="008047D2" w:rsidRPr="008813CF">
        <w:rPr>
          <w:rFonts w:ascii="Arial" w:hAnsi="Arial"/>
          <w:sz w:val="24"/>
          <w:lang w:val="fr-CA"/>
        </w:rPr>
        <w:t>.</w:t>
      </w:r>
      <w:r w:rsidR="008813CF">
        <w:rPr>
          <w:rFonts w:ascii="Arial" w:hAnsi="Arial"/>
          <w:sz w:val="24"/>
          <w:lang w:val="fr-CA"/>
        </w:rPr>
        <w:t xml:space="preserve"> </w:t>
      </w:r>
      <w:r w:rsidRPr="008813CF">
        <w:rPr>
          <w:rFonts w:ascii="Arial" w:hAnsi="Arial"/>
          <w:sz w:val="24"/>
          <w:lang w:val="fr-CA"/>
        </w:rPr>
        <w:t xml:space="preserve">La couleur bleue indique que le pH se situe entre </w:t>
      </w:r>
      <w:r w:rsidR="00F54271" w:rsidRPr="008813CF">
        <w:rPr>
          <w:rFonts w:ascii="Arial" w:hAnsi="Arial"/>
          <w:sz w:val="24"/>
          <w:lang w:val="fr-CA"/>
        </w:rPr>
        <w:t>6</w:t>
      </w:r>
      <w:r w:rsidRPr="008813CF">
        <w:rPr>
          <w:rFonts w:ascii="Arial" w:hAnsi="Arial"/>
          <w:sz w:val="24"/>
          <w:lang w:val="fr-CA"/>
        </w:rPr>
        <w:t>,</w:t>
      </w:r>
      <w:r w:rsidR="00F54271" w:rsidRPr="008813CF">
        <w:rPr>
          <w:rFonts w:ascii="Arial" w:hAnsi="Arial"/>
          <w:sz w:val="24"/>
          <w:lang w:val="fr-CA"/>
        </w:rPr>
        <w:t xml:space="preserve">5 </w:t>
      </w:r>
      <w:r w:rsidRPr="008813CF">
        <w:rPr>
          <w:rFonts w:ascii="Arial" w:hAnsi="Arial"/>
          <w:sz w:val="24"/>
          <w:lang w:val="fr-CA"/>
        </w:rPr>
        <w:t xml:space="preserve">et </w:t>
      </w:r>
      <w:r w:rsidR="00F54271" w:rsidRPr="008813CF">
        <w:rPr>
          <w:rFonts w:ascii="Arial" w:hAnsi="Arial"/>
          <w:sz w:val="24"/>
          <w:lang w:val="fr-CA"/>
        </w:rPr>
        <w:t>7</w:t>
      </w:r>
      <w:r w:rsidRPr="008813CF">
        <w:rPr>
          <w:rFonts w:ascii="Arial" w:hAnsi="Arial"/>
          <w:sz w:val="24"/>
          <w:lang w:val="fr-CA"/>
        </w:rPr>
        <w:t>,</w:t>
      </w:r>
      <w:r w:rsidR="00F54271" w:rsidRPr="008813CF">
        <w:rPr>
          <w:rFonts w:ascii="Arial" w:hAnsi="Arial"/>
          <w:sz w:val="24"/>
          <w:lang w:val="fr-CA"/>
        </w:rPr>
        <w:t>5.</w:t>
      </w:r>
    </w:p>
    <w:p w:rsidR="00F54271" w:rsidRPr="00354D1C" w:rsidRDefault="00F54271">
      <w:pPr>
        <w:rPr>
          <w:rFonts w:ascii="Arial" w:hAnsi="Arial"/>
          <w:sz w:val="24"/>
          <w:lang w:val="fr-CA"/>
        </w:rPr>
      </w:pPr>
    </w:p>
    <w:p w:rsidR="00F54271" w:rsidRPr="00354D1C" w:rsidRDefault="00354D1C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354D1C">
        <w:rPr>
          <w:rFonts w:ascii="Arial" w:hAnsi="Arial"/>
          <w:sz w:val="24"/>
          <w:lang w:val="fr-CA"/>
        </w:rPr>
        <w:t>La présence de p</w:t>
      </w:r>
      <w:r w:rsidR="00F54271" w:rsidRPr="00354D1C">
        <w:rPr>
          <w:rFonts w:ascii="Arial" w:hAnsi="Arial"/>
          <w:sz w:val="24"/>
          <w:lang w:val="fr-CA"/>
        </w:rPr>
        <w:t>artic</w:t>
      </w:r>
      <w:r w:rsidRPr="00354D1C">
        <w:rPr>
          <w:rFonts w:ascii="Arial" w:hAnsi="Arial"/>
          <w:sz w:val="24"/>
          <w:lang w:val="fr-CA"/>
        </w:rPr>
        <w:t>u</w:t>
      </w:r>
      <w:r w:rsidR="00F54271" w:rsidRPr="00354D1C">
        <w:rPr>
          <w:rFonts w:ascii="Arial" w:hAnsi="Arial"/>
          <w:sz w:val="24"/>
          <w:lang w:val="fr-CA"/>
        </w:rPr>
        <w:t xml:space="preserve">les </w:t>
      </w:r>
      <w:r w:rsidRPr="00354D1C">
        <w:rPr>
          <w:rFonts w:ascii="Arial" w:hAnsi="Arial"/>
          <w:sz w:val="24"/>
          <w:lang w:val="fr-CA"/>
        </w:rPr>
        <w:t>peut entraîner des résultats faussement positifs au moment de l’analyse de l’éluat</w:t>
      </w:r>
      <w:r w:rsidR="00F54271" w:rsidRPr="00354D1C">
        <w:rPr>
          <w:rFonts w:ascii="Arial" w:hAnsi="Arial"/>
          <w:sz w:val="24"/>
          <w:lang w:val="fr-CA"/>
        </w:rPr>
        <w:t>.</w:t>
      </w:r>
    </w:p>
    <w:p w:rsidR="00F54271" w:rsidRPr="00354D1C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1E0D57" w:rsidRDefault="00354D1C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354D1C">
        <w:rPr>
          <w:rFonts w:ascii="Arial" w:hAnsi="Arial"/>
          <w:sz w:val="24"/>
          <w:lang w:val="fr-CA"/>
        </w:rPr>
        <w:t xml:space="preserve">L’éluat peut être analysé immédiatement ou entreposé au réfrigérateur pendant jusqu'à sept jours puis analysé, à condition </w:t>
      </w:r>
      <w:r w:rsidRPr="001E0D57">
        <w:rPr>
          <w:rFonts w:ascii="Arial" w:hAnsi="Arial"/>
          <w:sz w:val="24"/>
          <w:lang w:val="fr-CA"/>
        </w:rPr>
        <w:t>qu’aucune turbidité ne se forme pendant l’entreposage.</w:t>
      </w:r>
    </w:p>
    <w:p w:rsidR="00F54271" w:rsidRPr="001E0D57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1E0D57" w:rsidRDefault="00354D1C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1E0D57">
        <w:rPr>
          <w:rFonts w:ascii="Arial" w:hAnsi="Arial"/>
          <w:sz w:val="24"/>
          <w:lang w:val="fr-CA"/>
        </w:rPr>
        <w:t>Lorsque le résultat du TDA est faiblement positif, on peut augmenter la sensibilité du dépistage de l’anticorps dans l’éluat</w:t>
      </w:r>
      <w:r w:rsidR="001E0D57" w:rsidRPr="001E0D57">
        <w:rPr>
          <w:rFonts w:ascii="Arial" w:hAnsi="Arial"/>
          <w:sz w:val="24"/>
          <w:lang w:val="fr-CA"/>
        </w:rPr>
        <w:t xml:space="preserve"> en augmentant le nombre de gouttes d’éluat par analyse </w:t>
      </w:r>
      <w:r w:rsidR="00F54271" w:rsidRPr="001E0D57">
        <w:rPr>
          <w:rFonts w:ascii="Arial" w:hAnsi="Arial"/>
          <w:sz w:val="24"/>
          <w:lang w:val="fr-CA"/>
        </w:rPr>
        <w:t>(</w:t>
      </w:r>
      <w:r w:rsidR="001E0D57" w:rsidRPr="001E0D57">
        <w:rPr>
          <w:rFonts w:ascii="Arial" w:hAnsi="Arial"/>
          <w:sz w:val="24"/>
          <w:lang w:val="fr-CA"/>
        </w:rPr>
        <w:t>p. ex. 3 ou 4 gouttes</w:t>
      </w:r>
      <w:r w:rsidR="00F54271" w:rsidRPr="001E0D57">
        <w:rPr>
          <w:rFonts w:ascii="Arial" w:hAnsi="Arial"/>
          <w:sz w:val="24"/>
          <w:lang w:val="fr-CA"/>
        </w:rPr>
        <w:t>).</w:t>
      </w:r>
      <w:r w:rsidR="00821874" w:rsidRPr="001E0D57">
        <w:rPr>
          <w:rFonts w:ascii="Arial" w:hAnsi="Arial"/>
          <w:sz w:val="24"/>
          <w:lang w:val="fr-CA"/>
        </w:rPr>
        <w:t xml:space="preserve"> </w:t>
      </w:r>
      <w:r w:rsidR="001E0D57" w:rsidRPr="001E0D57">
        <w:rPr>
          <w:rFonts w:ascii="Arial" w:hAnsi="Arial"/>
          <w:sz w:val="24"/>
          <w:lang w:val="fr-CA"/>
        </w:rPr>
        <w:t>Dans une telle éventualité, inscrire le nombre de gouttes d’éluat utilisées et se servir du même nombre de gouttes au moment de l’analyse du dernier lavage</w:t>
      </w:r>
      <w:r w:rsidR="00F54271" w:rsidRPr="001E0D57">
        <w:rPr>
          <w:rFonts w:ascii="Arial" w:hAnsi="Arial"/>
          <w:sz w:val="24"/>
          <w:lang w:val="fr-CA"/>
        </w:rPr>
        <w:t>.</w:t>
      </w:r>
    </w:p>
    <w:p w:rsidR="00F54271" w:rsidRPr="000D1B83" w:rsidRDefault="00F54271">
      <w:pPr>
        <w:rPr>
          <w:rFonts w:ascii="Arial" w:hAnsi="Arial"/>
          <w:sz w:val="24"/>
          <w:lang w:val="fr-CA"/>
        </w:rPr>
      </w:pPr>
    </w:p>
    <w:p w:rsidR="00F54271" w:rsidRPr="000D1B83" w:rsidRDefault="00354D1C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 xml:space="preserve">La plupart du temps, un dernier lavage positif est lié à un lavage insuffisant. On peut aussi envisager la possibilité qu’un « dernier lavage » positif soit dû à la </w:t>
      </w:r>
      <w:r w:rsidR="00F54271" w:rsidRPr="000D1B83">
        <w:rPr>
          <w:rFonts w:ascii="Arial" w:hAnsi="Arial"/>
          <w:sz w:val="24"/>
          <w:lang w:val="fr-CA"/>
        </w:rPr>
        <w:t xml:space="preserve">dissociation </w:t>
      </w:r>
      <w:r>
        <w:rPr>
          <w:rFonts w:ascii="Arial" w:hAnsi="Arial"/>
          <w:sz w:val="24"/>
          <w:lang w:val="fr-CA"/>
        </w:rPr>
        <w:t xml:space="preserve">pendant le lavage d’anticorps auparavant liés aux cellules. Un lavage fait avec la solution de lavage </w:t>
      </w:r>
      <w:r w:rsidR="008047D2">
        <w:rPr>
          <w:rFonts w:ascii="Arial" w:hAnsi="Arial"/>
          <w:sz w:val="24"/>
          <w:lang w:val="fr-CA"/>
        </w:rPr>
        <w:t xml:space="preserve">reconstituée </w:t>
      </w:r>
      <w:r>
        <w:rPr>
          <w:rFonts w:ascii="Arial" w:hAnsi="Arial"/>
          <w:sz w:val="24"/>
          <w:lang w:val="fr-CA"/>
        </w:rPr>
        <w:t>à 4</w:t>
      </w:r>
      <w:r w:rsidR="00FE36EC">
        <w:rPr>
          <w:rFonts w:ascii="Arial" w:hAnsi="Arial" w:cs="Arial"/>
          <w:sz w:val="24"/>
          <w:lang w:val="fr-CA"/>
        </w:rPr>
        <w:t>º</w:t>
      </w:r>
      <w:r>
        <w:rPr>
          <w:rFonts w:ascii="Arial" w:hAnsi="Arial"/>
          <w:sz w:val="24"/>
          <w:lang w:val="fr-CA"/>
        </w:rPr>
        <w:t>C pourrait minimiser ce risque</w:t>
      </w:r>
      <w:r w:rsidR="00196B45">
        <w:rPr>
          <w:rFonts w:ascii="Arial" w:hAnsi="Arial"/>
          <w:sz w:val="24"/>
          <w:vertAlign w:val="superscript"/>
          <w:lang w:val="fr-CA"/>
        </w:rPr>
        <w:t>9.2</w:t>
      </w:r>
      <w:r>
        <w:rPr>
          <w:rFonts w:ascii="Arial" w:hAnsi="Arial"/>
          <w:sz w:val="24"/>
          <w:lang w:val="fr-CA"/>
        </w:rPr>
        <w:t xml:space="preserve">. </w:t>
      </w:r>
    </w:p>
    <w:p w:rsidR="00F54271" w:rsidRPr="000D1B83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0D1B83" w:rsidRDefault="00AC41A4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>
        <w:rPr>
          <w:rFonts w:ascii="Arial" w:hAnsi="Arial"/>
          <w:sz w:val="24"/>
          <w:lang w:val="fr-CA"/>
        </w:rPr>
        <w:t>La révélation d’anticorps après l’élution de cellules recouvertes dépen</w:t>
      </w:r>
      <w:r w:rsidR="00354D1C">
        <w:rPr>
          <w:rFonts w:ascii="Arial" w:hAnsi="Arial"/>
          <w:sz w:val="24"/>
          <w:lang w:val="fr-CA"/>
        </w:rPr>
        <w:t>d</w:t>
      </w:r>
      <w:r>
        <w:rPr>
          <w:rFonts w:ascii="Arial" w:hAnsi="Arial"/>
          <w:sz w:val="24"/>
          <w:lang w:val="fr-CA"/>
        </w:rPr>
        <w:t xml:space="preserve"> des variables suivantes : </w:t>
      </w:r>
    </w:p>
    <w:p w:rsidR="00F54271" w:rsidRPr="000D1B83" w:rsidRDefault="00F54271">
      <w:pPr>
        <w:rPr>
          <w:rFonts w:ascii="Arial" w:hAnsi="Arial"/>
          <w:sz w:val="24"/>
          <w:lang w:val="fr-CA"/>
        </w:rPr>
      </w:pPr>
    </w:p>
    <w:p w:rsidR="00F54271" w:rsidRPr="00AC41A4" w:rsidRDefault="00AC41A4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AC41A4">
        <w:rPr>
          <w:rFonts w:ascii="Arial" w:hAnsi="Arial"/>
          <w:sz w:val="24"/>
          <w:lang w:val="fr-CA"/>
        </w:rPr>
        <w:t>La quantité d’anticorps fixée aux cellules</w:t>
      </w:r>
      <w:r w:rsidR="00F54271" w:rsidRPr="00AC41A4">
        <w:rPr>
          <w:rFonts w:ascii="Arial" w:hAnsi="Arial"/>
          <w:sz w:val="24"/>
          <w:lang w:val="fr-CA"/>
        </w:rPr>
        <w:t>.</w:t>
      </w:r>
    </w:p>
    <w:p w:rsidR="00F54271" w:rsidRPr="00AC41A4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AC41A4" w:rsidRDefault="00AC41A4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AC41A4">
        <w:rPr>
          <w:rFonts w:ascii="Arial" w:hAnsi="Arial"/>
          <w:sz w:val="24"/>
          <w:lang w:val="fr-CA"/>
        </w:rPr>
        <w:t>L’importance de la dissociation des anticorps qui survient lors de la procédure de lavage</w:t>
      </w:r>
      <w:r w:rsidR="00F54271" w:rsidRPr="00AC41A4">
        <w:rPr>
          <w:rFonts w:ascii="Arial" w:hAnsi="Arial"/>
          <w:sz w:val="24"/>
          <w:lang w:val="fr-CA"/>
        </w:rPr>
        <w:t>.</w:t>
      </w:r>
    </w:p>
    <w:p w:rsidR="00F54271" w:rsidRPr="000D1B83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AC41A4" w:rsidRDefault="00AC41A4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AC41A4">
        <w:rPr>
          <w:rFonts w:ascii="Arial" w:hAnsi="Arial"/>
          <w:sz w:val="24"/>
          <w:lang w:val="fr-CA"/>
        </w:rPr>
        <w:t>Les globules rouges ayant un TDA positif simplement en raison d’un complément produiront habituellement un éluat dénué d’anticorps</w:t>
      </w:r>
      <w:r w:rsidR="00053850">
        <w:rPr>
          <w:rFonts w:ascii="Arial" w:hAnsi="Arial"/>
          <w:sz w:val="24"/>
          <w:lang w:val="fr-CA"/>
        </w:rPr>
        <w:t xml:space="preserve"> actif</w:t>
      </w:r>
      <w:r w:rsidR="00F54271" w:rsidRPr="00AC41A4">
        <w:rPr>
          <w:rFonts w:ascii="Arial" w:hAnsi="Arial"/>
          <w:sz w:val="24"/>
          <w:lang w:val="fr-CA"/>
        </w:rPr>
        <w:t>.</w:t>
      </w:r>
    </w:p>
    <w:p w:rsidR="00F54271" w:rsidRPr="000D1B83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AC41A4" w:rsidRDefault="00AC41A4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AC41A4">
        <w:rPr>
          <w:rFonts w:ascii="Arial" w:hAnsi="Arial"/>
          <w:sz w:val="24"/>
          <w:lang w:val="fr-CA"/>
        </w:rPr>
        <w:t xml:space="preserve">Une dilution excessive de l’éluat peut résulter de l’emploi de moins de </w:t>
      </w:r>
      <w:r w:rsidR="00F54271" w:rsidRPr="00AC41A4">
        <w:rPr>
          <w:rFonts w:ascii="Arial" w:hAnsi="Arial"/>
          <w:sz w:val="24"/>
          <w:lang w:val="fr-CA"/>
        </w:rPr>
        <w:t>1</w:t>
      </w:r>
      <w:r w:rsidRPr="00AC41A4">
        <w:rPr>
          <w:rFonts w:ascii="Arial" w:hAnsi="Arial"/>
          <w:sz w:val="24"/>
          <w:lang w:val="fr-CA"/>
        </w:rPr>
        <w:t>,</w:t>
      </w:r>
      <w:r w:rsidR="00F54271" w:rsidRPr="00AC41A4">
        <w:rPr>
          <w:rFonts w:ascii="Arial" w:hAnsi="Arial"/>
          <w:sz w:val="24"/>
          <w:lang w:val="fr-CA"/>
        </w:rPr>
        <w:t>0</w:t>
      </w:r>
      <w:r w:rsidRPr="00AC41A4">
        <w:rPr>
          <w:rFonts w:ascii="Arial" w:hAnsi="Arial"/>
          <w:sz w:val="24"/>
          <w:lang w:val="fr-CA"/>
        </w:rPr>
        <w:t xml:space="preserve"> </w:t>
      </w:r>
      <w:r w:rsidR="00F54271" w:rsidRPr="00AC41A4">
        <w:rPr>
          <w:rFonts w:ascii="Arial" w:hAnsi="Arial"/>
          <w:sz w:val="24"/>
          <w:lang w:val="fr-CA"/>
        </w:rPr>
        <w:t xml:space="preserve">mL </w:t>
      </w:r>
      <w:r w:rsidRPr="00AC41A4">
        <w:rPr>
          <w:rFonts w:ascii="Arial" w:hAnsi="Arial"/>
          <w:sz w:val="24"/>
          <w:lang w:val="fr-CA"/>
        </w:rPr>
        <w:t>de cellules sensibilisées ou de l’addition d’un volume excessif de réactif lors de l’ajustement du pH</w:t>
      </w:r>
      <w:r w:rsidR="00F54271" w:rsidRPr="00AC41A4">
        <w:rPr>
          <w:rFonts w:ascii="Arial" w:hAnsi="Arial"/>
          <w:sz w:val="24"/>
          <w:lang w:val="fr-CA"/>
        </w:rPr>
        <w:t>.</w:t>
      </w:r>
      <w:r w:rsidR="00821874" w:rsidRPr="00AC41A4">
        <w:rPr>
          <w:rFonts w:ascii="Arial" w:hAnsi="Arial"/>
          <w:sz w:val="24"/>
          <w:lang w:val="fr-CA"/>
        </w:rPr>
        <w:t xml:space="preserve"> </w:t>
      </w:r>
      <w:r w:rsidRPr="00AC41A4">
        <w:rPr>
          <w:rFonts w:ascii="Arial" w:hAnsi="Arial"/>
          <w:sz w:val="24"/>
          <w:lang w:val="fr-CA"/>
        </w:rPr>
        <w:t>L’activité de l’éluat peut en être limitée</w:t>
      </w:r>
      <w:r w:rsidR="00F54271" w:rsidRPr="00AC41A4">
        <w:rPr>
          <w:rFonts w:ascii="Arial" w:hAnsi="Arial"/>
          <w:sz w:val="24"/>
          <w:lang w:val="fr-CA"/>
        </w:rPr>
        <w:t>.</w:t>
      </w:r>
    </w:p>
    <w:p w:rsidR="00F54271" w:rsidRPr="00AC41A4" w:rsidRDefault="00F54271">
      <w:pPr>
        <w:ind w:left="1440"/>
        <w:rPr>
          <w:rFonts w:ascii="Arial" w:hAnsi="Arial"/>
          <w:sz w:val="24"/>
          <w:lang w:val="fr-CA"/>
        </w:rPr>
      </w:pPr>
    </w:p>
    <w:p w:rsidR="00F54271" w:rsidRPr="00AC41A4" w:rsidRDefault="00B11ECD">
      <w:pPr>
        <w:numPr>
          <w:ilvl w:val="2"/>
          <w:numId w:val="1"/>
        </w:numPr>
        <w:rPr>
          <w:rFonts w:ascii="Arial" w:hAnsi="Arial"/>
          <w:sz w:val="24"/>
          <w:lang w:val="fr-CA"/>
        </w:rPr>
      </w:pPr>
      <w:r w:rsidRPr="00AC41A4">
        <w:rPr>
          <w:rFonts w:ascii="Arial" w:hAnsi="Arial"/>
          <w:sz w:val="24"/>
          <w:lang w:val="fr-CA"/>
        </w:rPr>
        <w:t>Un mauvais ajustement du p</w:t>
      </w:r>
      <w:r w:rsidR="00821874" w:rsidRPr="00AC41A4">
        <w:rPr>
          <w:rFonts w:ascii="Arial" w:hAnsi="Arial"/>
          <w:sz w:val="24"/>
          <w:lang w:val="fr-CA"/>
        </w:rPr>
        <w:t>H</w:t>
      </w:r>
      <w:r w:rsidRPr="00AC41A4">
        <w:rPr>
          <w:rFonts w:ascii="Arial" w:hAnsi="Arial"/>
          <w:sz w:val="24"/>
          <w:lang w:val="fr-CA"/>
        </w:rPr>
        <w:t xml:space="preserve"> d</w:t>
      </w:r>
      <w:r w:rsidR="00821874" w:rsidRPr="00AC41A4">
        <w:rPr>
          <w:rFonts w:ascii="Arial" w:hAnsi="Arial"/>
          <w:sz w:val="24"/>
          <w:lang w:val="fr-CA"/>
        </w:rPr>
        <w:t>e</w:t>
      </w:r>
      <w:r w:rsidRPr="00AC41A4">
        <w:rPr>
          <w:rFonts w:ascii="Arial" w:hAnsi="Arial"/>
          <w:sz w:val="24"/>
          <w:lang w:val="fr-CA"/>
        </w:rPr>
        <w:t xml:space="preserve"> l’éluat peut susciter l’hémolyse des globules rouges dans les épreuves subséquentes</w:t>
      </w:r>
      <w:r w:rsidR="00F54271" w:rsidRPr="00AC41A4">
        <w:rPr>
          <w:rFonts w:ascii="Arial" w:hAnsi="Arial"/>
          <w:sz w:val="24"/>
          <w:lang w:val="fr-CA"/>
        </w:rPr>
        <w:t>.</w:t>
      </w:r>
    </w:p>
    <w:p w:rsidR="00F54271" w:rsidRPr="00B11ECD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B11ECD" w:rsidRDefault="00B11ECD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B11ECD">
        <w:rPr>
          <w:rFonts w:ascii="Arial" w:hAnsi="Arial"/>
          <w:sz w:val="24"/>
          <w:lang w:val="fr-CA"/>
        </w:rPr>
        <w:t>Si l’anticorps a été acquis de façon passive par un composant sanguin ou un dérivé plasmatique, inscrire « TDA positif probablement en raison d’une transfusion récente de composant sanguin. Ce patient subit peut-être</w:t>
      </w:r>
      <w:r w:rsidRPr="00E17FB7">
        <w:rPr>
          <w:lang w:val="fr-CA"/>
        </w:rPr>
        <w:t xml:space="preserve"> </w:t>
      </w:r>
      <w:r w:rsidRPr="00B11ECD">
        <w:rPr>
          <w:rFonts w:ascii="Arial" w:hAnsi="Arial"/>
          <w:sz w:val="24"/>
          <w:lang w:val="fr-CA"/>
        </w:rPr>
        <w:t>une réaction transfusionnelle hémolytique tardive attribuable à une transmission passive d’</w:t>
      </w:r>
      <w:r w:rsidR="00F54271" w:rsidRPr="00B11ECD">
        <w:rPr>
          <w:rFonts w:ascii="Arial" w:hAnsi="Arial"/>
          <w:sz w:val="24"/>
          <w:lang w:val="fr-CA"/>
        </w:rPr>
        <w:t>anti-_____ [</w:t>
      </w:r>
      <w:r w:rsidR="00F54271" w:rsidRPr="00B11ECD">
        <w:rPr>
          <w:rFonts w:ascii="Arial" w:hAnsi="Arial"/>
          <w:i/>
          <w:sz w:val="24"/>
          <w:lang w:val="fr-CA"/>
        </w:rPr>
        <w:t>n</w:t>
      </w:r>
      <w:r w:rsidRPr="00B11ECD">
        <w:rPr>
          <w:rFonts w:ascii="Arial" w:hAnsi="Arial"/>
          <w:i/>
          <w:sz w:val="24"/>
          <w:lang w:val="fr-CA"/>
        </w:rPr>
        <w:t>om du ou des anticorps</w:t>
      </w:r>
      <w:r w:rsidR="00F54271" w:rsidRPr="00B11ECD">
        <w:rPr>
          <w:rFonts w:ascii="Arial" w:hAnsi="Arial"/>
          <w:i/>
          <w:sz w:val="24"/>
          <w:lang w:val="fr-CA"/>
        </w:rPr>
        <w:t>)</w:t>
      </w:r>
      <w:r w:rsidR="00F54271" w:rsidRPr="00B11ECD">
        <w:rPr>
          <w:rFonts w:ascii="Arial" w:hAnsi="Arial"/>
          <w:sz w:val="24"/>
          <w:lang w:val="fr-CA"/>
        </w:rPr>
        <w:t>].</w:t>
      </w:r>
      <w:r w:rsidRPr="00B11ECD">
        <w:rPr>
          <w:rFonts w:ascii="Arial" w:hAnsi="Arial"/>
          <w:sz w:val="24"/>
          <w:lang w:val="fr-CA"/>
        </w:rPr>
        <w:t> »</w:t>
      </w:r>
    </w:p>
    <w:p w:rsidR="00F54271" w:rsidRPr="000D1B83" w:rsidRDefault="00F54271">
      <w:pPr>
        <w:ind w:left="720"/>
        <w:rPr>
          <w:rFonts w:ascii="Arial" w:hAnsi="Arial"/>
          <w:sz w:val="24"/>
          <w:lang w:val="fr-CA"/>
        </w:rPr>
      </w:pPr>
    </w:p>
    <w:p w:rsidR="00F54271" w:rsidRPr="00B11ECD" w:rsidRDefault="00F54271">
      <w:pPr>
        <w:numPr>
          <w:ilvl w:val="0"/>
          <w:numId w:val="1"/>
        </w:numPr>
        <w:rPr>
          <w:rFonts w:ascii="Arial" w:hAnsi="Arial"/>
          <w:b/>
          <w:sz w:val="28"/>
          <w:lang w:val="fr-CA"/>
        </w:rPr>
      </w:pPr>
      <w:r w:rsidRPr="00B11ECD">
        <w:rPr>
          <w:rFonts w:ascii="Arial" w:hAnsi="Arial"/>
          <w:b/>
          <w:sz w:val="28"/>
          <w:lang w:val="fr-CA"/>
        </w:rPr>
        <w:t>R</w:t>
      </w:r>
      <w:r w:rsidR="00D8472A" w:rsidRPr="00B11ECD">
        <w:rPr>
          <w:rFonts w:ascii="Arial" w:hAnsi="Arial"/>
          <w:b/>
          <w:sz w:val="28"/>
          <w:lang w:val="fr-CA"/>
        </w:rPr>
        <w:t>é</w:t>
      </w:r>
      <w:r w:rsidRPr="00B11ECD">
        <w:rPr>
          <w:rFonts w:ascii="Arial" w:hAnsi="Arial"/>
          <w:b/>
          <w:sz w:val="28"/>
          <w:lang w:val="fr-CA"/>
        </w:rPr>
        <w:t>f</w:t>
      </w:r>
      <w:r w:rsidR="00D8472A" w:rsidRPr="00B11ECD">
        <w:rPr>
          <w:rFonts w:ascii="Arial" w:hAnsi="Arial"/>
          <w:b/>
          <w:sz w:val="28"/>
          <w:lang w:val="fr-CA"/>
        </w:rPr>
        <w:t>é</w:t>
      </w:r>
      <w:r w:rsidRPr="00B11ECD">
        <w:rPr>
          <w:rFonts w:ascii="Arial" w:hAnsi="Arial"/>
          <w:b/>
          <w:sz w:val="28"/>
          <w:lang w:val="fr-CA"/>
        </w:rPr>
        <w:t>rences</w:t>
      </w:r>
    </w:p>
    <w:p w:rsidR="00F54271" w:rsidRPr="00B11ECD" w:rsidRDefault="00F54271">
      <w:pPr>
        <w:rPr>
          <w:rFonts w:ascii="Arial" w:hAnsi="Arial"/>
          <w:sz w:val="24"/>
          <w:lang w:val="fr-CA"/>
        </w:rPr>
      </w:pPr>
    </w:p>
    <w:p w:rsidR="00B93C2D" w:rsidRDefault="00B93C2D" w:rsidP="00B93C2D">
      <w:pPr>
        <w:numPr>
          <w:ilvl w:val="1"/>
          <w:numId w:val="1"/>
        </w:numPr>
        <w:rPr>
          <w:rFonts w:ascii="Arial" w:hAnsi="Arial"/>
          <w:sz w:val="24"/>
          <w:lang w:val="fr-CA"/>
        </w:rPr>
      </w:pPr>
      <w:r w:rsidRPr="00BC708F">
        <w:rPr>
          <w:rFonts w:ascii="Arial" w:hAnsi="Arial"/>
          <w:i/>
          <w:sz w:val="24"/>
          <w:lang w:val="fr-CA"/>
        </w:rPr>
        <w:t>Standards for Hospital Transfusion Services</w:t>
      </w:r>
      <w:r>
        <w:rPr>
          <w:rFonts w:ascii="Arial" w:hAnsi="Arial"/>
          <w:sz w:val="24"/>
          <w:lang w:val="fr-CA"/>
        </w:rPr>
        <w:t xml:space="preserve">, version </w:t>
      </w:r>
      <w:r w:rsidR="008813CF">
        <w:rPr>
          <w:rFonts w:ascii="Arial" w:hAnsi="Arial"/>
          <w:sz w:val="24"/>
          <w:lang w:val="fr-CA"/>
        </w:rPr>
        <w:t>3</w:t>
      </w:r>
      <w:r>
        <w:rPr>
          <w:rFonts w:ascii="Arial" w:hAnsi="Arial"/>
          <w:sz w:val="24"/>
          <w:lang w:val="fr-CA"/>
        </w:rPr>
        <w:t xml:space="preserve"> – </w:t>
      </w:r>
      <w:r w:rsidR="008813CF">
        <w:rPr>
          <w:rFonts w:ascii="Arial" w:hAnsi="Arial"/>
          <w:sz w:val="24"/>
          <w:lang w:val="fr-CA"/>
        </w:rPr>
        <w:t>février</w:t>
      </w:r>
      <w:r>
        <w:rPr>
          <w:rFonts w:ascii="Arial" w:hAnsi="Arial"/>
          <w:sz w:val="24"/>
          <w:lang w:val="fr-CA"/>
        </w:rPr>
        <w:t xml:space="preserve"> 20</w:t>
      </w:r>
      <w:r w:rsidR="008813CF">
        <w:rPr>
          <w:rFonts w:ascii="Arial" w:hAnsi="Arial"/>
          <w:sz w:val="24"/>
          <w:lang w:val="fr-CA"/>
        </w:rPr>
        <w:t>11</w:t>
      </w:r>
      <w:r>
        <w:rPr>
          <w:rFonts w:ascii="Arial" w:hAnsi="Arial"/>
          <w:sz w:val="24"/>
          <w:lang w:val="fr-CA"/>
        </w:rPr>
        <w:t xml:space="preserve">, </w:t>
      </w:r>
      <w:r w:rsidRPr="00D65F19">
        <w:rPr>
          <w:rFonts w:ascii="Arial" w:hAnsi="Arial"/>
          <w:sz w:val="24"/>
          <w:lang w:val="fr-CA"/>
        </w:rPr>
        <w:t>Société canadienne de m</w:t>
      </w:r>
      <w:r>
        <w:rPr>
          <w:rFonts w:ascii="Arial" w:hAnsi="Arial"/>
          <w:sz w:val="24"/>
          <w:lang w:val="fr-CA"/>
        </w:rPr>
        <w:t>é</w:t>
      </w:r>
      <w:r w:rsidRPr="00D65F19">
        <w:rPr>
          <w:rFonts w:ascii="Arial" w:hAnsi="Arial"/>
          <w:sz w:val="24"/>
          <w:lang w:val="fr-CA"/>
        </w:rPr>
        <w:t>d</w:t>
      </w:r>
      <w:r>
        <w:rPr>
          <w:rFonts w:ascii="Arial" w:hAnsi="Arial"/>
          <w:sz w:val="24"/>
          <w:lang w:val="fr-CA"/>
        </w:rPr>
        <w:t>e</w:t>
      </w:r>
      <w:r w:rsidRPr="00D65F19">
        <w:rPr>
          <w:rFonts w:ascii="Arial" w:hAnsi="Arial"/>
          <w:sz w:val="24"/>
          <w:lang w:val="fr-CA"/>
        </w:rPr>
        <w:t>cine transfusionnelle</w:t>
      </w:r>
      <w:r w:rsidR="00910AF8">
        <w:rPr>
          <w:rFonts w:ascii="Arial" w:hAnsi="Arial"/>
          <w:sz w:val="24"/>
          <w:lang w:val="fr-CA"/>
        </w:rPr>
        <w:t> :</w:t>
      </w:r>
      <w:r>
        <w:rPr>
          <w:rFonts w:ascii="Arial" w:hAnsi="Arial"/>
          <w:sz w:val="24"/>
          <w:lang w:val="fr-CA"/>
        </w:rPr>
        <w:t xml:space="preserve"> </w:t>
      </w:r>
      <w:r w:rsidRPr="00D65F19">
        <w:rPr>
          <w:rFonts w:ascii="Arial" w:hAnsi="Arial"/>
          <w:sz w:val="24"/>
          <w:lang w:val="fr-CA"/>
        </w:rPr>
        <w:t>5.</w:t>
      </w:r>
      <w:r>
        <w:rPr>
          <w:rFonts w:ascii="Arial" w:hAnsi="Arial"/>
          <w:sz w:val="24"/>
          <w:lang w:val="fr-CA"/>
        </w:rPr>
        <w:t>3.1.1</w:t>
      </w:r>
      <w:r w:rsidR="006235D6">
        <w:rPr>
          <w:rFonts w:ascii="Arial" w:hAnsi="Arial"/>
          <w:sz w:val="24"/>
          <w:lang w:val="fr-CA"/>
        </w:rPr>
        <w:t>.</w:t>
      </w:r>
    </w:p>
    <w:p w:rsidR="00FE36EC" w:rsidRDefault="00FE36EC" w:rsidP="00FE36EC">
      <w:pPr>
        <w:ind w:left="1440"/>
        <w:rPr>
          <w:rFonts w:ascii="Arial" w:hAnsi="Arial"/>
          <w:sz w:val="24"/>
          <w:lang w:val="en-CA"/>
        </w:rPr>
      </w:pPr>
    </w:p>
    <w:p w:rsidR="00F54271" w:rsidRPr="00E17FB7" w:rsidRDefault="000F5794">
      <w:pPr>
        <w:numPr>
          <w:ilvl w:val="1"/>
          <w:numId w:val="1"/>
        </w:numPr>
        <w:rPr>
          <w:rFonts w:ascii="Arial" w:hAnsi="Arial"/>
          <w:sz w:val="24"/>
          <w:lang w:val="en-CA"/>
        </w:rPr>
      </w:pPr>
      <w:r w:rsidRPr="00E17FB7">
        <w:rPr>
          <w:rFonts w:ascii="Arial" w:hAnsi="Arial"/>
          <w:sz w:val="24"/>
          <w:lang w:val="en-CA"/>
        </w:rPr>
        <w:t xml:space="preserve">ROBACK JD, éd. </w:t>
      </w:r>
      <w:r w:rsidRPr="00E17FB7">
        <w:rPr>
          <w:rFonts w:ascii="Arial" w:hAnsi="Arial"/>
          <w:i/>
          <w:sz w:val="24"/>
          <w:lang w:val="en-CA"/>
        </w:rPr>
        <w:t>American Association of Blood Banks Technical Manual</w:t>
      </w:r>
      <w:r w:rsidRPr="00E17FB7">
        <w:rPr>
          <w:rFonts w:ascii="Arial" w:hAnsi="Arial"/>
          <w:sz w:val="24"/>
          <w:lang w:val="en-CA"/>
        </w:rPr>
        <w:t>, 1</w:t>
      </w:r>
      <w:r w:rsidR="008813CF" w:rsidRPr="00E17FB7">
        <w:rPr>
          <w:rFonts w:ascii="Arial" w:hAnsi="Arial"/>
          <w:sz w:val="24"/>
          <w:lang w:val="en-CA"/>
        </w:rPr>
        <w:t>7</w:t>
      </w:r>
      <w:r w:rsidRPr="00E17FB7">
        <w:rPr>
          <w:rFonts w:ascii="Arial" w:hAnsi="Arial"/>
          <w:sz w:val="24"/>
          <w:vertAlign w:val="superscript"/>
          <w:lang w:val="en-CA"/>
        </w:rPr>
        <w:t>e</w:t>
      </w:r>
      <w:r w:rsidRPr="00E17FB7">
        <w:rPr>
          <w:rFonts w:ascii="Arial" w:hAnsi="Arial"/>
          <w:sz w:val="24"/>
          <w:lang w:val="en-CA"/>
        </w:rPr>
        <w:t xml:space="preserve"> éd, Bethesda, MD, American Association of Blood Banks (20</w:t>
      </w:r>
      <w:r w:rsidR="008813CF" w:rsidRPr="00E17FB7">
        <w:rPr>
          <w:rFonts w:ascii="Arial" w:hAnsi="Arial"/>
          <w:sz w:val="24"/>
          <w:lang w:val="en-CA"/>
        </w:rPr>
        <w:t>11</w:t>
      </w:r>
      <w:r w:rsidRPr="00E17FB7">
        <w:rPr>
          <w:rFonts w:ascii="Arial" w:hAnsi="Arial"/>
          <w:sz w:val="24"/>
          <w:lang w:val="en-CA"/>
        </w:rPr>
        <w:t>)</w:t>
      </w:r>
      <w:r w:rsidR="00910AF8" w:rsidRPr="00E17FB7">
        <w:rPr>
          <w:rFonts w:ascii="Arial" w:hAnsi="Arial"/>
          <w:sz w:val="24"/>
          <w:lang w:val="en-CA"/>
        </w:rPr>
        <w:t> :</w:t>
      </w:r>
      <w:r w:rsidR="006235D6" w:rsidRPr="00E17FB7">
        <w:rPr>
          <w:rFonts w:ascii="Arial" w:hAnsi="Arial"/>
          <w:sz w:val="24"/>
          <w:lang w:val="en-CA"/>
        </w:rPr>
        <w:t xml:space="preserve"> 4</w:t>
      </w:r>
      <w:r w:rsidR="008813CF" w:rsidRPr="00E17FB7">
        <w:rPr>
          <w:rFonts w:ascii="Arial" w:hAnsi="Arial"/>
          <w:sz w:val="24"/>
          <w:lang w:val="en-CA"/>
        </w:rPr>
        <w:t>70</w:t>
      </w:r>
      <w:r w:rsidR="006235D6" w:rsidRPr="00E17FB7">
        <w:rPr>
          <w:rFonts w:ascii="Arial" w:hAnsi="Arial"/>
          <w:sz w:val="24"/>
          <w:lang w:val="en-CA"/>
        </w:rPr>
        <w:t>-48</w:t>
      </w:r>
      <w:r w:rsidR="008813CF" w:rsidRPr="00E17FB7">
        <w:rPr>
          <w:rFonts w:ascii="Arial" w:hAnsi="Arial"/>
          <w:sz w:val="24"/>
          <w:lang w:val="en-CA"/>
        </w:rPr>
        <w:t>0</w:t>
      </w:r>
      <w:r w:rsidR="00F54271" w:rsidRPr="00E17FB7">
        <w:rPr>
          <w:rFonts w:ascii="Arial" w:hAnsi="Arial"/>
          <w:sz w:val="24"/>
          <w:lang w:val="en-CA"/>
        </w:rPr>
        <w:t>.</w:t>
      </w:r>
    </w:p>
    <w:p w:rsidR="00FE36EC" w:rsidRPr="00FE36EC" w:rsidRDefault="00FE36EC" w:rsidP="00FE36EC">
      <w:pPr>
        <w:ind w:left="1440"/>
        <w:rPr>
          <w:rFonts w:ascii="Arial" w:hAnsi="Arial"/>
          <w:sz w:val="24"/>
          <w:lang w:val="en-CA"/>
        </w:rPr>
      </w:pPr>
    </w:p>
    <w:p w:rsidR="00F54271" w:rsidRPr="00E17FB7" w:rsidRDefault="00B11ECD">
      <w:pPr>
        <w:numPr>
          <w:ilvl w:val="1"/>
          <w:numId w:val="1"/>
        </w:numPr>
        <w:rPr>
          <w:rFonts w:ascii="Arial" w:hAnsi="Arial"/>
          <w:sz w:val="24"/>
          <w:lang w:val="en-CA"/>
        </w:rPr>
      </w:pPr>
      <w:r w:rsidRPr="00B11ECD">
        <w:rPr>
          <w:rFonts w:ascii="Arial" w:hAnsi="Arial"/>
          <w:sz w:val="24"/>
          <w:lang w:val="fr-CA"/>
        </w:rPr>
        <w:t>Dépliant du fabricant</w:t>
      </w:r>
      <w:r w:rsidR="00F54271" w:rsidRPr="00B11ECD">
        <w:rPr>
          <w:rFonts w:ascii="Arial" w:hAnsi="Arial"/>
          <w:sz w:val="24"/>
          <w:lang w:val="fr-CA"/>
        </w:rPr>
        <w:t xml:space="preserve">. </w:t>
      </w:r>
      <w:r w:rsidR="008813CF">
        <w:rPr>
          <w:rFonts w:ascii="Arial" w:hAnsi="Arial"/>
          <w:sz w:val="24"/>
          <w:lang w:val="fr-CA"/>
        </w:rPr>
        <w:t>ELU-KIT</w:t>
      </w:r>
      <w:r w:rsidR="008813CF" w:rsidRPr="008813CF">
        <w:rPr>
          <w:rFonts w:ascii="Arial" w:hAnsi="Arial"/>
          <w:sz w:val="24"/>
          <w:vertAlign w:val="superscript"/>
          <w:lang w:val="fr-CA"/>
        </w:rPr>
        <w:t>MC</w:t>
      </w:r>
      <w:r w:rsidR="008813CF">
        <w:rPr>
          <w:rFonts w:ascii="Arial" w:hAnsi="Arial"/>
          <w:sz w:val="24"/>
          <w:lang w:val="fr-CA"/>
        </w:rPr>
        <w:t xml:space="preserve"> PLUS. </w:t>
      </w:r>
      <w:r w:rsidR="008813CF" w:rsidRPr="00E17FB7">
        <w:rPr>
          <w:rFonts w:ascii="Arial" w:hAnsi="Arial"/>
          <w:sz w:val="24"/>
          <w:lang w:val="en-CA"/>
        </w:rPr>
        <w:t>R</w:t>
      </w:r>
      <w:r w:rsidR="00F54271" w:rsidRPr="00E17FB7">
        <w:rPr>
          <w:rFonts w:ascii="Arial" w:hAnsi="Arial"/>
          <w:sz w:val="24"/>
          <w:lang w:val="en-CA"/>
        </w:rPr>
        <w:t>ed cell elution system.</w:t>
      </w:r>
      <w:r w:rsidR="00821874" w:rsidRPr="00E17FB7">
        <w:rPr>
          <w:rFonts w:ascii="Arial" w:hAnsi="Arial"/>
          <w:sz w:val="24"/>
          <w:lang w:val="en-CA"/>
        </w:rPr>
        <w:t xml:space="preserve"> </w:t>
      </w:r>
      <w:r w:rsidR="008813CF" w:rsidRPr="00E17FB7">
        <w:rPr>
          <w:rFonts w:ascii="Arial" w:hAnsi="Arial"/>
          <w:sz w:val="24"/>
          <w:lang w:val="en-CA"/>
        </w:rPr>
        <w:t>D</w:t>
      </w:r>
      <w:r w:rsidR="00F54271" w:rsidRPr="00E17FB7">
        <w:rPr>
          <w:rFonts w:ascii="Arial" w:hAnsi="Arial"/>
          <w:sz w:val="24"/>
          <w:lang w:val="en-CA"/>
        </w:rPr>
        <w:t>ominion Biologicals L</w:t>
      </w:r>
      <w:r w:rsidR="008813CF" w:rsidRPr="00E17FB7">
        <w:rPr>
          <w:rFonts w:ascii="Arial" w:hAnsi="Arial"/>
          <w:sz w:val="24"/>
          <w:lang w:val="en-CA"/>
        </w:rPr>
        <w:t>imited, DBK-26, version 03/2011</w:t>
      </w:r>
      <w:r w:rsidR="00F54271" w:rsidRPr="00E17FB7">
        <w:rPr>
          <w:rFonts w:ascii="Arial" w:hAnsi="Arial"/>
          <w:sz w:val="24"/>
          <w:lang w:val="en-CA"/>
        </w:rPr>
        <w:t>.</w:t>
      </w:r>
    </w:p>
    <w:p w:rsidR="00FE36EC" w:rsidRPr="00FE36EC" w:rsidRDefault="00FE36EC" w:rsidP="00FE36EC">
      <w:pPr>
        <w:ind w:left="1440"/>
        <w:rPr>
          <w:rFonts w:ascii="Arial" w:hAnsi="Arial" w:cs="Arial"/>
          <w:sz w:val="24"/>
          <w:lang w:val="fr-CA"/>
        </w:rPr>
      </w:pPr>
    </w:p>
    <w:p w:rsidR="00F54271" w:rsidRPr="00B11ECD" w:rsidRDefault="006235D6">
      <w:pPr>
        <w:numPr>
          <w:ilvl w:val="1"/>
          <w:numId w:val="1"/>
        </w:numPr>
        <w:rPr>
          <w:rFonts w:ascii="Arial" w:hAnsi="Arial" w:cs="Arial"/>
          <w:sz w:val="24"/>
          <w:lang w:val="fr-CA"/>
        </w:rPr>
      </w:pPr>
      <w:r w:rsidRPr="00E17FB7">
        <w:rPr>
          <w:rFonts w:ascii="Arial" w:hAnsi="Arial" w:cs="Arial"/>
          <w:sz w:val="24"/>
          <w:lang w:val="en-CA"/>
        </w:rPr>
        <w:t>JUDD WJ</w:t>
      </w:r>
      <w:r w:rsidR="00F54271" w:rsidRPr="00E17FB7">
        <w:rPr>
          <w:rFonts w:ascii="Arial" w:hAnsi="Arial" w:cs="Arial"/>
          <w:sz w:val="24"/>
          <w:lang w:val="en-CA"/>
        </w:rPr>
        <w:t xml:space="preserve">. </w:t>
      </w:r>
      <w:r w:rsidR="00F54271" w:rsidRPr="00E17FB7">
        <w:rPr>
          <w:rFonts w:ascii="Arial" w:hAnsi="Arial" w:cs="Arial"/>
          <w:i/>
          <w:sz w:val="24"/>
          <w:lang w:val="en-CA"/>
        </w:rPr>
        <w:t>Methods in immunohematology</w:t>
      </w:r>
      <w:r w:rsidR="00F54271" w:rsidRPr="00E17FB7">
        <w:rPr>
          <w:rFonts w:ascii="Arial" w:hAnsi="Arial" w:cs="Arial"/>
          <w:sz w:val="24"/>
          <w:lang w:val="en-CA"/>
        </w:rPr>
        <w:t xml:space="preserve">. </w:t>
      </w:r>
      <w:r>
        <w:rPr>
          <w:rFonts w:ascii="Arial" w:hAnsi="Arial" w:cs="Arial"/>
          <w:sz w:val="24"/>
          <w:lang w:val="fr-CA"/>
        </w:rPr>
        <w:t>3</w:t>
      </w:r>
      <w:r w:rsidR="00B11ECD" w:rsidRPr="00B11ECD">
        <w:rPr>
          <w:rFonts w:ascii="Arial" w:hAnsi="Arial" w:cs="Arial"/>
          <w:sz w:val="24"/>
          <w:vertAlign w:val="superscript"/>
          <w:lang w:val="fr-CA"/>
        </w:rPr>
        <w:t>e</w:t>
      </w:r>
      <w:r w:rsidR="00F54271" w:rsidRPr="00B11ECD">
        <w:rPr>
          <w:rFonts w:ascii="Arial" w:hAnsi="Arial" w:cs="Arial"/>
          <w:sz w:val="24"/>
          <w:lang w:val="fr-CA"/>
        </w:rPr>
        <w:t xml:space="preserve"> </w:t>
      </w:r>
      <w:r w:rsidR="00B11ECD" w:rsidRPr="00B11ECD">
        <w:rPr>
          <w:rFonts w:ascii="Arial" w:hAnsi="Arial" w:cs="Arial"/>
          <w:sz w:val="24"/>
          <w:lang w:val="fr-CA"/>
        </w:rPr>
        <w:t>é</w:t>
      </w:r>
      <w:r w:rsidR="00F54271" w:rsidRPr="00B11ECD">
        <w:rPr>
          <w:rFonts w:ascii="Arial" w:hAnsi="Arial" w:cs="Arial"/>
          <w:sz w:val="24"/>
          <w:lang w:val="fr-CA"/>
        </w:rPr>
        <w:t xml:space="preserve">d. </w:t>
      </w:r>
      <w:r>
        <w:rPr>
          <w:rFonts w:ascii="Arial" w:hAnsi="Arial" w:cs="Arial"/>
          <w:sz w:val="24"/>
          <w:lang w:val="fr-CA"/>
        </w:rPr>
        <w:t>Bethesda, MD</w:t>
      </w:r>
      <w:r w:rsidR="008813CF">
        <w:rPr>
          <w:rFonts w:ascii="Arial" w:hAnsi="Arial" w:cs="Arial"/>
          <w:sz w:val="24"/>
          <w:lang w:val="fr-CA"/>
        </w:rPr>
        <w:t xml:space="preserve"> </w:t>
      </w:r>
      <w:r>
        <w:rPr>
          <w:rFonts w:ascii="Arial" w:hAnsi="Arial" w:cs="Arial"/>
          <w:sz w:val="24"/>
          <w:lang w:val="fr-CA"/>
        </w:rPr>
        <w:t>(</w:t>
      </w:r>
      <w:r w:rsidR="008813CF">
        <w:rPr>
          <w:rFonts w:ascii="Arial" w:hAnsi="Arial" w:cs="Arial"/>
          <w:sz w:val="24"/>
          <w:lang w:val="fr-CA"/>
        </w:rPr>
        <w:t>2008)</w:t>
      </w:r>
      <w:r w:rsidR="00910AF8">
        <w:rPr>
          <w:rFonts w:ascii="Arial" w:hAnsi="Arial" w:cs="Arial"/>
          <w:sz w:val="24"/>
          <w:lang w:val="fr-CA"/>
        </w:rPr>
        <w:t> :</w:t>
      </w:r>
      <w:r w:rsidR="008813CF">
        <w:rPr>
          <w:rFonts w:ascii="Arial" w:hAnsi="Arial" w:cs="Arial"/>
          <w:sz w:val="24"/>
          <w:lang w:val="fr-CA"/>
        </w:rPr>
        <w:t xml:space="preserve"> 128-131</w:t>
      </w:r>
      <w:r w:rsidR="00F54271" w:rsidRPr="00B11ECD">
        <w:rPr>
          <w:rFonts w:ascii="Arial" w:hAnsi="Arial" w:cs="Arial"/>
          <w:sz w:val="24"/>
          <w:lang w:val="fr-CA"/>
        </w:rPr>
        <w:t>.</w:t>
      </w:r>
    </w:p>
    <w:p w:rsidR="0043720F" w:rsidRPr="00A458D5" w:rsidRDefault="0043720F" w:rsidP="0043720F">
      <w:pPr>
        <w:rPr>
          <w:rFonts w:ascii="Arial" w:hAnsi="Arial"/>
          <w:b/>
          <w:sz w:val="28"/>
          <w:lang w:val="fr-CA"/>
        </w:rPr>
      </w:pPr>
      <w:r>
        <w:rPr>
          <w:rFonts w:ascii="Arial" w:hAnsi="Arial"/>
          <w:b/>
          <w:sz w:val="28"/>
          <w:lang w:val="fr-CA"/>
        </w:rPr>
        <w:t xml:space="preserve">         </w:t>
      </w:r>
      <w:r>
        <w:rPr>
          <w:rFonts w:ascii="Arial" w:hAnsi="Arial" w:cs="Arial"/>
          <w:sz w:val="24"/>
          <w:lang w:val="fr-CA"/>
        </w:rPr>
        <w:t xml:space="preserve">  </w:t>
      </w:r>
      <w:r>
        <w:rPr>
          <w:rFonts w:ascii="Arial" w:hAnsi="Arial" w:cs="Arial"/>
          <w:sz w:val="24"/>
          <w:lang w:val="fr-CA"/>
        </w:rPr>
        <w:tab/>
      </w:r>
    </w:p>
    <w:p w:rsidR="0043720F" w:rsidRDefault="0043720F" w:rsidP="0043720F">
      <w:pPr>
        <w:pStyle w:val="ListParagraph"/>
        <w:numPr>
          <w:ilvl w:val="0"/>
          <w:numId w:val="1"/>
        </w:numPr>
        <w:contextualSpacing/>
        <w:rPr>
          <w:rFonts w:ascii="Arial" w:hAnsi="Arial"/>
          <w:b/>
          <w:sz w:val="28"/>
          <w:lang w:val="fr-CA"/>
        </w:rPr>
      </w:pPr>
      <w:r w:rsidRPr="00527326">
        <w:rPr>
          <w:rFonts w:ascii="Arial" w:hAnsi="Arial"/>
          <w:b/>
          <w:sz w:val="28"/>
          <w:lang w:val="fr-CA"/>
        </w:rPr>
        <w:t>Suivi des révisions</w:t>
      </w:r>
    </w:p>
    <w:p w:rsidR="0043720F" w:rsidRPr="00527326" w:rsidRDefault="0043720F" w:rsidP="0043720F">
      <w:pPr>
        <w:pStyle w:val="ListParagraph"/>
        <w:rPr>
          <w:rFonts w:ascii="Arial" w:hAnsi="Arial"/>
          <w:b/>
          <w:sz w:val="28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678"/>
      </w:tblGrid>
      <w:tr w:rsidR="0043720F" w:rsidRPr="00527326" w:rsidTr="00FE36E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720F" w:rsidRPr="00527326" w:rsidRDefault="0043720F" w:rsidP="00075AC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527326">
              <w:rPr>
                <w:rFonts w:ascii="Arial" w:hAnsi="Arial" w:cs="Arial"/>
                <w:b/>
                <w:sz w:val="22"/>
                <w:szCs w:val="22"/>
                <w:lang w:val="fr-CA"/>
              </w:rPr>
              <w:t>Date de la révision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3720F" w:rsidRPr="00527326" w:rsidRDefault="0043720F" w:rsidP="00075AC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527326">
              <w:rPr>
                <w:rFonts w:ascii="Arial" w:hAnsi="Arial" w:cs="Arial"/>
                <w:b/>
                <w:sz w:val="22"/>
                <w:szCs w:val="22"/>
                <w:lang w:val="fr-CA"/>
              </w:rPr>
              <w:t>Résumé des changements</w:t>
            </w:r>
          </w:p>
        </w:tc>
      </w:tr>
      <w:tr w:rsidR="0043720F" w:rsidRPr="00A458D5" w:rsidTr="00FE36E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0F" w:rsidRPr="00A458D5" w:rsidRDefault="0043720F" w:rsidP="00075AC6">
            <w:pPr>
              <w:pStyle w:val="Header"/>
              <w:tabs>
                <w:tab w:val="left" w:pos="720"/>
                <w:tab w:val="left" w:pos="2268"/>
              </w:tabs>
              <w:rPr>
                <w:rFonts w:ascii="Arial" w:hAnsi="Arial" w:cs="Arial"/>
                <w:sz w:val="22"/>
                <w:lang w:val="fr-CA"/>
              </w:rPr>
            </w:pPr>
            <w:r w:rsidRPr="00A458D5">
              <w:rPr>
                <w:rFonts w:ascii="Arial" w:hAnsi="Arial"/>
                <w:sz w:val="22"/>
                <w:szCs w:val="22"/>
                <w:lang w:val="fr-CA"/>
              </w:rPr>
              <w:t>1</w:t>
            </w:r>
            <w:r w:rsidRPr="00A458D5">
              <w:rPr>
                <w:rFonts w:ascii="Arial" w:hAnsi="Arial"/>
                <w:sz w:val="22"/>
                <w:szCs w:val="22"/>
                <w:vertAlign w:val="superscript"/>
                <w:lang w:val="fr-CA"/>
              </w:rPr>
              <w:t>er</w:t>
            </w:r>
            <w:r w:rsidRPr="00A458D5">
              <w:rPr>
                <w:rFonts w:ascii="Arial" w:hAnsi="Arial"/>
                <w:sz w:val="22"/>
                <w:szCs w:val="22"/>
                <w:lang w:val="fr-CA"/>
              </w:rPr>
              <w:t xml:space="preserve"> mars 2014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0F" w:rsidRPr="00A458D5" w:rsidRDefault="0043720F" w:rsidP="00075AC6">
            <w:pPr>
              <w:numPr>
                <w:ilvl w:val="0"/>
                <w:numId w:val="7"/>
              </w:numPr>
              <w:tabs>
                <w:tab w:val="left" w:pos="2268"/>
              </w:tabs>
              <w:ind w:left="317" w:hanging="317"/>
              <w:rPr>
                <w:rFonts w:ascii="Arial" w:hAnsi="Arial"/>
                <w:sz w:val="22"/>
                <w:lang w:val="fr-CA"/>
              </w:rPr>
            </w:pPr>
            <w:r w:rsidRPr="00A458D5">
              <w:rPr>
                <w:rFonts w:ascii="Arial" w:hAnsi="Arial" w:cs="Arial"/>
                <w:sz w:val="22"/>
                <w:szCs w:val="22"/>
                <w:lang w:val="fr-CA"/>
              </w:rPr>
              <w:t xml:space="preserve">Changement du nom du manuel </w:t>
            </w:r>
          </w:p>
          <w:p w:rsidR="0043720F" w:rsidRPr="00A458D5" w:rsidRDefault="0043720F" w:rsidP="00075AC6">
            <w:pPr>
              <w:numPr>
                <w:ilvl w:val="0"/>
                <w:numId w:val="7"/>
              </w:numPr>
              <w:tabs>
                <w:tab w:val="left" w:pos="2268"/>
              </w:tabs>
              <w:ind w:left="175" w:hanging="175"/>
              <w:rPr>
                <w:rFonts w:ascii="Arial" w:hAnsi="Arial"/>
                <w:sz w:val="22"/>
                <w:lang w:val="fr-CA"/>
              </w:rPr>
            </w:pPr>
            <w:r w:rsidRPr="00A458D5">
              <w:rPr>
                <w:rFonts w:ascii="Arial" w:hAnsi="Arial"/>
                <w:sz w:val="22"/>
                <w:lang w:val="fr-CA"/>
              </w:rPr>
              <w:t xml:space="preserve">Renumérotation et changements mineurs au libellé des sections </w:t>
            </w:r>
          </w:p>
          <w:p w:rsidR="0043720F" w:rsidRPr="00A458D5" w:rsidRDefault="0043720F" w:rsidP="00075AC6">
            <w:pPr>
              <w:tabs>
                <w:tab w:val="left" w:pos="2268"/>
              </w:tabs>
              <w:ind w:left="175"/>
              <w:rPr>
                <w:rFonts w:ascii="Arial" w:hAnsi="Arial"/>
                <w:sz w:val="22"/>
                <w:lang w:val="fr-CA"/>
              </w:rPr>
            </w:pPr>
            <w:r w:rsidRPr="00A458D5">
              <w:rPr>
                <w:rFonts w:ascii="Arial" w:hAnsi="Arial"/>
                <w:sz w:val="22"/>
                <w:lang w:val="fr-CA"/>
              </w:rPr>
              <w:t xml:space="preserve">2.0, </w:t>
            </w:r>
            <w:r>
              <w:rPr>
                <w:rFonts w:ascii="Arial" w:hAnsi="Arial"/>
                <w:sz w:val="22"/>
                <w:lang w:val="fr-CA"/>
              </w:rPr>
              <w:t xml:space="preserve">5.0 et </w:t>
            </w:r>
            <w:r w:rsidRPr="00A458D5">
              <w:rPr>
                <w:rFonts w:ascii="Arial" w:hAnsi="Arial"/>
                <w:sz w:val="22"/>
                <w:lang w:val="fr-CA"/>
              </w:rPr>
              <w:t>6.0</w:t>
            </w:r>
          </w:p>
          <w:p w:rsidR="0043720F" w:rsidRPr="008813CF" w:rsidRDefault="0043720F" w:rsidP="00075AC6">
            <w:pPr>
              <w:numPr>
                <w:ilvl w:val="0"/>
                <w:numId w:val="7"/>
              </w:numPr>
              <w:tabs>
                <w:tab w:val="left" w:pos="2268"/>
              </w:tabs>
              <w:ind w:left="175" w:hanging="175"/>
              <w:rPr>
                <w:rFonts w:ascii="Arial" w:hAnsi="Arial"/>
                <w:sz w:val="22"/>
                <w:szCs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>À la section 4.0, changement du libellé pour inclure «</w:t>
            </w:r>
            <w:r w:rsidRPr="008813CF">
              <w:rPr>
                <w:rFonts w:ascii="Arial" w:hAnsi="Arial"/>
                <w:sz w:val="22"/>
                <w:szCs w:val="22"/>
                <w:lang w:val="fr-CA"/>
              </w:rPr>
              <w:t> cellules de dépistage à 3-5 % et/ou panel de cellules »</w:t>
            </w:r>
          </w:p>
          <w:p w:rsidR="0043720F" w:rsidRPr="008813CF" w:rsidRDefault="0043720F" w:rsidP="00075AC6">
            <w:pPr>
              <w:numPr>
                <w:ilvl w:val="0"/>
                <w:numId w:val="7"/>
              </w:numPr>
              <w:tabs>
                <w:tab w:val="left" w:pos="2268"/>
              </w:tabs>
              <w:ind w:left="175" w:hanging="175"/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>La section 5.1 se lit dorénavant : « </w:t>
            </w:r>
            <w:r w:rsidRPr="008813CF">
              <w:rPr>
                <w:rFonts w:ascii="Arial" w:hAnsi="Arial"/>
                <w:sz w:val="22"/>
                <w:lang w:val="fr-CA"/>
              </w:rPr>
              <w:t>Un TDA positif avec complément (anti-C3) et négatif à l’IgG suscite habituellement un éluat négatif, de sorte que la procédure n’est pas requise.</w:t>
            </w:r>
            <w:r>
              <w:rPr>
                <w:rFonts w:ascii="Arial" w:hAnsi="Arial"/>
                <w:sz w:val="22"/>
                <w:lang w:val="fr-CA"/>
              </w:rPr>
              <w:t> »</w:t>
            </w:r>
          </w:p>
          <w:p w:rsidR="0043720F" w:rsidRDefault="0043720F" w:rsidP="00075AC6">
            <w:pPr>
              <w:numPr>
                <w:ilvl w:val="0"/>
                <w:numId w:val="7"/>
              </w:numPr>
              <w:tabs>
                <w:tab w:val="left" w:pos="2268"/>
              </w:tabs>
              <w:ind w:left="317" w:hanging="317"/>
              <w:rPr>
                <w:rFonts w:ascii="Arial" w:hAnsi="Arial"/>
                <w:sz w:val="22"/>
                <w:lang w:val="fr-CA"/>
              </w:rPr>
            </w:pPr>
            <w:r>
              <w:rPr>
                <w:rFonts w:ascii="Arial" w:hAnsi="Arial"/>
                <w:sz w:val="22"/>
                <w:lang w:val="fr-CA"/>
              </w:rPr>
              <w:t>À la section 6.1, changement du numéro de la procédure de AR.004 à AR.007</w:t>
            </w:r>
          </w:p>
          <w:p w:rsidR="0043720F" w:rsidRPr="008813CF" w:rsidRDefault="0043720F" w:rsidP="00075AC6">
            <w:pPr>
              <w:numPr>
                <w:ilvl w:val="0"/>
                <w:numId w:val="7"/>
              </w:numPr>
              <w:tabs>
                <w:tab w:val="left" w:pos="2268"/>
              </w:tabs>
              <w:ind w:left="175" w:hanging="175"/>
              <w:rPr>
                <w:sz w:val="24"/>
                <w:lang w:val="fr-CA"/>
              </w:rPr>
            </w:pPr>
            <w:r w:rsidRPr="00A458D5">
              <w:rPr>
                <w:rFonts w:ascii="Arial" w:hAnsi="Arial"/>
                <w:sz w:val="22"/>
                <w:lang w:val="fr-CA"/>
              </w:rPr>
              <w:t xml:space="preserve">Ajout à la section </w:t>
            </w:r>
            <w:r>
              <w:rPr>
                <w:rFonts w:ascii="Arial" w:hAnsi="Arial"/>
                <w:sz w:val="22"/>
                <w:lang w:val="fr-CA"/>
              </w:rPr>
              <w:t>6.9.2 : « </w:t>
            </w:r>
            <w:r w:rsidRPr="008813CF">
              <w:rPr>
                <w:rFonts w:ascii="Arial" w:hAnsi="Arial"/>
                <w:sz w:val="22"/>
                <w:szCs w:val="22"/>
                <w:lang w:val="fr-CA"/>
              </w:rPr>
              <w:t>ajuster en conséquence le volume de solution acide de l’élution et de solution tampon basique</w:t>
            </w:r>
            <w:r>
              <w:rPr>
                <w:rFonts w:ascii="Arial" w:hAnsi="Arial"/>
                <w:sz w:val="22"/>
                <w:szCs w:val="22"/>
                <w:lang w:val="fr-CA"/>
              </w:rPr>
              <w:t> »</w:t>
            </w:r>
          </w:p>
          <w:p w:rsidR="0043720F" w:rsidRPr="00A458D5" w:rsidRDefault="0043720F" w:rsidP="00075AC6">
            <w:pPr>
              <w:numPr>
                <w:ilvl w:val="0"/>
                <w:numId w:val="7"/>
              </w:numPr>
              <w:tabs>
                <w:tab w:val="left" w:pos="2268"/>
              </w:tabs>
              <w:ind w:left="175" w:hanging="175"/>
              <w:rPr>
                <w:sz w:val="24"/>
                <w:lang w:val="fr-CA"/>
              </w:rPr>
            </w:pPr>
            <w:r w:rsidRPr="00A458D5">
              <w:rPr>
                <w:rFonts w:ascii="Arial" w:hAnsi="Arial"/>
                <w:sz w:val="22"/>
                <w:szCs w:val="22"/>
                <w:lang w:val="fr-CA"/>
              </w:rPr>
              <w:t>Mise à jour des références</w:t>
            </w:r>
          </w:p>
        </w:tc>
      </w:tr>
    </w:tbl>
    <w:p w:rsidR="0043720F" w:rsidRPr="00A458D5" w:rsidRDefault="0043720F" w:rsidP="0043720F">
      <w:pPr>
        <w:pStyle w:val="ListParagraph"/>
        <w:tabs>
          <w:tab w:val="left" w:pos="2268"/>
        </w:tabs>
        <w:rPr>
          <w:rFonts w:ascii="Arial" w:hAnsi="Arial"/>
          <w:b/>
          <w:sz w:val="28"/>
          <w:lang w:val="fr-CA"/>
        </w:rPr>
      </w:pPr>
    </w:p>
    <w:p w:rsidR="00F52B1C" w:rsidRPr="00A458D5" w:rsidRDefault="00F52B1C" w:rsidP="00F52B1C">
      <w:pPr>
        <w:pStyle w:val="ListParagraph"/>
        <w:tabs>
          <w:tab w:val="left" w:pos="2268"/>
        </w:tabs>
        <w:rPr>
          <w:rFonts w:ascii="Arial" w:hAnsi="Arial"/>
          <w:b/>
          <w:sz w:val="28"/>
          <w:lang w:val="fr-CA"/>
        </w:rPr>
      </w:pPr>
    </w:p>
    <w:p w:rsidR="00F52B1C" w:rsidRDefault="00F52B1C" w:rsidP="00F52B1C">
      <w:pPr>
        <w:rPr>
          <w:lang w:val="fr-CA"/>
        </w:rPr>
      </w:pPr>
    </w:p>
    <w:p w:rsidR="00FE36EC" w:rsidRDefault="00FE36EC" w:rsidP="00F52B1C">
      <w:pPr>
        <w:rPr>
          <w:lang w:val="fr-CA"/>
        </w:rPr>
      </w:pPr>
    </w:p>
    <w:p w:rsidR="00FE36EC" w:rsidRDefault="00FE36EC" w:rsidP="00F52B1C">
      <w:pPr>
        <w:rPr>
          <w:lang w:val="fr-CA"/>
        </w:rPr>
      </w:pPr>
    </w:p>
    <w:p w:rsidR="00FE36EC" w:rsidRDefault="00FE36EC" w:rsidP="00F52B1C">
      <w:pPr>
        <w:rPr>
          <w:lang w:val="fr-CA"/>
        </w:rPr>
      </w:pPr>
    </w:p>
    <w:p w:rsidR="00FE36EC" w:rsidRDefault="00FE36EC" w:rsidP="00F52B1C">
      <w:pPr>
        <w:rPr>
          <w:lang w:val="fr-CA"/>
        </w:rPr>
      </w:pPr>
    </w:p>
    <w:p w:rsidR="00FE36EC" w:rsidRDefault="00FE36EC" w:rsidP="00F52B1C">
      <w:pPr>
        <w:rPr>
          <w:lang w:val="fr-CA"/>
        </w:rPr>
      </w:pPr>
    </w:p>
    <w:p w:rsidR="00FE36EC" w:rsidRDefault="00FE36EC" w:rsidP="00F52B1C">
      <w:pPr>
        <w:rPr>
          <w:lang w:val="fr-CA"/>
        </w:rPr>
      </w:pPr>
    </w:p>
    <w:p w:rsidR="00FE36EC" w:rsidRDefault="00FE36EC" w:rsidP="00F52B1C">
      <w:pPr>
        <w:rPr>
          <w:lang w:val="fr-CA"/>
        </w:rPr>
      </w:pPr>
    </w:p>
    <w:p w:rsidR="00FE36EC" w:rsidRDefault="00FE36EC" w:rsidP="00F52B1C">
      <w:pPr>
        <w:rPr>
          <w:lang w:val="fr-CA"/>
        </w:rPr>
      </w:pPr>
    </w:p>
    <w:p w:rsidR="00FE36EC" w:rsidRDefault="00FE36EC" w:rsidP="00F52B1C">
      <w:pPr>
        <w:rPr>
          <w:lang w:val="fr-CA"/>
        </w:rPr>
      </w:pPr>
    </w:p>
    <w:p w:rsidR="00FE36EC" w:rsidRDefault="00FE36EC" w:rsidP="00F52B1C">
      <w:pPr>
        <w:rPr>
          <w:lang w:val="fr-CA"/>
        </w:rPr>
      </w:pPr>
    </w:p>
    <w:p w:rsidR="00FE36EC" w:rsidRDefault="00FE36EC" w:rsidP="00F52B1C">
      <w:pPr>
        <w:rPr>
          <w:lang w:val="fr-CA"/>
        </w:rPr>
      </w:pPr>
    </w:p>
    <w:p w:rsidR="00FE36EC" w:rsidRPr="00527326" w:rsidRDefault="00FE36EC" w:rsidP="00F52B1C">
      <w:pPr>
        <w:rPr>
          <w:lang w:val="fr-CA"/>
        </w:rPr>
      </w:pPr>
    </w:p>
    <w:p w:rsidR="00F52B1C" w:rsidRPr="00527326" w:rsidRDefault="00F52B1C" w:rsidP="00F52B1C">
      <w:pPr>
        <w:ind w:left="1440"/>
        <w:rPr>
          <w:lang w:val="fr-CA"/>
        </w:rPr>
      </w:pPr>
    </w:p>
    <w:p w:rsidR="00B11ECD" w:rsidRDefault="00B11ECD" w:rsidP="00B11ECD">
      <w:pPr>
        <w:pStyle w:val="Heading8"/>
        <w:rPr>
          <w:lang w:val="fr-CA"/>
        </w:rPr>
      </w:pPr>
      <w:r>
        <w:rPr>
          <w:lang w:val="fr-CA"/>
        </w:rPr>
        <w:t xml:space="preserve">Tableau </w:t>
      </w:r>
      <w:r w:rsidR="008813CF">
        <w:rPr>
          <w:lang w:val="fr-CA"/>
        </w:rPr>
        <w:t>EC.010-</w:t>
      </w:r>
      <w:r>
        <w:rPr>
          <w:lang w:val="fr-CA"/>
        </w:rPr>
        <w:t>1</w:t>
      </w:r>
    </w:p>
    <w:p w:rsidR="00B11ECD" w:rsidRDefault="00B11ECD" w:rsidP="00B11ECD">
      <w:pPr>
        <w:jc w:val="center"/>
        <w:rPr>
          <w:rFonts w:ascii="Arial" w:hAnsi="Arial"/>
          <w:sz w:val="24"/>
          <w:lang w:val="fr-CA"/>
        </w:rPr>
      </w:pPr>
    </w:p>
    <w:p w:rsidR="00B11ECD" w:rsidRPr="00492148" w:rsidRDefault="00B11ECD" w:rsidP="00B11ECD">
      <w:pPr>
        <w:rPr>
          <w:rFonts w:ascii="Arial" w:hAnsi="Arial"/>
          <w:color w:val="000000"/>
          <w:sz w:val="24"/>
          <w:lang w:val="fr-CA"/>
        </w:rPr>
      </w:pPr>
      <w:r w:rsidRPr="00492148">
        <w:rPr>
          <w:rFonts w:ascii="Arial" w:hAnsi="Arial"/>
          <w:color w:val="000000"/>
          <w:sz w:val="24"/>
          <w:lang w:val="fr-CA"/>
        </w:rPr>
        <w:t>De nombreux médicaments sont associés à un TDA positif, dont les suivants :</w:t>
      </w:r>
      <w:r w:rsidR="00821874">
        <w:rPr>
          <w:rFonts w:ascii="Arial" w:hAnsi="Arial"/>
          <w:color w:val="000000"/>
          <w:sz w:val="24"/>
          <w:lang w:val="fr-CA"/>
        </w:rPr>
        <w:t xml:space="preserve"> </w:t>
      </w:r>
    </w:p>
    <w:p w:rsidR="00B11ECD" w:rsidRPr="00B11ECD" w:rsidRDefault="00B11ECD" w:rsidP="00B11ECD">
      <w:pPr>
        <w:rPr>
          <w:rFonts w:ascii="Arial" w:hAnsi="Arial"/>
          <w:color w:val="000000"/>
          <w:sz w:val="24"/>
          <w:szCs w:val="24"/>
          <w:lang w:val="fr-CA"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1944"/>
        <w:gridCol w:w="2970"/>
        <w:gridCol w:w="2430"/>
      </w:tblGrid>
      <w:tr w:rsidR="00B11ECD" w:rsidRPr="00B11ECD">
        <w:trPr>
          <w:jc w:val="center"/>
        </w:trPr>
        <w:tc>
          <w:tcPr>
            <w:tcW w:w="2214" w:type="dxa"/>
          </w:tcPr>
          <w:p w:rsidR="00B11ECD" w:rsidRPr="00B11ECD" w:rsidRDefault="00B11ECD" w:rsidP="005A6E29">
            <w:pPr>
              <w:rPr>
                <w:rFonts w:ascii="Arial" w:hAnsi="Arial"/>
                <w:color w:val="000000"/>
                <w:sz w:val="24"/>
                <w:szCs w:val="24"/>
                <w:lang w:val="fr-CA"/>
              </w:rPr>
            </w:pPr>
            <w:r w:rsidRPr="00B11ECD">
              <w:rPr>
                <w:rFonts w:ascii="Arial" w:hAnsi="Arial"/>
                <w:color w:val="000000"/>
                <w:sz w:val="24"/>
                <w:szCs w:val="24"/>
                <w:lang w:val="fr-CA"/>
              </w:rPr>
              <w:t>MÉCANISME</w:t>
            </w:r>
          </w:p>
        </w:tc>
        <w:tc>
          <w:tcPr>
            <w:tcW w:w="1944" w:type="dxa"/>
          </w:tcPr>
          <w:p w:rsidR="00B11ECD" w:rsidRPr="00B11ECD" w:rsidRDefault="00B11ECD" w:rsidP="005A6E29">
            <w:pPr>
              <w:rPr>
                <w:rFonts w:ascii="Arial" w:hAnsi="Arial"/>
                <w:color w:val="000000"/>
                <w:sz w:val="24"/>
                <w:szCs w:val="24"/>
                <w:lang w:val="fr-CA"/>
              </w:rPr>
            </w:pPr>
            <w:r w:rsidRPr="00B11ECD">
              <w:rPr>
                <w:rFonts w:ascii="Arial" w:hAnsi="Arial"/>
                <w:color w:val="000000"/>
                <w:sz w:val="24"/>
                <w:szCs w:val="24"/>
                <w:lang w:val="fr-CA"/>
              </w:rPr>
              <w:t xml:space="preserve">MÉDICAMENT </w:t>
            </w:r>
          </w:p>
        </w:tc>
        <w:tc>
          <w:tcPr>
            <w:tcW w:w="2970" w:type="dxa"/>
          </w:tcPr>
          <w:p w:rsidR="00B11ECD" w:rsidRPr="00B11ECD" w:rsidRDefault="00B11ECD" w:rsidP="005A6E29">
            <w:pPr>
              <w:rPr>
                <w:rFonts w:ascii="Arial" w:hAnsi="Arial"/>
                <w:color w:val="000000"/>
                <w:sz w:val="24"/>
                <w:szCs w:val="24"/>
                <w:lang w:val="fr-CA"/>
              </w:rPr>
            </w:pPr>
            <w:r w:rsidRPr="00B11ECD">
              <w:rPr>
                <w:rFonts w:ascii="Arial" w:hAnsi="Arial"/>
                <w:color w:val="000000"/>
                <w:sz w:val="24"/>
                <w:szCs w:val="24"/>
                <w:lang w:val="fr-CA"/>
              </w:rPr>
              <w:t xml:space="preserve">CATÉGORIE D’IMMUNOGLOBULINE </w:t>
            </w:r>
          </w:p>
        </w:tc>
        <w:tc>
          <w:tcPr>
            <w:tcW w:w="2430" w:type="dxa"/>
          </w:tcPr>
          <w:p w:rsidR="00B11ECD" w:rsidRPr="00B11ECD" w:rsidRDefault="00B11ECD" w:rsidP="005A6E29">
            <w:pPr>
              <w:rPr>
                <w:rFonts w:ascii="Arial" w:hAnsi="Arial"/>
                <w:color w:val="000000"/>
                <w:sz w:val="24"/>
                <w:szCs w:val="24"/>
                <w:lang w:val="fr-CA"/>
              </w:rPr>
            </w:pPr>
            <w:r w:rsidRPr="00B11ECD">
              <w:rPr>
                <w:rFonts w:ascii="Arial" w:hAnsi="Arial"/>
                <w:color w:val="000000"/>
                <w:sz w:val="24"/>
                <w:szCs w:val="24"/>
                <w:lang w:val="fr-CA"/>
              </w:rPr>
              <w:t>ACTIVITÉ</w:t>
            </w:r>
          </w:p>
        </w:tc>
      </w:tr>
      <w:tr w:rsidR="00B11ECD" w:rsidRPr="00B11ECD">
        <w:trPr>
          <w:jc w:val="center"/>
        </w:trPr>
        <w:tc>
          <w:tcPr>
            <w:tcW w:w="2214" w:type="dxa"/>
          </w:tcPr>
          <w:p w:rsidR="00B11ECD" w:rsidRPr="00336BF7" w:rsidRDefault="00B11ECD" w:rsidP="005A6E29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Adsorption médicamenteuse</w:t>
            </w:r>
          </w:p>
        </w:tc>
        <w:tc>
          <w:tcPr>
            <w:tcW w:w="1944" w:type="dxa"/>
          </w:tcPr>
          <w:p w:rsidR="00B11ECD" w:rsidRPr="00336BF7" w:rsidRDefault="00B11ECD" w:rsidP="005A6E29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Pénicillines,</w:t>
            </w:r>
          </w:p>
          <w:p w:rsidR="00B11ECD" w:rsidRPr="00336BF7" w:rsidRDefault="008813CF" w:rsidP="008813CF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c</w:t>
            </w:r>
            <w:r w:rsidR="00B11ECD"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éphalosporines</w:t>
            </w:r>
          </w:p>
        </w:tc>
        <w:tc>
          <w:tcPr>
            <w:tcW w:w="2970" w:type="dxa"/>
          </w:tcPr>
          <w:p w:rsidR="00B11ECD" w:rsidRPr="00336BF7" w:rsidRDefault="00B11ECD" w:rsidP="005A6E29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IgG (parfois C3 aussi)</w:t>
            </w:r>
          </w:p>
        </w:tc>
        <w:tc>
          <w:tcPr>
            <w:tcW w:w="2430" w:type="dxa"/>
          </w:tcPr>
          <w:p w:rsidR="00B11ECD" w:rsidRPr="00336BF7" w:rsidRDefault="00B11ECD" w:rsidP="005A6E29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Réaction avec les globules rouges recouverts de médicaments</w:t>
            </w:r>
            <w:r w:rsidR="00196B45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,</w:t>
            </w: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 xml:space="preserve"> mais pas avec les globules rouges non traités </w:t>
            </w:r>
          </w:p>
        </w:tc>
      </w:tr>
      <w:tr w:rsidR="00B11ECD" w:rsidRPr="00B11ECD">
        <w:trPr>
          <w:jc w:val="center"/>
        </w:trPr>
        <w:tc>
          <w:tcPr>
            <w:tcW w:w="2214" w:type="dxa"/>
          </w:tcPr>
          <w:p w:rsidR="00B11ECD" w:rsidRPr="00336BF7" w:rsidRDefault="00B11ECD" w:rsidP="005A6E29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Complexe immun</w:t>
            </w:r>
          </w:p>
        </w:tc>
        <w:tc>
          <w:tcPr>
            <w:tcW w:w="1944" w:type="dxa"/>
          </w:tcPr>
          <w:p w:rsidR="00B11ECD" w:rsidRPr="00336BF7" w:rsidRDefault="00B11ECD" w:rsidP="00196B45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Phénacétine, quinidine, céphalosporines de 3</w:t>
            </w:r>
            <w:r w:rsidRPr="00336BF7">
              <w:rPr>
                <w:rFonts w:ascii="Arial" w:hAnsi="Arial"/>
                <w:color w:val="000000"/>
                <w:sz w:val="22"/>
                <w:szCs w:val="22"/>
                <w:vertAlign w:val="superscript"/>
                <w:lang w:val="fr-CA"/>
              </w:rPr>
              <w:t>e</w:t>
            </w: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 xml:space="preserve"> génération</w:t>
            </w:r>
            <w:r w:rsidR="00196B45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,</w:t>
            </w: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 xml:space="preserve"> </w:t>
            </w:r>
            <w:r w:rsidR="00196B45"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antihistaminiques</w:t>
            </w:r>
          </w:p>
        </w:tc>
        <w:tc>
          <w:tcPr>
            <w:tcW w:w="2970" w:type="dxa"/>
          </w:tcPr>
          <w:p w:rsidR="00B11ECD" w:rsidRPr="00336BF7" w:rsidRDefault="00B11ECD" w:rsidP="005A6E29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C3 (parfois IgG aussi)</w:t>
            </w:r>
          </w:p>
        </w:tc>
        <w:tc>
          <w:tcPr>
            <w:tcW w:w="2430" w:type="dxa"/>
          </w:tcPr>
          <w:p w:rsidR="00B11ECD" w:rsidRPr="00336BF7" w:rsidRDefault="00B11ECD" w:rsidP="005A6E29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Le sérum réagit avec les globules rouges seulement en présence du médicament; l’éluat ne réagit pas</w:t>
            </w:r>
          </w:p>
        </w:tc>
      </w:tr>
      <w:tr w:rsidR="00B11ECD" w:rsidRPr="00B11ECD">
        <w:trPr>
          <w:jc w:val="center"/>
        </w:trPr>
        <w:tc>
          <w:tcPr>
            <w:tcW w:w="2214" w:type="dxa"/>
          </w:tcPr>
          <w:p w:rsidR="00B11ECD" w:rsidRPr="00336BF7" w:rsidRDefault="00B11ECD" w:rsidP="005A6E29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 xml:space="preserve">Adsorption protéinique non immunologique </w:t>
            </w:r>
          </w:p>
        </w:tc>
        <w:tc>
          <w:tcPr>
            <w:tcW w:w="1944" w:type="dxa"/>
          </w:tcPr>
          <w:p w:rsidR="00B11ECD" w:rsidRPr="00336BF7" w:rsidRDefault="00B11ECD" w:rsidP="005A6E29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Céfalotine</w:t>
            </w:r>
          </w:p>
        </w:tc>
        <w:tc>
          <w:tcPr>
            <w:tcW w:w="2970" w:type="dxa"/>
          </w:tcPr>
          <w:p w:rsidR="00B11ECD" w:rsidRPr="00336BF7" w:rsidRDefault="00B11ECD" w:rsidP="005A6E29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IgG + C3 + albumine, etc.</w:t>
            </w:r>
          </w:p>
        </w:tc>
        <w:tc>
          <w:tcPr>
            <w:tcW w:w="2430" w:type="dxa"/>
          </w:tcPr>
          <w:p w:rsidR="00B11ECD" w:rsidRPr="00336BF7" w:rsidRDefault="00B11ECD" w:rsidP="005A6E29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Le sérum peut contenir une faible concentration d’anticorps au médicament; l’éluat ne réagit pas</w:t>
            </w:r>
          </w:p>
        </w:tc>
      </w:tr>
      <w:tr w:rsidR="00B11ECD" w:rsidRPr="00B11ECD">
        <w:trPr>
          <w:jc w:val="center"/>
        </w:trPr>
        <w:tc>
          <w:tcPr>
            <w:tcW w:w="2214" w:type="dxa"/>
          </w:tcPr>
          <w:p w:rsidR="00B11ECD" w:rsidRPr="00336BF7" w:rsidRDefault="00B11ECD" w:rsidP="005A6E29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Autoimmunité</w:t>
            </w:r>
          </w:p>
        </w:tc>
        <w:tc>
          <w:tcPr>
            <w:tcW w:w="1944" w:type="dxa"/>
          </w:tcPr>
          <w:p w:rsidR="00B11ECD" w:rsidRPr="00336BF7" w:rsidRDefault="00B11ECD" w:rsidP="005A6E29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sym w:font="Symbol" w:char="F061"/>
            </w: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-méthyldopa</w:t>
            </w:r>
          </w:p>
          <w:p w:rsidR="00B11ECD" w:rsidRPr="00336BF7" w:rsidRDefault="00B11ECD" w:rsidP="005A6E29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(Aldomet), procaïnamide</w:t>
            </w:r>
          </w:p>
        </w:tc>
        <w:tc>
          <w:tcPr>
            <w:tcW w:w="2970" w:type="dxa"/>
          </w:tcPr>
          <w:p w:rsidR="00B11ECD" w:rsidRPr="00336BF7" w:rsidRDefault="00B11ECD" w:rsidP="005A6E29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IgG (rarement C3 aussi)</w:t>
            </w:r>
          </w:p>
        </w:tc>
        <w:tc>
          <w:tcPr>
            <w:tcW w:w="2430" w:type="dxa"/>
          </w:tcPr>
          <w:p w:rsidR="00B11ECD" w:rsidRPr="00336BF7" w:rsidRDefault="00B11ECD" w:rsidP="005A6E29">
            <w:p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336BF7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 xml:space="preserve">Réaction avec les globules rouges normaux en l’absence du médicament </w:t>
            </w:r>
          </w:p>
        </w:tc>
      </w:tr>
    </w:tbl>
    <w:p w:rsidR="00F54271" w:rsidRDefault="00F54271" w:rsidP="00B11ECD">
      <w:pPr>
        <w:rPr>
          <w:lang w:val="fr-CA"/>
        </w:rPr>
      </w:pPr>
    </w:p>
    <w:p w:rsidR="008A3E2C" w:rsidRPr="00E17FB7" w:rsidRDefault="008A3E2C" w:rsidP="008A3E2C">
      <w:pPr>
        <w:rPr>
          <w:rFonts w:ascii="Arial" w:hAnsi="Arial"/>
          <w:sz w:val="24"/>
          <w:lang w:val="fr-CA"/>
        </w:rPr>
      </w:pPr>
    </w:p>
    <w:p w:rsidR="008A3E2C" w:rsidRPr="00910AF8" w:rsidRDefault="00910AF8" w:rsidP="008A3E2C">
      <w:pPr>
        <w:rPr>
          <w:rFonts w:ascii="Arial" w:hAnsi="Arial"/>
          <w:sz w:val="24"/>
          <w:lang w:val="fr-CA"/>
        </w:rPr>
      </w:pPr>
      <w:r w:rsidRPr="00910AF8">
        <w:rPr>
          <w:rFonts w:ascii="Arial" w:hAnsi="Arial"/>
          <w:sz w:val="24"/>
          <w:lang w:val="fr-CA"/>
        </w:rPr>
        <w:t>Références particulières à un TDA positif de nature médicamenteuse</w:t>
      </w:r>
      <w:r w:rsidR="008A3E2C" w:rsidRPr="00910AF8">
        <w:rPr>
          <w:rFonts w:ascii="Arial" w:hAnsi="Arial"/>
          <w:sz w:val="24"/>
          <w:lang w:val="fr-CA"/>
        </w:rPr>
        <w:t>.</w:t>
      </w:r>
    </w:p>
    <w:p w:rsidR="008A3E2C" w:rsidRDefault="008A3E2C" w:rsidP="008A3E2C">
      <w:pPr>
        <w:rPr>
          <w:rFonts w:ascii="Arial" w:hAnsi="Arial"/>
          <w:sz w:val="24"/>
        </w:rPr>
      </w:pPr>
    </w:p>
    <w:p w:rsidR="008A3E2C" w:rsidRDefault="008A3E2C" w:rsidP="008A3E2C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Reid M, Lomas-Francis C, </w:t>
      </w:r>
      <w:r w:rsidRPr="00910AF8">
        <w:rPr>
          <w:rFonts w:ascii="Arial" w:hAnsi="Arial"/>
          <w:i/>
          <w:sz w:val="24"/>
        </w:rPr>
        <w:t>The Blood Group Antigen Facts Book</w:t>
      </w:r>
      <w:r>
        <w:rPr>
          <w:rFonts w:ascii="Arial" w:hAnsi="Arial"/>
          <w:sz w:val="24"/>
        </w:rPr>
        <w:t xml:space="preserve"> 2</w:t>
      </w:r>
      <w:r w:rsidR="00910AF8" w:rsidRPr="00910AF8">
        <w:rPr>
          <w:rFonts w:ascii="Arial" w:hAnsi="Arial"/>
          <w:sz w:val="24"/>
          <w:vertAlign w:val="superscript"/>
        </w:rPr>
        <w:t>e</w:t>
      </w:r>
      <w:r w:rsidR="00910AF8">
        <w:rPr>
          <w:rFonts w:ascii="Arial" w:hAnsi="Arial"/>
          <w:sz w:val="24"/>
        </w:rPr>
        <w:t xml:space="preserve"> édition</w:t>
      </w:r>
      <w:r>
        <w:rPr>
          <w:rFonts w:ascii="Arial" w:hAnsi="Arial"/>
          <w:sz w:val="24"/>
        </w:rPr>
        <w:t>, Academic Press</w:t>
      </w:r>
      <w:r w:rsidR="00910AF8">
        <w:rPr>
          <w:rFonts w:ascii="Arial" w:hAnsi="Arial"/>
          <w:sz w:val="24"/>
        </w:rPr>
        <w:t xml:space="preserve"> (</w:t>
      </w:r>
      <w:r>
        <w:rPr>
          <w:rFonts w:ascii="Arial" w:hAnsi="Arial"/>
          <w:sz w:val="24"/>
        </w:rPr>
        <w:t>2004</w:t>
      </w:r>
      <w:r w:rsidR="00910AF8">
        <w:rPr>
          <w:rFonts w:ascii="Arial" w:hAnsi="Arial"/>
          <w:sz w:val="24"/>
        </w:rPr>
        <w:t>)</w:t>
      </w:r>
      <w:r>
        <w:rPr>
          <w:rFonts w:ascii="Arial" w:hAnsi="Arial"/>
          <w:sz w:val="24"/>
        </w:rPr>
        <w:t>.</w:t>
      </w:r>
    </w:p>
    <w:p w:rsidR="008A3E2C" w:rsidRDefault="008A3E2C" w:rsidP="008A3E2C">
      <w:pPr>
        <w:rPr>
          <w:rFonts w:ascii="Arial" w:hAnsi="Arial"/>
          <w:sz w:val="24"/>
        </w:rPr>
      </w:pPr>
    </w:p>
    <w:p w:rsidR="008A3E2C" w:rsidRDefault="008A3E2C" w:rsidP="008A3E2C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CSTM Bulletin Vol.4, Sept</w:t>
      </w:r>
      <w:r w:rsidR="00910AF8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1992.</w:t>
      </w:r>
    </w:p>
    <w:p w:rsidR="008A3E2C" w:rsidRDefault="008A3E2C" w:rsidP="008A3E2C">
      <w:pPr>
        <w:rPr>
          <w:rFonts w:ascii="Arial" w:hAnsi="Arial"/>
          <w:sz w:val="24"/>
        </w:rPr>
      </w:pPr>
    </w:p>
    <w:p w:rsidR="008A3E2C" w:rsidRDefault="008A3E2C" w:rsidP="008A3E2C">
      <w:pPr>
        <w:numPr>
          <w:ilvl w:val="0"/>
          <w:numId w:val="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Roback JD, </w:t>
      </w:r>
      <w:r w:rsidR="00910AF8">
        <w:rPr>
          <w:rFonts w:ascii="Arial" w:hAnsi="Arial"/>
          <w:sz w:val="24"/>
        </w:rPr>
        <w:t>é</w:t>
      </w:r>
      <w:r>
        <w:rPr>
          <w:rFonts w:ascii="Arial" w:hAnsi="Arial"/>
          <w:sz w:val="24"/>
        </w:rPr>
        <w:t>d. AABB, 17</w:t>
      </w:r>
      <w:r w:rsidR="00910AF8">
        <w:rPr>
          <w:rFonts w:ascii="Arial" w:hAnsi="Arial"/>
          <w:sz w:val="24"/>
          <w:vertAlign w:val="superscript"/>
        </w:rPr>
        <w:t>e</w:t>
      </w:r>
      <w:r>
        <w:rPr>
          <w:rFonts w:ascii="Arial" w:hAnsi="Arial"/>
          <w:sz w:val="24"/>
        </w:rPr>
        <w:t xml:space="preserve"> </w:t>
      </w:r>
      <w:r w:rsidR="00910AF8">
        <w:rPr>
          <w:rFonts w:ascii="Arial" w:hAnsi="Arial"/>
          <w:sz w:val="24"/>
        </w:rPr>
        <w:t>é</w:t>
      </w:r>
      <w:r>
        <w:rPr>
          <w:rFonts w:ascii="Arial" w:hAnsi="Arial"/>
          <w:sz w:val="24"/>
        </w:rPr>
        <w:t xml:space="preserve">d. Bethesda, MD:  American Association of Blood Banks </w:t>
      </w:r>
      <w:r w:rsidR="00910AF8"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2011</w:t>
      </w:r>
      <w:r w:rsidR="00910AF8">
        <w:rPr>
          <w:rFonts w:ascii="Arial" w:hAnsi="Arial"/>
          <w:sz w:val="24"/>
        </w:rPr>
        <w:t>)</w:t>
      </w:r>
      <w:r>
        <w:rPr>
          <w:rFonts w:ascii="Arial" w:hAnsi="Arial"/>
          <w:sz w:val="24"/>
        </w:rPr>
        <w:t>: 519-522.</w:t>
      </w:r>
    </w:p>
    <w:p w:rsidR="008A3E2C" w:rsidRDefault="008A3E2C" w:rsidP="008A3E2C">
      <w:pPr>
        <w:rPr>
          <w:rFonts w:ascii="Arial" w:hAnsi="Arial"/>
          <w:sz w:val="24"/>
        </w:rPr>
      </w:pPr>
    </w:p>
    <w:p w:rsidR="008A3E2C" w:rsidRPr="00E17FB7" w:rsidRDefault="008A3E2C" w:rsidP="00B11ECD">
      <w:pPr>
        <w:rPr>
          <w:lang w:val="en-CA"/>
        </w:rPr>
      </w:pPr>
    </w:p>
    <w:sectPr w:rsidR="008A3E2C" w:rsidRPr="00E17FB7" w:rsidSect="00FE36EC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166" w:right="1800" w:bottom="245" w:left="180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F13" w:rsidRDefault="00443F13">
      <w:r>
        <w:separator/>
      </w:r>
    </w:p>
  </w:endnote>
  <w:endnote w:type="continuationSeparator" w:id="0">
    <w:p w:rsidR="00443F13" w:rsidRDefault="0044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5327DE">
      <w:trPr>
        <w:trHeight w:val="720"/>
      </w:trPr>
      <w:tc>
        <w:tcPr>
          <w:tcW w:w="1368" w:type="dxa"/>
        </w:tcPr>
        <w:p w:rsidR="005327DE" w:rsidRDefault="005327DE">
          <w:pPr>
            <w:pStyle w:val="Footer"/>
            <w:jc w:val="center"/>
            <w:rPr>
              <w:rFonts w:ascii="Verdana" w:hAnsi="Verdana"/>
              <w:sz w:val="8"/>
            </w:rPr>
          </w:pPr>
        </w:p>
        <w:p w:rsidR="005327DE" w:rsidRDefault="00A05E07">
          <w:pPr>
            <w:pStyle w:val="Footer"/>
            <w:jc w:val="center"/>
            <w:rPr>
              <w:rFonts w:ascii="Verdana" w:hAnsi="Verdana"/>
              <w:sz w:val="8"/>
            </w:rPr>
          </w:pPr>
          <w:r w:rsidRPr="003A3736">
            <w:rPr>
              <w:rFonts w:ascii="Verdana" w:hAnsi="Verdana"/>
              <w:noProof/>
              <w:sz w:val="8"/>
            </w:rPr>
            <w:drawing>
              <wp:inline distT="0" distB="0" distL="0" distR="0">
                <wp:extent cx="704850" cy="552450"/>
                <wp:effectExtent l="0" t="0" r="0" b="0"/>
                <wp:docPr id="1" name="Picture 1" descr="RRO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RO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:rsidR="005327DE" w:rsidRDefault="005327DE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624068" w:rsidRDefault="00624068" w:rsidP="00624068">
          <w:pPr>
            <w:pStyle w:val="Footer"/>
            <w:jc w:val="center"/>
            <w:rPr>
              <w:rFonts w:ascii="Arial" w:hAnsi="Arial"/>
              <w:sz w:val="18"/>
              <w:lang w:val="fr-CA"/>
            </w:rPr>
          </w:pPr>
          <w:r w:rsidRPr="00D52543">
            <w:rPr>
              <w:rFonts w:ascii="Arial" w:hAnsi="Arial"/>
              <w:sz w:val="18"/>
              <w:lang w:val="fr-CA"/>
            </w:rPr>
            <w:t>Réseau r</w:t>
          </w:r>
          <w:r>
            <w:rPr>
              <w:rFonts w:ascii="Arial" w:hAnsi="Arial"/>
              <w:sz w:val="18"/>
              <w:lang w:val="fr-CA"/>
            </w:rPr>
            <w:t>é</w:t>
          </w:r>
          <w:r w:rsidRPr="00D52543">
            <w:rPr>
              <w:rFonts w:ascii="Arial" w:hAnsi="Arial"/>
              <w:sz w:val="18"/>
              <w:lang w:val="fr-CA"/>
            </w:rPr>
            <w:t xml:space="preserve">gional ontarien de coordination du sang </w:t>
          </w:r>
        </w:p>
        <w:p w:rsidR="005327DE" w:rsidRPr="00E17FB7" w:rsidRDefault="00624068" w:rsidP="00624068">
          <w:pPr>
            <w:pStyle w:val="Footer"/>
            <w:jc w:val="center"/>
            <w:rPr>
              <w:rFonts w:ascii="Arial" w:hAnsi="Arial"/>
              <w:sz w:val="18"/>
              <w:lang w:val="fr-CA"/>
            </w:rPr>
          </w:pPr>
          <w:r>
            <w:rPr>
              <w:rFonts w:ascii="Arial" w:hAnsi="Arial"/>
              <w:sz w:val="18"/>
              <w:lang w:val="fr-CA"/>
            </w:rPr>
            <w:t>Manuel de ressources techniques en transfusion de l’Ontario</w:t>
          </w:r>
          <w:r w:rsidRPr="00E17FB7">
            <w:rPr>
              <w:rFonts w:ascii="Arial" w:hAnsi="Arial"/>
              <w:sz w:val="18"/>
              <w:lang w:val="fr-CA"/>
            </w:rPr>
            <w:t xml:space="preserve"> </w:t>
          </w:r>
        </w:p>
      </w:tc>
      <w:tc>
        <w:tcPr>
          <w:tcW w:w="1494" w:type="dxa"/>
        </w:tcPr>
        <w:p w:rsidR="005327DE" w:rsidRPr="00E17FB7" w:rsidRDefault="005327DE">
          <w:pPr>
            <w:pStyle w:val="Footer"/>
            <w:jc w:val="right"/>
            <w:rPr>
              <w:rFonts w:ascii="Arial" w:hAnsi="Arial"/>
              <w:sz w:val="18"/>
              <w:lang w:val="fr-CA"/>
            </w:rPr>
          </w:pPr>
        </w:p>
        <w:p w:rsidR="005327DE" w:rsidRDefault="00624068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EC.010</w:t>
          </w:r>
        </w:p>
        <w:p w:rsidR="005327DE" w:rsidRDefault="005327DE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F42741">
            <w:rPr>
              <w:rFonts w:ascii="Arial" w:hAnsi="Arial"/>
              <w:noProof/>
              <w:snapToGrid w:val="0"/>
              <w:sz w:val="18"/>
            </w:rPr>
            <w:t>9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de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F42741">
            <w:rPr>
              <w:rFonts w:ascii="Arial" w:hAnsi="Arial"/>
              <w:noProof/>
              <w:snapToGrid w:val="0"/>
              <w:sz w:val="18"/>
            </w:rPr>
            <w:t>9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5327DE" w:rsidRDefault="005327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5327DE">
      <w:trPr>
        <w:trHeight w:val="720"/>
      </w:trPr>
      <w:tc>
        <w:tcPr>
          <w:tcW w:w="1368" w:type="dxa"/>
        </w:tcPr>
        <w:p w:rsidR="005327DE" w:rsidRDefault="005327DE">
          <w:pPr>
            <w:pStyle w:val="Footer"/>
            <w:jc w:val="center"/>
            <w:rPr>
              <w:rFonts w:ascii="Verdana" w:hAnsi="Verdana"/>
              <w:sz w:val="8"/>
            </w:rPr>
          </w:pPr>
        </w:p>
        <w:p w:rsidR="005327DE" w:rsidRDefault="00A05E07">
          <w:pPr>
            <w:pStyle w:val="Footer"/>
            <w:jc w:val="center"/>
            <w:rPr>
              <w:rFonts w:ascii="Verdana" w:hAnsi="Verdana"/>
              <w:sz w:val="8"/>
            </w:rPr>
          </w:pPr>
          <w:r w:rsidRPr="003A3736">
            <w:rPr>
              <w:rFonts w:ascii="Verdana" w:hAnsi="Verdana"/>
              <w:noProof/>
              <w:sz w:val="8"/>
            </w:rPr>
            <w:drawing>
              <wp:inline distT="0" distB="0" distL="0" distR="0">
                <wp:extent cx="704850" cy="552450"/>
                <wp:effectExtent l="0" t="0" r="0" b="0"/>
                <wp:docPr id="3" name="Picture 3" descr="RRO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RO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:rsidR="005327DE" w:rsidRDefault="005327DE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0F5794" w:rsidRPr="00D52543" w:rsidRDefault="0043720F" w:rsidP="00624068">
          <w:pPr>
            <w:pStyle w:val="Footer"/>
            <w:jc w:val="center"/>
            <w:rPr>
              <w:rFonts w:ascii="Arial" w:hAnsi="Arial"/>
              <w:sz w:val="18"/>
              <w:lang w:val="fr-CA"/>
            </w:rPr>
          </w:pPr>
          <w:r>
            <w:rPr>
              <w:rFonts w:ascii="Arial" w:hAnsi="Arial"/>
              <w:sz w:val="18"/>
              <w:lang w:val="fr-CA"/>
            </w:rPr>
            <w:t xml:space="preserve"> </w:t>
          </w:r>
        </w:p>
        <w:p w:rsidR="005327DE" w:rsidRDefault="005327DE">
          <w:pPr>
            <w:pStyle w:val="Footer"/>
            <w:jc w:val="center"/>
            <w:rPr>
              <w:rFonts w:ascii="Arial" w:hAnsi="Arial"/>
              <w:sz w:val="18"/>
            </w:rPr>
          </w:pPr>
        </w:p>
      </w:tc>
      <w:tc>
        <w:tcPr>
          <w:tcW w:w="1494" w:type="dxa"/>
        </w:tcPr>
        <w:p w:rsidR="005327DE" w:rsidRDefault="005327DE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5327DE" w:rsidRDefault="00624068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EC.010</w:t>
          </w:r>
        </w:p>
        <w:p w:rsidR="005327DE" w:rsidRDefault="0043720F" w:rsidP="00544069">
          <w:pPr>
            <w:pStyle w:val="Footer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  </w:t>
          </w:r>
          <w:r w:rsidR="00544069">
            <w:rPr>
              <w:rFonts w:ascii="Arial" w:hAnsi="Arial"/>
              <w:snapToGrid w:val="0"/>
              <w:sz w:val="18"/>
            </w:rPr>
            <w:t xml:space="preserve">    </w:t>
          </w:r>
          <w:r w:rsidR="005327DE">
            <w:rPr>
              <w:rFonts w:ascii="Arial" w:hAnsi="Arial"/>
              <w:snapToGrid w:val="0"/>
              <w:sz w:val="18"/>
            </w:rPr>
            <w:t xml:space="preserve">Page </w:t>
          </w:r>
          <w:r w:rsidR="005327DE">
            <w:rPr>
              <w:rFonts w:ascii="Arial" w:hAnsi="Arial"/>
              <w:snapToGrid w:val="0"/>
              <w:sz w:val="18"/>
            </w:rPr>
            <w:fldChar w:fldCharType="begin"/>
          </w:r>
          <w:r w:rsidR="005327DE">
            <w:rPr>
              <w:rFonts w:ascii="Arial" w:hAnsi="Arial"/>
              <w:snapToGrid w:val="0"/>
              <w:sz w:val="18"/>
            </w:rPr>
            <w:instrText xml:space="preserve"> PAGE </w:instrText>
          </w:r>
          <w:r w:rsidR="005327DE">
            <w:rPr>
              <w:rFonts w:ascii="Arial" w:hAnsi="Arial"/>
              <w:snapToGrid w:val="0"/>
              <w:sz w:val="18"/>
            </w:rPr>
            <w:fldChar w:fldCharType="separate"/>
          </w:r>
          <w:r w:rsidR="00F42741">
            <w:rPr>
              <w:rFonts w:ascii="Arial" w:hAnsi="Arial"/>
              <w:noProof/>
              <w:snapToGrid w:val="0"/>
              <w:sz w:val="18"/>
            </w:rPr>
            <w:t>1</w:t>
          </w:r>
          <w:r w:rsidR="005327DE">
            <w:rPr>
              <w:rFonts w:ascii="Arial" w:hAnsi="Arial"/>
              <w:snapToGrid w:val="0"/>
              <w:sz w:val="18"/>
            </w:rPr>
            <w:fldChar w:fldCharType="end"/>
          </w:r>
          <w:r w:rsidR="005327DE">
            <w:rPr>
              <w:rFonts w:ascii="Arial" w:hAnsi="Arial"/>
              <w:snapToGrid w:val="0"/>
              <w:sz w:val="18"/>
            </w:rPr>
            <w:t xml:space="preserve"> de </w:t>
          </w:r>
          <w:r w:rsidR="005327DE">
            <w:rPr>
              <w:rFonts w:ascii="Arial" w:hAnsi="Arial"/>
              <w:snapToGrid w:val="0"/>
              <w:sz w:val="18"/>
            </w:rPr>
            <w:fldChar w:fldCharType="begin"/>
          </w:r>
          <w:r w:rsidR="005327DE">
            <w:rPr>
              <w:rFonts w:ascii="Arial" w:hAnsi="Arial"/>
              <w:snapToGrid w:val="0"/>
              <w:sz w:val="18"/>
            </w:rPr>
            <w:instrText xml:space="preserve"> NUMPAGES </w:instrText>
          </w:r>
          <w:r w:rsidR="005327DE">
            <w:rPr>
              <w:rFonts w:ascii="Arial" w:hAnsi="Arial"/>
              <w:snapToGrid w:val="0"/>
              <w:sz w:val="18"/>
            </w:rPr>
            <w:fldChar w:fldCharType="separate"/>
          </w:r>
          <w:r w:rsidR="00F42741">
            <w:rPr>
              <w:rFonts w:ascii="Arial" w:hAnsi="Arial"/>
              <w:noProof/>
              <w:snapToGrid w:val="0"/>
              <w:sz w:val="18"/>
            </w:rPr>
            <w:t>1</w:t>
          </w:r>
          <w:r w:rsidR="005327DE"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5327DE" w:rsidRDefault="00532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F13" w:rsidRDefault="00443F13">
      <w:r>
        <w:separator/>
      </w:r>
    </w:p>
  </w:footnote>
  <w:footnote w:type="continuationSeparator" w:id="0">
    <w:p w:rsidR="00443F13" w:rsidRDefault="0044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7DE" w:rsidRPr="005C5F98" w:rsidRDefault="005327DE">
    <w:pPr>
      <w:pStyle w:val="Header"/>
      <w:jc w:val="center"/>
      <w:rPr>
        <w:rFonts w:ascii="Arial" w:hAnsi="Arial"/>
        <w:b/>
        <w:sz w:val="28"/>
        <w:lang w:val="fr-CA"/>
      </w:rPr>
    </w:pPr>
    <w:r w:rsidRPr="005C5F98">
      <w:rPr>
        <w:rFonts w:ascii="Arial" w:hAnsi="Arial"/>
        <w:b/>
        <w:sz w:val="28"/>
        <w:lang w:val="fr-CA"/>
      </w:rPr>
      <w:t>Élution avec une solution acide</w:t>
    </w:r>
  </w:p>
  <w:p w:rsidR="005327DE" w:rsidRPr="00F54271" w:rsidRDefault="005327DE">
    <w:pPr>
      <w:pStyle w:val="Header"/>
      <w:jc w:val="center"/>
      <w:rPr>
        <w:rFonts w:ascii="Arial" w:hAnsi="Arial"/>
        <w:b/>
        <w:sz w:val="28"/>
        <w:highlight w:val="yell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068" w:rsidRDefault="00A05E07" w:rsidP="00624068">
    <w:pPr>
      <w:pStyle w:val="Header"/>
      <w:rPr>
        <w:rFonts w:ascii="Verdana" w:hAnsi="Verdana"/>
        <w:sz w:val="8"/>
      </w:rPr>
    </w:pPr>
    <w:r>
      <w:rPr>
        <w:rFonts w:ascii="Verdana" w:hAnsi="Verdana"/>
        <w:noProof/>
        <w:sz w:val="8"/>
      </w:rPr>
      <w:drawing>
        <wp:inline distT="0" distB="0" distL="0" distR="0">
          <wp:extent cx="1162050" cy="390525"/>
          <wp:effectExtent l="0" t="0" r="0" b="0"/>
          <wp:docPr id="2" name="Picture 2" descr="ORBCoN 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BCoN 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7FB7" w:rsidRDefault="00E17FB7" w:rsidP="00624068">
    <w:pPr>
      <w:pStyle w:val="Header"/>
      <w:rPr>
        <w:rFonts w:ascii="Verdana" w:hAnsi="Verdana"/>
        <w:sz w:val="8"/>
      </w:rPr>
    </w:pPr>
  </w:p>
  <w:p w:rsidR="00624068" w:rsidRPr="00E17FB7" w:rsidRDefault="00624068" w:rsidP="00624068">
    <w:pPr>
      <w:pStyle w:val="Header"/>
      <w:jc w:val="center"/>
      <w:rPr>
        <w:rFonts w:ascii="Arial" w:hAnsi="Arial" w:cs="Arial"/>
        <w:b/>
        <w:bCs/>
        <w:sz w:val="24"/>
        <w:szCs w:val="28"/>
        <w:lang w:val="fr-CA"/>
      </w:rPr>
    </w:pPr>
    <w:r w:rsidRPr="00E17FB7">
      <w:rPr>
        <w:rFonts w:ascii="Arial" w:hAnsi="Arial" w:cs="Arial"/>
        <w:b/>
        <w:bCs/>
        <w:sz w:val="24"/>
        <w:szCs w:val="28"/>
        <w:lang w:val="fr-CA"/>
      </w:rPr>
      <w:t>Réseau régional ontarien de coordination du sang</w:t>
    </w:r>
  </w:p>
  <w:p w:rsidR="00624068" w:rsidRPr="00E17FB7" w:rsidRDefault="00624068" w:rsidP="00624068">
    <w:pPr>
      <w:pStyle w:val="Header"/>
      <w:jc w:val="center"/>
      <w:rPr>
        <w:rFonts w:ascii="Arial" w:hAnsi="Arial" w:cs="Arial"/>
        <w:b/>
        <w:bCs/>
        <w:sz w:val="24"/>
        <w:szCs w:val="28"/>
        <w:lang w:val="fr-CA"/>
      </w:rPr>
    </w:pPr>
    <w:r w:rsidRPr="00E17FB7">
      <w:rPr>
        <w:rFonts w:ascii="Arial" w:hAnsi="Arial" w:cs="Arial"/>
        <w:b/>
        <w:bCs/>
        <w:sz w:val="24"/>
        <w:szCs w:val="28"/>
        <w:lang w:val="fr-CA"/>
      </w:rPr>
      <w:t>Manuel de ressources techniques en transfusion de l’Ontario</w:t>
    </w:r>
  </w:p>
  <w:p w:rsidR="00624068" w:rsidRPr="00E17FB7" w:rsidRDefault="00624068" w:rsidP="00624068">
    <w:pPr>
      <w:pStyle w:val="Header"/>
      <w:jc w:val="center"/>
      <w:rPr>
        <w:rFonts w:ascii="Arial" w:hAnsi="Arial"/>
        <w:b/>
        <w:sz w:val="24"/>
        <w:lang w:val="fr-CA"/>
      </w:rPr>
    </w:pPr>
  </w:p>
  <w:p w:rsidR="005327DE" w:rsidRPr="00005205" w:rsidRDefault="005327DE">
    <w:pPr>
      <w:pStyle w:val="Header"/>
      <w:tabs>
        <w:tab w:val="left" w:pos="6617"/>
      </w:tabs>
      <w:jc w:val="center"/>
      <w:rPr>
        <w:rFonts w:ascii="Arial" w:hAnsi="Arial"/>
        <w:b/>
        <w:sz w:val="28"/>
        <w:lang w:val="fr-CA"/>
      </w:rPr>
    </w:pPr>
    <w:r w:rsidRPr="00005205">
      <w:rPr>
        <w:rFonts w:ascii="Arial" w:hAnsi="Arial"/>
        <w:b/>
        <w:sz w:val="28"/>
        <w:lang w:val="fr-CA"/>
      </w:rPr>
      <w:t>Élution avec une solution acide</w:t>
    </w:r>
  </w:p>
  <w:p w:rsidR="005327DE" w:rsidRPr="00005205" w:rsidRDefault="005327DE">
    <w:pPr>
      <w:pStyle w:val="Header"/>
      <w:tabs>
        <w:tab w:val="left" w:pos="6617"/>
      </w:tabs>
      <w:jc w:val="center"/>
      <w:rPr>
        <w:rFonts w:ascii="Arial" w:hAnsi="Arial"/>
        <w:b/>
        <w:sz w:val="28"/>
        <w:lang w:val="fr-CA"/>
      </w:rPr>
    </w:pPr>
  </w:p>
  <w:p w:rsidR="005327DE" w:rsidRPr="00005205" w:rsidRDefault="005327DE">
    <w:pPr>
      <w:pStyle w:val="Header"/>
      <w:tabs>
        <w:tab w:val="left" w:pos="6617"/>
      </w:tabs>
      <w:jc w:val="center"/>
      <w:rPr>
        <w:rFonts w:ascii="Arial" w:hAnsi="Arial" w:cs="Arial"/>
        <w:b/>
        <w:bCs/>
        <w:lang w:val="fr-CA"/>
      </w:rPr>
    </w:pPr>
    <w:r w:rsidRPr="00005205">
      <w:rPr>
        <w:rFonts w:ascii="Arial" w:hAnsi="Arial" w:cs="Arial"/>
        <w:b/>
        <w:bCs/>
        <w:lang w:val="fr-CA"/>
      </w:rPr>
      <w:tab/>
    </w:r>
    <w:r w:rsidR="00A05E07" w:rsidRPr="00005205">
      <w:rPr>
        <w:rFonts w:ascii="Arial" w:hAnsi="Arial" w:cs="Arial"/>
        <w:noProof/>
        <w:lang w:val="fr-C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20955</wp:posOffset>
              </wp:positionV>
              <wp:extent cx="560070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E023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.65pt" to="436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l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CJ3pjSsgoFJbG2qjJ/VqnjX97pDSVUvUnkeGb2cDaVnISN6lhI0zgL/rv2gGMeTgdWzT&#10;qbFdgIQGoFNU43xTg588onA4naXpY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"/>
          </w:pict>
        </mc:Fallback>
      </mc:AlternateContent>
    </w:r>
  </w:p>
  <w:tbl>
    <w:tblPr>
      <w:tblW w:w="0" w:type="auto"/>
      <w:tblLook w:val="0000" w:firstRow="0" w:lastRow="0" w:firstColumn="0" w:lastColumn="0" w:noHBand="0" w:noVBand="0"/>
    </w:tblPr>
    <w:tblGrid>
      <w:gridCol w:w="4314"/>
      <w:gridCol w:w="4326"/>
    </w:tblGrid>
    <w:tr w:rsidR="000F5794" w:rsidRPr="00005205">
      <w:tc>
        <w:tcPr>
          <w:tcW w:w="4428" w:type="dxa"/>
        </w:tcPr>
        <w:p w:rsidR="000F5794" w:rsidRPr="00A8556C" w:rsidRDefault="00A515AC" w:rsidP="00FC40A4">
          <w:pPr>
            <w:pStyle w:val="Header"/>
            <w:rPr>
              <w:rFonts w:ascii="Arial" w:hAnsi="Arial" w:cs="Arial"/>
              <w:lang w:val="fr-CA"/>
            </w:rPr>
          </w:pPr>
          <w:r>
            <w:rPr>
              <w:rFonts w:ascii="Arial" w:hAnsi="Arial" w:cs="Arial"/>
              <w:lang w:val="fr-CA"/>
            </w:rPr>
            <w:t>Approbation </w:t>
          </w:r>
          <w:r w:rsidR="000F5794" w:rsidRPr="00FC42A4">
            <w:rPr>
              <w:rFonts w:ascii="Arial" w:hAnsi="Arial" w:cs="Arial"/>
              <w:lang w:val="fr-CA"/>
            </w:rPr>
            <w:t xml:space="preserve">: </w:t>
          </w:r>
        </w:p>
      </w:tc>
      <w:tc>
        <w:tcPr>
          <w:tcW w:w="4428" w:type="dxa"/>
        </w:tcPr>
        <w:p w:rsidR="000F5794" w:rsidRPr="00005205" w:rsidRDefault="000F5794">
          <w:pPr>
            <w:pStyle w:val="Header"/>
            <w:rPr>
              <w:rFonts w:ascii="Arial" w:hAnsi="Arial" w:cs="Arial"/>
              <w:lang w:val="fr-CA"/>
            </w:rPr>
          </w:pPr>
          <w:r w:rsidRPr="00005205">
            <w:rPr>
              <w:rFonts w:ascii="Arial" w:hAnsi="Arial" w:cs="Arial"/>
              <w:lang w:val="fr-CA"/>
            </w:rPr>
            <w:t>Document n</w:t>
          </w:r>
          <w:r w:rsidRPr="00005205">
            <w:rPr>
              <w:rFonts w:ascii="Arial" w:hAnsi="Arial" w:cs="Arial"/>
              <w:vertAlign w:val="superscript"/>
              <w:lang w:val="fr-CA"/>
            </w:rPr>
            <w:t>o</w:t>
          </w:r>
          <w:r w:rsidRPr="00005205">
            <w:rPr>
              <w:rFonts w:ascii="Arial" w:hAnsi="Arial" w:cs="Arial"/>
              <w:lang w:val="fr-CA"/>
            </w:rPr>
            <w:t xml:space="preserve"> : EC.010</w:t>
          </w:r>
        </w:p>
      </w:tc>
    </w:tr>
    <w:tr w:rsidR="000F5794" w:rsidRPr="00005205">
      <w:tc>
        <w:tcPr>
          <w:tcW w:w="4428" w:type="dxa"/>
        </w:tcPr>
        <w:p w:rsidR="000F5794" w:rsidRPr="00005205" w:rsidRDefault="000F5794">
          <w:pPr>
            <w:pStyle w:val="Header"/>
            <w:rPr>
              <w:rFonts w:ascii="Arial" w:hAnsi="Arial" w:cs="Arial"/>
              <w:lang w:val="fr-CA"/>
            </w:rPr>
          </w:pPr>
          <w:r w:rsidRPr="00005205">
            <w:rPr>
              <w:rFonts w:ascii="Arial" w:hAnsi="Arial" w:cs="Arial"/>
              <w:lang w:val="fr-CA"/>
            </w:rPr>
            <w:t xml:space="preserve">Date de </w:t>
          </w:r>
          <w:r w:rsidR="00A515AC">
            <w:rPr>
              <w:rFonts w:ascii="Arial" w:hAnsi="Arial" w:cs="Arial"/>
              <w:lang w:val="fr-CA"/>
            </w:rPr>
            <w:t>publication </w:t>
          </w:r>
          <w:r w:rsidRPr="00005205">
            <w:rPr>
              <w:rFonts w:ascii="Arial" w:hAnsi="Arial" w:cs="Arial"/>
              <w:lang w:val="fr-CA"/>
            </w:rPr>
            <w:t>: 2006/08/01</w:t>
          </w:r>
        </w:p>
      </w:tc>
      <w:tc>
        <w:tcPr>
          <w:tcW w:w="4428" w:type="dxa"/>
        </w:tcPr>
        <w:p w:rsidR="000F5794" w:rsidRPr="00005205" w:rsidRDefault="00A515AC">
          <w:pPr>
            <w:pStyle w:val="Header"/>
            <w:rPr>
              <w:rFonts w:ascii="Arial" w:hAnsi="Arial" w:cs="Arial"/>
              <w:lang w:val="fr-CA"/>
            </w:rPr>
          </w:pPr>
          <w:r>
            <w:rPr>
              <w:rFonts w:ascii="Arial" w:hAnsi="Arial" w:cs="Arial"/>
              <w:lang w:val="fr-CA"/>
            </w:rPr>
            <w:t>Catégorie </w:t>
          </w:r>
          <w:r w:rsidR="000F5794" w:rsidRPr="00005205">
            <w:rPr>
              <w:rFonts w:ascii="Arial" w:hAnsi="Arial" w:cs="Arial"/>
              <w:lang w:val="fr-CA"/>
            </w:rPr>
            <w:t>: Épreuves complémentaires</w:t>
          </w:r>
        </w:p>
      </w:tc>
    </w:tr>
    <w:tr w:rsidR="000F5794" w:rsidRPr="00005205">
      <w:tc>
        <w:tcPr>
          <w:tcW w:w="4428" w:type="dxa"/>
        </w:tcPr>
        <w:p w:rsidR="000F5794" w:rsidRPr="00A8556C" w:rsidRDefault="000F5794" w:rsidP="00FC40A4">
          <w:pPr>
            <w:pStyle w:val="Header"/>
            <w:rPr>
              <w:rFonts w:ascii="Arial" w:hAnsi="Arial" w:cs="Arial"/>
              <w:lang w:val="fr-CA"/>
            </w:rPr>
          </w:pPr>
          <w:r w:rsidRPr="0082137B">
            <w:rPr>
              <w:rFonts w:ascii="Arial" w:hAnsi="Arial" w:cs="Arial"/>
              <w:color w:val="000000"/>
              <w:lang w:val="fr-CA"/>
            </w:rPr>
            <w:t xml:space="preserve">Date de </w:t>
          </w:r>
          <w:r w:rsidR="00A515AC">
            <w:rPr>
              <w:rFonts w:ascii="Arial" w:hAnsi="Arial" w:cs="Arial"/>
              <w:color w:val="000000"/>
              <w:lang w:val="fr-CA"/>
            </w:rPr>
            <w:t>révision </w:t>
          </w:r>
          <w:r w:rsidRPr="0082137B">
            <w:rPr>
              <w:rFonts w:ascii="Arial" w:hAnsi="Arial" w:cs="Arial"/>
              <w:color w:val="000000"/>
              <w:lang w:val="fr-CA"/>
            </w:rPr>
            <w:t>:</w:t>
          </w:r>
          <w:r>
            <w:rPr>
              <w:rFonts w:ascii="Arial" w:hAnsi="Arial" w:cs="Arial"/>
              <w:color w:val="000000"/>
              <w:lang w:val="fr-CA"/>
            </w:rPr>
            <w:t xml:space="preserve"> </w:t>
          </w:r>
          <w:r>
            <w:rPr>
              <w:rFonts w:ascii="Arial" w:hAnsi="Arial" w:cs="Arial"/>
              <w:lang w:val="fr-CA"/>
            </w:rPr>
            <w:t>2009/12/31</w:t>
          </w:r>
          <w:r w:rsidR="00624068">
            <w:rPr>
              <w:rFonts w:ascii="Arial" w:hAnsi="Arial" w:cs="Arial"/>
              <w:lang w:val="fr-CA"/>
            </w:rPr>
            <w:t>; 2014/03/01</w:t>
          </w:r>
        </w:p>
      </w:tc>
      <w:tc>
        <w:tcPr>
          <w:tcW w:w="4428" w:type="dxa"/>
        </w:tcPr>
        <w:p w:rsidR="000F5794" w:rsidRPr="00005205" w:rsidRDefault="00A515AC">
          <w:pPr>
            <w:pStyle w:val="Header"/>
            <w:rPr>
              <w:rFonts w:ascii="Arial" w:hAnsi="Arial" w:cs="Arial"/>
              <w:lang w:val="fr-CA"/>
            </w:rPr>
          </w:pPr>
          <w:r>
            <w:rPr>
              <w:rFonts w:ascii="Arial" w:hAnsi="Arial" w:cs="Arial"/>
              <w:lang w:val="fr-CA"/>
            </w:rPr>
            <w:t>Pages </w:t>
          </w:r>
          <w:r w:rsidR="000F5794" w:rsidRPr="00005205">
            <w:rPr>
              <w:rFonts w:ascii="Arial" w:hAnsi="Arial" w:cs="Arial"/>
              <w:lang w:val="fr-CA"/>
            </w:rPr>
            <w:t xml:space="preserve">: </w:t>
          </w:r>
          <w:r w:rsidR="000F5794" w:rsidRPr="00005205">
            <w:rPr>
              <w:rFonts w:ascii="Arial" w:hAnsi="Arial" w:cs="Arial"/>
              <w:lang w:val="fr-CA"/>
            </w:rPr>
            <w:fldChar w:fldCharType="begin"/>
          </w:r>
          <w:r w:rsidR="000F5794" w:rsidRPr="00005205">
            <w:rPr>
              <w:rFonts w:ascii="Arial" w:hAnsi="Arial" w:cs="Arial"/>
              <w:lang w:val="fr-CA"/>
            </w:rPr>
            <w:instrText xml:space="preserve"> NUMPAGES </w:instrText>
          </w:r>
          <w:r w:rsidR="000F5794" w:rsidRPr="00005205">
            <w:rPr>
              <w:rFonts w:ascii="Arial" w:hAnsi="Arial" w:cs="Arial"/>
              <w:lang w:val="fr-CA"/>
            </w:rPr>
            <w:fldChar w:fldCharType="separate"/>
          </w:r>
          <w:r w:rsidR="00F42741">
            <w:rPr>
              <w:rFonts w:ascii="Arial" w:hAnsi="Arial" w:cs="Arial"/>
              <w:noProof/>
              <w:lang w:val="fr-CA"/>
            </w:rPr>
            <w:t>1</w:t>
          </w:r>
          <w:r w:rsidR="000F5794" w:rsidRPr="00005205">
            <w:rPr>
              <w:rFonts w:ascii="Arial" w:hAnsi="Arial" w:cs="Arial"/>
              <w:lang w:val="fr-CA"/>
            </w:rPr>
            <w:fldChar w:fldCharType="end"/>
          </w:r>
        </w:p>
      </w:tc>
    </w:tr>
  </w:tbl>
  <w:p w:rsidR="005327DE" w:rsidRPr="00005205" w:rsidRDefault="00A05E07">
    <w:pPr>
      <w:pStyle w:val="Header"/>
      <w:rPr>
        <w:lang w:val="fr-CA"/>
      </w:rPr>
    </w:pPr>
    <w:r w:rsidRPr="00005205">
      <w:rPr>
        <w:rFonts w:ascii="Arial" w:hAnsi="Arial" w:cs="Arial"/>
        <w:noProof/>
        <w:lang w:val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122555</wp:posOffset>
              </wp:positionV>
              <wp:extent cx="560070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67E22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65pt" to="436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gD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idpelT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"/>
          </w:pict>
        </mc:Fallback>
      </mc:AlternateContent>
    </w:r>
    <w:r w:rsidR="005327DE" w:rsidRPr="00005205">
      <w:rPr>
        <w:rFonts w:ascii="Arial" w:hAnsi="Arial" w:cs="Arial"/>
        <w:lang w:val="fr-CA"/>
      </w:rPr>
      <w:tab/>
    </w:r>
  </w:p>
  <w:p w:rsidR="005327DE" w:rsidRPr="00005205" w:rsidRDefault="005327DE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1429F"/>
    <w:multiLevelType w:val="hybridMultilevel"/>
    <w:tmpl w:val="FA2CF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85190"/>
    <w:multiLevelType w:val="multilevel"/>
    <w:tmpl w:val="803610C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14D09CB"/>
    <w:multiLevelType w:val="multilevel"/>
    <w:tmpl w:val="C33EDC58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3" w15:restartNumberingAfterBreak="0">
    <w:nsid w:val="34514205"/>
    <w:multiLevelType w:val="singleLevel"/>
    <w:tmpl w:val="6B3A1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4" w15:restartNumberingAfterBreak="0">
    <w:nsid w:val="34567BF1"/>
    <w:multiLevelType w:val="multilevel"/>
    <w:tmpl w:val="1ABE313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5300BFB"/>
    <w:multiLevelType w:val="hybridMultilevel"/>
    <w:tmpl w:val="C7A81B1C"/>
    <w:lvl w:ilvl="0" w:tplc="F47CC610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AB195B"/>
    <w:multiLevelType w:val="hybridMultilevel"/>
    <w:tmpl w:val="F25417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84246"/>
    <w:multiLevelType w:val="singleLevel"/>
    <w:tmpl w:val="6B3A1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8" w15:restartNumberingAfterBreak="0">
    <w:nsid w:val="75E51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7F"/>
    <w:rsid w:val="00001DE0"/>
    <w:rsid w:val="00005205"/>
    <w:rsid w:val="00053850"/>
    <w:rsid w:val="00075AC6"/>
    <w:rsid w:val="000B001C"/>
    <w:rsid w:val="000D1B83"/>
    <w:rsid w:val="000F5794"/>
    <w:rsid w:val="00141B36"/>
    <w:rsid w:val="001771FB"/>
    <w:rsid w:val="00196B45"/>
    <w:rsid w:val="001E0D57"/>
    <w:rsid w:val="00242571"/>
    <w:rsid w:val="002817FD"/>
    <w:rsid w:val="002A7CFC"/>
    <w:rsid w:val="002B0182"/>
    <w:rsid w:val="002E69FA"/>
    <w:rsid w:val="00336BF7"/>
    <w:rsid w:val="003459B0"/>
    <w:rsid w:val="00354D1C"/>
    <w:rsid w:val="00360F85"/>
    <w:rsid w:val="0037353B"/>
    <w:rsid w:val="003B26D0"/>
    <w:rsid w:val="00435578"/>
    <w:rsid w:val="0043720F"/>
    <w:rsid w:val="00443F13"/>
    <w:rsid w:val="004D3227"/>
    <w:rsid w:val="004F4C14"/>
    <w:rsid w:val="005327DE"/>
    <w:rsid w:val="00544069"/>
    <w:rsid w:val="00556394"/>
    <w:rsid w:val="005607E7"/>
    <w:rsid w:val="00582D2E"/>
    <w:rsid w:val="005A6E29"/>
    <w:rsid w:val="005C5F98"/>
    <w:rsid w:val="006235D6"/>
    <w:rsid w:val="00624068"/>
    <w:rsid w:val="006857A3"/>
    <w:rsid w:val="006F47E3"/>
    <w:rsid w:val="007D0EF5"/>
    <w:rsid w:val="007F16F1"/>
    <w:rsid w:val="008047D2"/>
    <w:rsid w:val="0081521D"/>
    <w:rsid w:val="00821874"/>
    <w:rsid w:val="008813CF"/>
    <w:rsid w:val="008A3E2C"/>
    <w:rsid w:val="008D1202"/>
    <w:rsid w:val="008E10A1"/>
    <w:rsid w:val="00907075"/>
    <w:rsid w:val="00910AF8"/>
    <w:rsid w:val="00920994"/>
    <w:rsid w:val="009A3EE2"/>
    <w:rsid w:val="00A05E07"/>
    <w:rsid w:val="00A14361"/>
    <w:rsid w:val="00A515AC"/>
    <w:rsid w:val="00A711CC"/>
    <w:rsid w:val="00AB1349"/>
    <w:rsid w:val="00AB2A23"/>
    <w:rsid w:val="00AC41A4"/>
    <w:rsid w:val="00B11ECD"/>
    <w:rsid w:val="00B32B01"/>
    <w:rsid w:val="00B46C2C"/>
    <w:rsid w:val="00B93C2D"/>
    <w:rsid w:val="00C412C1"/>
    <w:rsid w:val="00C62C05"/>
    <w:rsid w:val="00D343FC"/>
    <w:rsid w:val="00D80ED7"/>
    <w:rsid w:val="00D8472A"/>
    <w:rsid w:val="00DD25DC"/>
    <w:rsid w:val="00E14387"/>
    <w:rsid w:val="00E17FB7"/>
    <w:rsid w:val="00E577D0"/>
    <w:rsid w:val="00E72512"/>
    <w:rsid w:val="00EF7736"/>
    <w:rsid w:val="00F2067F"/>
    <w:rsid w:val="00F30DE9"/>
    <w:rsid w:val="00F42741"/>
    <w:rsid w:val="00F52B1C"/>
    <w:rsid w:val="00F54271"/>
    <w:rsid w:val="00FC40A4"/>
    <w:rsid w:val="00FD1C7E"/>
    <w:rsid w:val="00FD5D2F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6AC4EE-8E27-48C3-A2E6-F44213E0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after="240"/>
      <w:outlineLvl w:val="0"/>
    </w:pPr>
    <w:rPr>
      <w:rFonts w:ascii="Verdana" w:hAnsi="Verdana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after="240"/>
      <w:outlineLvl w:val="1"/>
    </w:pPr>
    <w:rPr>
      <w:rFonts w:ascii="Verdana" w:hAnsi="Verdana"/>
      <w:snapToGrid w:val="0"/>
      <w:kern w:val="24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spacing w:after="240"/>
      <w:outlineLvl w:val="2"/>
    </w:pPr>
    <w:rPr>
      <w:rFonts w:ascii="Georgia" w:hAnsi="Georgia"/>
      <w:kern w:val="24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after="240"/>
      <w:outlineLvl w:val="3"/>
    </w:pPr>
    <w:rPr>
      <w:rFonts w:ascii="Georgia" w:hAnsi="Georgia"/>
      <w:snapToGrid w:val="0"/>
      <w:kern w:val="24"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4"/>
      </w:numPr>
      <w:spacing w:after="240"/>
      <w:outlineLvl w:val="4"/>
    </w:pPr>
    <w:rPr>
      <w:rFonts w:ascii="Verdana" w:hAnsi="Verdana"/>
      <w:i/>
      <w:snapToGrid w:val="0"/>
      <w:kern w:val="24"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4"/>
      </w:numPr>
      <w:spacing w:after="240"/>
      <w:outlineLvl w:val="5"/>
    </w:pPr>
    <w:rPr>
      <w:rFonts w:ascii="Georgia" w:hAnsi="Georgia"/>
      <w:snapToGrid w:val="0"/>
      <w:kern w:val="24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  <w:sz w:val="24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Arial" w:hAnsi="Arial"/>
      <w:sz w:val="24"/>
    </w:rPr>
  </w:style>
  <w:style w:type="paragraph" w:styleId="BodyTextIndent">
    <w:name w:val="Body Text Indent"/>
    <w:basedOn w:val="Normal"/>
    <w:pPr>
      <w:ind w:left="1440"/>
    </w:pPr>
    <w:rPr>
      <w:rFonts w:ascii="Arial" w:hAnsi="Arial"/>
      <w:sz w:val="24"/>
    </w:rPr>
  </w:style>
  <w:style w:type="paragraph" w:customStyle="1" w:styleId="Correctionautomatique">
    <w:name w:val="Correction automatique"/>
    <w:rsid w:val="00F54271"/>
    <w:rPr>
      <w:sz w:val="24"/>
      <w:szCs w:val="24"/>
      <w:lang w:val="fr-FR" w:eastAsia="fr-FR"/>
    </w:rPr>
  </w:style>
  <w:style w:type="character" w:styleId="CommentReference">
    <w:name w:val="annotation reference"/>
    <w:semiHidden/>
    <w:rsid w:val="006F47E3"/>
    <w:rPr>
      <w:sz w:val="16"/>
      <w:szCs w:val="16"/>
    </w:rPr>
  </w:style>
  <w:style w:type="paragraph" w:styleId="CommentText">
    <w:name w:val="annotation text"/>
    <w:basedOn w:val="Normal"/>
    <w:semiHidden/>
    <w:rsid w:val="006F47E3"/>
  </w:style>
  <w:style w:type="paragraph" w:styleId="CommentSubject">
    <w:name w:val="annotation subject"/>
    <w:basedOn w:val="CommentText"/>
    <w:next w:val="CommentText"/>
    <w:semiHidden/>
    <w:rsid w:val="006F47E3"/>
    <w:rPr>
      <w:b/>
      <w:bCs/>
    </w:rPr>
  </w:style>
  <w:style w:type="paragraph" w:styleId="BalloonText">
    <w:name w:val="Balloon Text"/>
    <w:basedOn w:val="Normal"/>
    <w:semiHidden/>
    <w:rsid w:val="006F47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69FA"/>
    <w:pPr>
      <w:ind w:left="708"/>
    </w:pPr>
  </w:style>
  <w:style w:type="character" w:customStyle="1" w:styleId="HeaderChar">
    <w:name w:val="Header Char"/>
    <w:link w:val="Header"/>
    <w:rsid w:val="0062406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2154</Words>
  <Characters>12284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NRT.010 Acid Elution</vt:lpstr>
      <vt:lpstr>NRT.010 Acid Elution</vt:lpstr>
    </vt:vector>
  </TitlesOfParts>
  <Company>The Ottawa Hospital</Company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NRT.010 Acid Elution</dc:title>
  <dc:subject/>
  <dc:creator>Transfusion Ontario Program Office</dc:creator>
  <cp:keywords/>
  <cp:lastModifiedBy>Nesrallah, Heather</cp:lastModifiedBy>
  <cp:revision>2</cp:revision>
  <cp:lastPrinted>2011-02-04T17:48:00Z</cp:lastPrinted>
  <dcterms:created xsi:type="dcterms:W3CDTF">2020-08-11T12:44:00Z</dcterms:created>
  <dcterms:modified xsi:type="dcterms:W3CDTF">2020-08-11T12:44:00Z</dcterms:modified>
</cp:coreProperties>
</file>