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CE" w:rsidRPr="00527326" w:rsidRDefault="008B52A1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527326">
        <w:rPr>
          <w:rFonts w:ascii="Arial" w:hAnsi="Arial"/>
          <w:b/>
          <w:sz w:val="28"/>
          <w:lang w:val="fr-CA"/>
        </w:rPr>
        <w:t>Principe</w:t>
      </w:r>
    </w:p>
    <w:p w:rsidR="005343CE" w:rsidRPr="00527326" w:rsidRDefault="005343CE">
      <w:pPr>
        <w:spacing w:line="228" w:lineRule="auto"/>
        <w:rPr>
          <w:rFonts w:ascii="Arial" w:hAnsi="Arial"/>
          <w:sz w:val="24"/>
          <w:lang w:val="fr-CA"/>
        </w:rPr>
      </w:pPr>
    </w:p>
    <w:p w:rsidR="005343CE" w:rsidRPr="00527326" w:rsidRDefault="008B52A1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 xml:space="preserve">Des globules rouges sont </w:t>
      </w:r>
      <w:r w:rsidR="007D6407" w:rsidRPr="00527326">
        <w:rPr>
          <w:rFonts w:ascii="Arial" w:hAnsi="Arial"/>
          <w:sz w:val="24"/>
          <w:lang w:val="fr-CA"/>
        </w:rPr>
        <w:t xml:space="preserve">testés contre </w:t>
      </w:r>
      <w:r w:rsidRPr="00527326">
        <w:rPr>
          <w:rFonts w:ascii="Arial" w:hAnsi="Arial"/>
          <w:sz w:val="24"/>
          <w:lang w:val="fr-CA"/>
        </w:rPr>
        <w:t>des antisérums spécifiques pour déterminer la présence ou l'absence d'antigènes au groupe sanguin.</w:t>
      </w:r>
    </w:p>
    <w:p w:rsidR="005343CE" w:rsidRPr="00527326" w:rsidRDefault="005343CE">
      <w:pPr>
        <w:spacing w:line="228" w:lineRule="auto"/>
        <w:ind w:left="720"/>
        <w:rPr>
          <w:rFonts w:ascii="Arial" w:hAnsi="Arial"/>
          <w:sz w:val="24"/>
          <w:lang w:val="fr-CA"/>
        </w:rPr>
      </w:pPr>
    </w:p>
    <w:p w:rsidR="005343CE" w:rsidRPr="00527326" w:rsidRDefault="00C92EF2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Dans la procédure de typage di</w:t>
      </w:r>
      <w:r w:rsidR="005343CE" w:rsidRPr="00527326">
        <w:rPr>
          <w:rFonts w:ascii="Arial" w:hAnsi="Arial"/>
          <w:sz w:val="24"/>
          <w:lang w:val="fr-CA"/>
        </w:rPr>
        <w:t xml:space="preserve">rect </w:t>
      </w:r>
      <w:r w:rsidRPr="00527326">
        <w:rPr>
          <w:rFonts w:ascii="Arial" w:hAnsi="Arial"/>
          <w:sz w:val="24"/>
          <w:lang w:val="fr-CA"/>
        </w:rPr>
        <w:t>des a</w:t>
      </w:r>
      <w:r w:rsidR="005343CE" w:rsidRPr="00527326">
        <w:rPr>
          <w:rFonts w:ascii="Arial" w:hAnsi="Arial"/>
          <w:sz w:val="24"/>
          <w:lang w:val="fr-CA"/>
        </w:rPr>
        <w:t>ntig</w:t>
      </w:r>
      <w:r w:rsidRPr="00527326">
        <w:rPr>
          <w:rFonts w:ascii="Arial" w:hAnsi="Arial"/>
          <w:sz w:val="24"/>
          <w:lang w:val="fr-CA"/>
        </w:rPr>
        <w:t>ènes, l’antisérum spécifique provoquera une agglutination des globules rouges qui possèdent l’antigène correspondant</w:t>
      </w:r>
      <w:r w:rsidR="005343CE" w:rsidRPr="00527326">
        <w:rPr>
          <w:rFonts w:ascii="Arial" w:hAnsi="Arial"/>
          <w:sz w:val="24"/>
          <w:lang w:val="fr-CA"/>
        </w:rPr>
        <w:t xml:space="preserve">. </w:t>
      </w:r>
      <w:r w:rsidRPr="00527326">
        <w:rPr>
          <w:rFonts w:ascii="Arial" w:hAnsi="Arial"/>
          <w:sz w:val="24"/>
          <w:lang w:val="fr-CA"/>
        </w:rPr>
        <w:t>L’a</w:t>
      </w:r>
      <w:r w:rsidR="005343CE" w:rsidRPr="00527326">
        <w:rPr>
          <w:rFonts w:ascii="Arial" w:hAnsi="Arial"/>
          <w:sz w:val="24"/>
          <w:lang w:val="fr-CA"/>
        </w:rPr>
        <w:t xml:space="preserve">gglutination </w:t>
      </w:r>
      <w:r w:rsidRPr="00527326">
        <w:rPr>
          <w:rFonts w:ascii="Arial" w:hAnsi="Arial"/>
          <w:sz w:val="24"/>
          <w:lang w:val="fr-CA"/>
        </w:rPr>
        <w:t xml:space="preserve">peut se produire à température ambiante, à </w:t>
      </w:r>
      <w:r w:rsidR="005343CE" w:rsidRPr="00527326">
        <w:rPr>
          <w:rFonts w:ascii="Arial" w:hAnsi="Arial"/>
          <w:sz w:val="24"/>
          <w:lang w:val="fr-CA"/>
        </w:rPr>
        <w:t>4</w:t>
      </w:r>
      <w:r w:rsidR="005765C5">
        <w:rPr>
          <w:rFonts w:ascii="Arial" w:hAnsi="Arial" w:cs="Arial"/>
          <w:sz w:val="24"/>
          <w:lang w:val="fr-CA"/>
        </w:rPr>
        <w:t>º</w:t>
      </w:r>
      <w:r w:rsidR="005343CE" w:rsidRPr="00527326">
        <w:rPr>
          <w:rFonts w:ascii="Arial" w:hAnsi="Arial"/>
          <w:sz w:val="24"/>
          <w:lang w:val="fr-CA"/>
        </w:rPr>
        <w:t>C o</w:t>
      </w:r>
      <w:r w:rsidRPr="00527326">
        <w:rPr>
          <w:rFonts w:ascii="Arial" w:hAnsi="Arial"/>
          <w:sz w:val="24"/>
          <w:lang w:val="fr-CA"/>
        </w:rPr>
        <w:t xml:space="preserve">u à </w:t>
      </w:r>
      <w:r w:rsidR="005343CE" w:rsidRPr="00527326">
        <w:rPr>
          <w:rFonts w:ascii="Arial" w:hAnsi="Arial"/>
          <w:sz w:val="24"/>
          <w:lang w:val="fr-CA"/>
        </w:rPr>
        <w:t>37</w:t>
      </w:r>
      <w:r w:rsidR="005765C5">
        <w:rPr>
          <w:rFonts w:ascii="Arial" w:hAnsi="Arial" w:cs="Arial"/>
          <w:sz w:val="24"/>
          <w:lang w:val="fr-CA"/>
        </w:rPr>
        <w:t>º</w:t>
      </w:r>
      <w:r w:rsidR="005343CE" w:rsidRPr="00527326">
        <w:rPr>
          <w:rFonts w:ascii="Arial" w:hAnsi="Arial"/>
          <w:sz w:val="24"/>
          <w:lang w:val="fr-CA"/>
        </w:rPr>
        <w:t>C</w:t>
      </w:r>
      <w:r w:rsidRPr="00527326">
        <w:rPr>
          <w:rFonts w:ascii="Arial" w:hAnsi="Arial"/>
          <w:sz w:val="24"/>
          <w:lang w:val="fr-CA"/>
        </w:rPr>
        <w:t>, en fonction de l’antisérum utilisé</w:t>
      </w:r>
      <w:r w:rsidR="005343CE" w:rsidRPr="00527326">
        <w:rPr>
          <w:rFonts w:ascii="Arial" w:hAnsi="Arial"/>
          <w:sz w:val="24"/>
          <w:lang w:val="fr-CA"/>
        </w:rPr>
        <w:t>.</w:t>
      </w:r>
    </w:p>
    <w:p w:rsidR="005343CE" w:rsidRPr="00527326" w:rsidRDefault="005343CE">
      <w:pPr>
        <w:spacing w:line="228" w:lineRule="auto"/>
        <w:ind w:left="720"/>
        <w:rPr>
          <w:rFonts w:ascii="Arial" w:hAnsi="Arial"/>
          <w:sz w:val="24"/>
          <w:lang w:val="fr-CA"/>
        </w:rPr>
      </w:pPr>
    </w:p>
    <w:p w:rsidR="005343CE" w:rsidRPr="00527326" w:rsidRDefault="005343CE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Dans la procédure de typage</w:t>
      </w:r>
      <w:r w:rsidRPr="00527326">
        <w:rPr>
          <w:rFonts w:ascii="Arial" w:hAnsi="Arial"/>
          <w:b/>
          <w:sz w:val="24"/>
          <w:lang w:val="fr-CA"/>
        </w:rPr>
        <w:t xml:space="preserve"> </w:t>
      </w:r>
      <w:r w:rsidRPr="00527326">
        <w:rPr>
          <w:rFonts w:ascii="Arial" w:hAnsi="Arial"/>
          <w:sz w:val="24"/>
          <w:lang w:val="fr-CA"/>
        </w:rPr>
        <w:t>indirect des antigènes, l’antisérum spécifique sensibilisera les globules rouges qui possèdent l’antigène correspondant. L’agglutination se manifestera lors du test indirect à l’antiglobuline (TIA).</w:t>
      </w:r>
    </w:p>
    <w:p w:rsidR="005343CE" w:rsidRPr="00527326" w:rsidRDefault="005343CE">
      <w:pPr>
        <w:spacing w:line="228" w:lineRule="auto"/>
        <w:ind w:left="720"/>
        <w:rPr>
          <w:rFonts w:ascii="Arial" w:hAnsi="Arial"/>
          <w:sz w:val="24"/>
          <w:lang w:val="fr-CA"/>
        </w:rPr>
      </w:pPr>
    </w:p>
    <w:p w:rsidR="005343CE" w:rsidRPr="00527326" w:rsidRDefault="008B52A1">
      <w:pPr>
        <w:pStyle w:val="Heading7"/>
        <w:spacing w:line="228" w:lineRule="auto"/>
        <w:rPr>
          <w:lang w:val="fr-CA"/>
        </w:rPr>
      </w:pPr>
      <w:r w:rsidRPr="00527326">
        <w:rPr>
          <w:lang w:val="fr-CA"/>
        </w:rPr>
        <w:t>Greffe de moelle osseuse</w:t>
      </w:r>
    </w:p>
    <w:p w:rsidR="005343CE" w:rsidRPr="00527326" w:rsidRDefault="008B52A1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Lors d'une procédure de typage d'antigène chez des patients ayant reçu une greffe de moelle osseuse (</w:t>
      </w:r>
      <w:r w:rsidR="00C92EF2" w:rsidRPr="00527326">
        <w:rPr>
          <w:rFonts w:ascii="Arial" w:hAnsi="Arial"/>
          <w:sz w:val="24"/>
          <w:lang w:val="fr-CA"/>
        </w:rPr>
        <w:t>GMO</w:t>
      </w:r>
      <w:r w:rsidRPr="00527326">
        <w:rPr>
          <w:rFonts w:ascii="Arial" w:hAnsi="Arial"/>
          <w:sz w:val="24"/>
          <w:lang w:val="fr-CA"/>
        </w:rPr>
        <w:t xml:space="preserve">), il faut toujours prendre en compte les antécédents du patient. </w:t>
      </w:r>
      <w:r w:rsidR="00C92EF2" w:rsidRPr="00527326">
        <w:rPr>
          <w:rFonts w:ascii="Arial" w:hAnsi="Arial"/>
          <w:sz w:val="24"/>
          <w:lang w:val="fr-CA"/>
        </w:rPr>
        <w:t>A</w:t>
      </w:r>
      <w:r w:rsidRPr="00527326">
        <w:rPr>
          <w:rFonts w:ascii="Arial" w:hAnsi="Arial"/>
          <w:sz w:val="24"/>
          <w:lang w:val="fr-CA"/>
        </w:rPr>
        <w:t xml:space="preserve">près une </w:t>
      </w:r>
      <w:r w:rsidR="00C92EF2" w:rsidRPr="00527326">
        <w:rPr>
          <w:rFonts w:ascii="Arial" w:hAnsi="Arial"/>
          <w:sz w:val="24"/>
          <w:lang w:val="fr-CA"/>
        </w:rPr>
        <w:t>GMO</w:t>
      </w:r>
      <w:r w:rsidRPr="00527326">
        <w:rPr>
          <w:rFonts w:ascii="Arial" w:hAnsi="Arial"/>
          <w:sz w:val="24"/>
          <w:lang w:val="fr-CA"/>
        </w:rPr>
        <w:t>, on peut constater un chimérisme d</w:t>
      </w:r>
      <w:r w:rsidR="005343CE" w:rsidRPr="00527326">
        <w:rPr>
          <w:rFonts w:ascii="Arial" w:hAnsi="Arial"/>
          <w:sz w:val="24"/>
          <w:lang w:val="fr-CA"/>
        </w:rPr>
        <w:t>û</w:t>
      </w:r>
      <w:r w:rsidRPr="00527326">
        <w:rPr>
          <w:rFonts w:ascii="Arial" w:hAnsi="Arial"/>
          <w:sz w:val="24"/>
          <w:lang w:val="fr-CA"/>
        </w:rPr>
        <w:t xml:space="preserve"> à la présence d'antigènes aux globules rouges, en raison de la persistance des lymphocytes </w:t>
      </w:r>
      <w:r w:rsidR="005343CE" w:rsidRPr="00527326">
        <w:rPr>
          <w:rFonts w:ascii="Arial" w:hAnsi="Arial"/>
          <w:sz w:val="24"/>
          <w:lang w:val="fr-CA"/>
        </w:rPr>
        <w:t>B</w:t>
      </w:r>
      <w:r w:rsidRPr="00527326">
        <w:rPr>
          <w:rFonts w:ascii="Arial" w:hAnsi="Arial"/>
          <w:sz w:val="24"/>
          <w:lang w:val="fr-CA"/>
        </w:rPr>
        <w:t xml:space="preserve"> du receveur.</w:t>
      </w:r>
    </w:p>
    <w:p w:rsidR="005343CE" w:rsidRPr="00527326" w:rsidRDefault="005343CE">
      <w:pPr>
        <w:spacing w:line="228" w:lineRule="auto"/>
        <w:ind w:left="720"/>
        <w:rPr>
          <w:rFonts w:ascii="Arial" w:hAnsi="Arial"/>
          <w:sz w:val="24"/>
          <w:lang w:val="fr-CA"/>
        </w:rPr>
      </w:pPr>
    </w:p>
    <w:p w:rsidR="005343CE" w:rsidRPr="00527326" w:rsidRDefault="008B52A1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  <w:lang w:val="fr-CA"/>
        </w:rPr>
      </w:pPr>
      <w:r w:rsidRPr="00527326">
        <w:rPr>
          <w:rFonts w:ascii="Arial" w:hAnsi="Arial"/>
          <w:b/>
          <w:sz w:val="28"/>
          <w:lang w:val="fr-CA"/>
        </w:rPr>
        <w:t>Portée et politiques connexes</w:t>
      </w:r>
    </w:p>
    <w:p w:rsidR="005343CE" w:rsidRPr="00527326" w:rsidRDefault="005343CE">
      <w:pPr>
        <w:spacing w:line="228" w:lineRule="auto"/>
        <w:rPr>
          <w:rFonts w:ascii="Arial" w:hAnsi="Arial"/>
          <w:sz w:val="24"/>
          <w:lang w:val="fr-CA"/>
        </w:rPr>
      </w:pPr>
    </w:p>
    <w:p w:rsidR="005343CE" w:rsidRPr="00527326" w:rsidRDefault="005715DC">
      <w:pPr>
        <w:numPr>
          <w:ilvl w:val="1"/>
          <w:numId w:val="1"/>
        </w:numPr>
        <w:spacing w:line="228" w:lineRule="auto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Il faut f</w:t>
      </w:r>
      <w:r w:rsidR="00F436E9" w:rsidRPr="00527326">
        <w:rPr>
          <w:rFonts w:ascii="Arial" w:hAnsi="Arial"/>
          <w:sz w:val="24"/>
          <w:lang w:val="fr-CA"/>
        </w:rPr>
        <w:t>aire un autocontrôle ou un test direct à l’</w:t>
      </w:r>
      <w:r w:rsidR="005343CE" w:rsidRPr="00527326">
        <w:rPr>
          <w:rFonts w:ascii="Arial" w:hAnsi="Arial"/>
          <w:sz w:val="24"/>
          <w:lang w:val="fr-CA"/>
        </w:rPr>
        <w:t>antiglobulin</w:t>
      </w:r>
      <w:r w:rsidR="00F436E9" w:rsidRPr="00527326">
        <w:rPr>
          <w:rFonts w:ascii="Arial" w:hAnsi="Arial"/>
          <w:sz w:val="24"/>
          <w:lang w:val="fr-CA"/>
        </w:rPr>
        <w:t>e</w:t>
      </w:r>
      <w:r w:rsidR="005343CE" w:rsidRPr="00527326">
        <w:rPr>
          <w:rFonts w:ascii="Arial" w:hAnsi="Arial"/>
          <w:sz w:val="24"/>
          <w:lang w:val="fr-CA"/>
        </w:rPr>
        <w:t xml:space="preserve"> </w:t>
      </w:r>
      <w:r w:rsidR="00F436E9" w:rsidRPr="00527326">
        <w:rPr>
          <w:rFonts w:ascii="Arial" w:hAnsi="Arial"/>
          <w:sz w:val="24"/>
          <w:lang w:val="fr-CA"/>
        </w:rPr>
        <w:t>en conjonction à tout typage de globules rouges exigeant un test indirect à l’</w:t>
      </w:r>
      <w:r w:rsidR="005343CE" w:rsidRPr="00527326">
        <w:rPr>
          <w:rFonts w:ascii="Arial" w:hAnsi="Arial"/>
          <w:sz w:val="24"/>
          <w:lang w:val="fr-CA"/>
        </w:rPr>
        <w:t>antiglobulin</w:t>
      </w:r>
      <w:r w:rsidR="00F436E9" w:rsidRPr="00527326">
        <w:rPr>
          <w:rFonts w:ascii="Arial" w:hAnsi="Arial"/>
          <w:sz w:val="24"/>
          <w:lang w:val="fr-CA"/>
        </w:rPr>
        <w:t>e</w:t>
      </w:r>
      <w:r w:rsidR="005343CE" w:rsidRPr="00527326">
        <w:rPr>
          <w:rFonts w:ascii="Arial" w:hAnsi="Arial"/>
          <w:sz w:val="24"/>
          <w:vertAlign w:val="superscript"/>
          <w:lang w:val="fr-CA"/>
        </w:rPr>
        <w:t>9.1</w:t>
      </w:r>
      <w:r w:rsidR="00F436E9" w:rsidRPr="00527326">
        <w:rPr>
          <w:rFonts w:ascii="Arial" w:hAnsi="Arial"/>
          <w:sz w:val="24"/>
          <w:lang w:val="fr-CA"/>
        </w:rPr>
        <w:t>.</w:t>
      </w:r>
    </w:p>
    <w:p w:rsidR="005343CE" w:rsidRPr="00527326" w:rsidRDefault="005343CE">
      <w:pPr>
        <w:spacing w:line="228" w:lineRule="auto"/>
        <w:ind w:left="720"/>
        <w:rPr>
          <w:rFonts w:ascii="Arial" w:hAnsi="Arial"/>
          <w:sz w:val="24"/>
          <w:lang w:val="fr-CA"/>
        </w:rPr>
      </w:pPr>
    </w:p>
    <w:p w:rsidR="005343CE" w:rsidRPr="00527326" w:rsidRDefault="00F436E9">
      <w:pPr>
        <w:numPr>
          <w:ilvl w:val="1"/>
          <w:numId w:val="1"/>
        </w:numPr>
        <w:spacing w:line="228" w:lineRule="auto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Le typage d'antigènes (</w:t>
      </w:r>
      <w:r w:rsidR="001C2F51" w:rsidRPr="00527326">
        <w:rPr>
          <w:rFonts w:ascii="Arial" w:hAnsi="Arial"/>
          <w:sz w:val="24"/>
          <w:lang w:val="fr-CA"/>
        </w:rPr>
        <w:t>phénotypage</w:t>
      </w:r>
      <w:r w:rsidRPr="00527326">
        <w:rPr>
          <w:rFonts w:ascii="Arial" w:hAnsi="Arial"/>
          <w:sz w:val="24"/>
          <w:lang w:val="fr-CA"/>
        </w:rPr>
        <w:t>) des cellules de patient est fait sur un échantillon d’un patient qui n’a pas reçu de transfusion au cours des 3 derniers mois</w:t>
      </w:r>
      <w:r w:rsidR="005343CE" w:rsidRPr="00527326">
        <w:rPr>
          <w:rFonts w:ascii="Arial" w:hAnsi="Arial"/>
          <w:sz w:val="24"/>
          <w:lang w:val="fr-CA"/>
        </w:rPr>
        <w:t xml:space="preserve">. </w:t>
      </w:r>
      <w:r w:rsidRPr="00527326">
        <w:rPr>
          <w:rFonts w:ascii="Arial" w:hAnsi="Arial"/>
          <w:sz w:val="24"/>
          <w:lang w:val="fr-CA"/>
        </w:rPr>
        <w:t xml:space="preserve">La </w:t>
      </w:r>
      <w:r w:rsidR="0065048F" w:rsidRPr="00527326">
        <w:rPr>
          <w:rFonts w:ascii="Arial" w:hAnsi="Arial"/>
          <w:sz w:val="24"/>
          <w:lang w:val="fr-CA"/>
        </w:rPr>
        <w:t>procédure </w:t>
      </w:r>
      <w:r w:rsidR="005343CE" w:rsidRPr="00527326">
        <w:rPr>
          <w:rFonts w:ascii="Arial" w:hAnsi="Arial"/>
          <w:sz w:val="24"/>
          <w:lang w:val="fr-CA"/>
        </w:rPr>
        <w:t>:</w:t>
      </w:r>
    </w:p>
    <w:p w:rsidR="005343CE" w:rsidRPr="00527326" w:rsidRDefault="005343CE">
      <w:pPr>
        <w:spacing w:line="228" w:lineRule="auto"/>
        <w:ind w:left="720"/>
        <w:rPr>
          <w:rFonts w:ascii="Arial" w:hAnsi="Arial"/>
          <w:sz w:val="24"/>
          <w:lang w:val="fr-CA"/>
        </w:rPr>
      </w:pPr>
    </w:p>
    <w:p w:rsidR="005343CE" w:rsidRPr="00527326" w:rsidRDefault="00F436E9">
      <w:pPr>
        <w:numPr>
          <w:ilvl w:val="2"/>
          <w:numId w:val="1"/>
        </w:numPr>
        <w:spacing w:line="228" w:lineRule="auto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doit être faite avant que l’on puisse attribuer une spécificité à un anticorps nouvellement dépisté;</w:t>
      </w:r>
    </w:p>
    <w:p w:rsidR="005343CE" w:rsidRPr="00527326" w:rsidRDefault="005343CE">
      <w:pPr>
        <w:spacing w:line="228" w:lineRule="auto"/>
        <w:ind w:left="1440"/>
        <w:rPr>
          <w:rFonts w:ascii="Arial" w:hAnsi="Arial"/>
          <w:sz w:val="24"/>
          <w:lang w:val="fr-CA"/>
        </w:rPr>
      </w:pPr>
    </w:p>
    <w:p w:rsidR="005343CE" w:rsidRPr="00527326" w:rsidRDefault="00F436E9">
      <w:pPr>
        <w:numPr>
          <w:ilvl w:val="2"/>
          <w:numId w:val="1"/>
        </w:numPr>
        <w:spacing w:line="228" w:lineRule="auto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lastRenderedPageBreak/>
        <w:t>peut aider à exclure un ou des anticorps lors d’une procédure d’identification d’anticorps;</w:t>
      </w:r>
    </w:p>
    <w:p w:rsidR="005343CE" w:rsidRPr="00527326" w:rsidRDefault="005343CE">
      <w:pPr>
        <w:spacing w:line="228" w:lineRule="auto"/>
        <w:ind w:left="1440"/>
        <w:rPr>
          <w:rFonts w:ascii="Arial" w:hAnsi="Arial"/>
          <w:sz w:val="24"/>
          <w:lang w:val="fr-CA"/>
        </w:rPr>
      </w:pPr>
    </w:p>
    <w:p w:rsidR="005343CE" w:rsidRPr="00527326" w:rsidRDefault="00F436E9">
      <w:pPr>
        <w:numPr>
          <w:ilvl w:val="2"/>
          <w:numId w:val="1"/>
        </w:numPr>
        <w:spacing w:line="228" w:lineRule="auto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 xml:space="preserve">est recommandée pour les patients qui auront besoin de transfusions à long terme </w:t>
      </w:r>
      <w:r w:rsidR="005343CE" w:rsidRPr="00527326">
        <w:rPr>
          <w:rFonts w:ascii="Arial" w:hAnsi="Arial"/>
          <w:sz w:val="24"/>
          <w:lang w:val="fr-CA"/>
        </w:rPr>
        <w:t>[</w:t>
      </w:r>
      <w:r w:rsidRPr="00527326">
        <w:rPr>
          <w:rFonts w:ascii="Arial" w:hAnsi="Arial"/>
          <w:sz w:val="24"/>
          <w:lang w:val="fr-CA"/>
        </w:rPr>
        <w:t xml:space="preserve">p.ex. patients atteints d’anémie chronique </w:t>
      </w:r>
      <w:r w:rsidR="005343CE" w:rsidRPr="00527326">
        <w:rPr>
          <w:rFonts w:ascii="Arial" w:hAnsi="Arial"/>
          <w:sz w:val="24"/>
          <w:lang w:val="fr-CA"/>
        </w:rPr>
        <w:t>(</w:t>
      </w:r>
      <w:r w:rsidRPr="00527326">
        <w:rPr>
          <w:rFonts w:ascii="Arial" w:hAnsi="Arial"/>
          <w:sz w:val="24"/>
          <w:lang w:val="fr-CA"/>
        </w:rPr>
        <w:t>drépanocytose</w:t>
      </w:r>
      <w:r w:rsidR="005343CE" w:rsidRPr="00527326">
        <w:rPr>
          <w:rFonts w:ascii="Arial" w:hAnsi="Arial"/>
          <w:sz w:val="24"/>
          <w:lang w:val="fr-CA"/>
        </w:rPr>
        <w:t>, thalass</w:t>
      </w:r>
      <w:r w:rsidRPr="00527326">
        <w:rPr>
          <w:rFonts w:ascii="Arial" w:hAnsi="Arial"/>
          <w:sz w:val="24"/>
          <w:lang w:val="fr-CA"/>
        </w:rPr>
        <w:t>émie</w:t>
      </w:r>
      <w:r w:rsidR="005343CE" w:rsidRPr="00527326">
        <w:rPr>
          <w:rFonts w:ascii="Arial" w:hAnsi="Arial"/>
          <w:sz w:val="24"/>
          <w:lang w:val="fr-CA"/>
        </w:rPr>
        <w:t xml:space="preserve">)]. </w:t>
      </w:r>
      <w:r w:rsidRPr="00527326">
        <w:rPr>
          <w:rFonts w:ascii="Arial" w:hAnsi="Arial"/>
          <w:sz w:val="24"/>
          <w:lang w:val="fr-CA"/>
        </w:rPr>
        <w:t xml:space="preserve">Envisager le typage avec des antisérums comme </w:t>
      </w:r>
      <w:r w:rsidR="005343CE" w:rsidRPr="00527326">
        <w:rPr>
          <w:rFonts w:ascii="Arial" w:hAnsi="Arial"/>
          <w:sz w:val="24"/>
          <w:lang w:val="fr-CA"/>
        </w:rPr>
        <w:t>anti-C, -c, -E, -e, -K, -Jk</w:t>
      </w:r>
      <w:r w:rsidR="005343CE" w:rsidRPr="00527326">
        <w:rPr>
          <w:rFonts w:ascii="Arial" w:hAnsi="Arial"/>
          <w:sz w:val="24"/>
          <w:vertAlign w:val="superscript"/>
          <w:lang w:val="fr-CA"/>
        </w:rPr>
        <w:t>a</w:t>
      </w:r>
      <w:r w:rsidR="005343CE" w:rsidRPr="00527326">
        <w:rPr>
          <w:rFonts w:ascii="Arial" w:hAnsi="Arial"/>
          <w:sz w:val="24"/>
          <w:lang w:val="fr-CA"/>
        </w:rPr>
        <w:t>, -Jk</w:t>
      </w:r>
      <w:r w:rsidR="005343CE" w:rsidRPr="00527326">
        <w:rPr>
          <w:rFonts w:ascii="Arial" w:hAnsi="Arial"/>
          <w:sz w:val="24"/>
          <w:vertAlign w:val="superscript"/>
          <w:lang w:val="fr-CA"/>
        </w:rPr>
        <w:t>b</w:t>
      </w:r>
      <w:r w:rsidR="005343CE" w:rsidRPr="00527326">
        <w:rPr>
          <w:rFonts w:ascii="Arial" w:hAnsi="Arial"/>
          <w:sz w:val="24"/>
          <w:lang w:val="fr-CA"/>
        </w:rPr>
        <w:t>, -Fy</w:t>
      </w:r>
      <w:r w:rsidR="005343CE" w:rsidRPr="00527326">
        <w:rPr>
          <w:rFonts w:ascii="Arial" w:hAnsi="Arial"/>
          <w:sz w:val="24"/>
          <w:vertAlign w:val="superscript"/>
          <w:lang w:val="fr-CA"/>
        </w:rPr>
        <w:t>a</w:t>
      </w:r>
      <w:r w:rsidR="005343CE" w:rsidRPr="00527326">
        <w:rPr>
          <w:rFonts w:ascii="Arial" w:hAnsi="Arial"/>
          <w:sz w:val="24"/>
          <w:lang w:val="fr-CA"/>
        </w:rPr>
        <w:t>, -Fy</w:t>
      </w:r>
      <w:r w:rsidR="005343CE" w:rsidRPr="00527326">
        <w:rPr>
          <w:rFonts w:ascii="Arial" w:hAnsi="Arial"/>
          <w:sz w:val="24"/>
          <w:vertAlign w:val="superscript"/>
          <w:lang w:val="fr-CA"/>
        </w:rPr>
        <w:t>b</w:t>
      </w:r>
      <w:r w:rsidR="005343CE" w:rsidRPr="00527326">
        <w:rPr>
          <w:rFonts w:ascii="Arial" w:hAnsi="Arial"/>
          <w:sz w:val="24"/>
          <w:lang w:val="fr-CA"/>
        </w:rPr>
        <w:t xml:space="preserve">, -S </w:t>
      </w:r>
      <w:r w:rsidRPr="00527326">
        <w:rPr>
          <w:rFonts w:ascii="Arial" w:hAnsi="Arial"/>
          <w:sz w:val="24"/>
          <w:lang w:val="fr-CA"/>
        </w:rPr>
        <w:t>et</w:t>
      </w:r>
      <w:r w:rsidR="005343CE" w:rsidRPr="00527326">
        <w:rPr>
          <w:rFonts w:ascii="Arial" w:hAnsi="Arial"/>
          <w:sz w:val="24"/>
          <w:lang w:val="fr-CA"/>
        </w:rPr>
        <w:t xml:space="preserve"> –s </w:t>
      </w:r>
      <w:r w:rsidRPr="00527326">
        <w:rPr>
          <w:rFonts w:ascii="Arial" w:hAnsi="Arial"/>
          <w:sz w:val="24"/>
          <w:lang w:val="fr-CA"/>
        </w:rPr>
        <w:t>pour fournir des données de base en cas de production ultérieure d’anticorps</w:t>
      </w:r>
      <w:r w:rsidR="005343CE" w:rsidRPr="00527326">
        <w:rPr>
          <w:rFonts w:ascii="Arial" w:hAnsi="Arial"/>
          <w:sz w:val="24"/>
          <w:lang w:val="fr-CA"/>
        </w:rPr>
        <w:t>.</w:t>
      </w:r>
    </w:p>
    <w:p w:rsidR="005343CE" w:rsidRPr="00527326" w:rsidRDefault="005343CE">
      <w:pPr>
        <w:spacing w:line="228" w:lineRule="auto"/>
        <w:ind w:left="1440"/>
        <w:rPr>
          <w:rFonts w:ascii="Arial" w:hAnsi="Arial"/>
          <w:sz w:val="24"/>
          <w:lang w:val="fr-CA"/>
        </w:rPr>
      </w:pPr>
    </w:p>
    <w:p w:rsidR="005343CE" w:rsidRPr="00527326" w:rsidRDefault="00F436E9">
      <w:pPr>
        <w:numPr>
          <w:ilvl w:val="1"/>
          <w:numId w:val="1"/>
        </w:numPr>
        <w:spacing w:line="228" w:lineRule="auto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Le typage des antigènes</w:t>
      </w:r>
      <w:r w:rsidR="005343CE" w:rsidRPr="00527326">
        <w:rPr>
          <w:rFonts w:ascii="Arial" w:hAnsi="Arial"/>
          <w:sz w:val="24"/>
          <w:lang w:val="fr-CA"/>
        </w:rPr>
        <w:t xml:space="preserve"> (ph</w:t>
      </w:r>
      <w:r w:rsidR="00E04E4D" w:rsidRPr="00527326">
        <w:rPr>
          <w:rFonts w:ascii="Arial" w:hAnsi="Arial"/>
          <w:sz w:val="24"/>
          <w:lang w:val="fr-CA"/>
        </w:rPr>
        <w:t>é</w:t>
      </w:r>
      <w:r w:rsidR="005343CE" w:rsidRPr="00527326">
        <w:rPr>
          <w:rFonts w:ascii="Arial" w:hAnsi="Arial"/>
          <w:sz w:val="24"/>
          <w:lang w:val="fr-CA"/>
        </w:rPr>
        <w:t>notyp</w:t>
      </w:r>
      <w:r w:rsidR="00E04E4D" w:rsidRPr="00527326">
        <w:rPr>
          <w:rFonts w:ascii="Arial" w:hAnsi="Arial"/>
          <w:sz w:val="24"/>
          <w:lang w:val="fr-CA"/>
        </w:rPr>
        <w:t>age</w:t>
      </w:r>
      <w:r w:rsidR="005343CE" w:rsidRPr="00527326">
        <w:rPr>
          <w:rFonts w:ascii="Arial" w:hAnsi="Arial"/>
          <w:sz w:val="24"/>
          <w:lang w:val="fr-CA"/>
        </w:rPr>
        <w:t xml:space="preserve">) </w:t>
      </w:r>
      <w:r w:rsidR="00E04E4D" w:rsidRPr="00527326">
        <w:rPr>
          <w:rFonts w:ascii="Arial" w:hAnsi="Arial"/>
          <w:sz w:val="24"/>
          <w:lang w:val="fr-CA"/>
        </w:rPr>
        <w:t>des unités de donneur est nécessaire pour choisir des unités de donneur pour un patient qui présente un ou des anticorps cliniquement significatifs ou qui a des antécédents de tels anticorps</w:t>
      </w:r>
      <w:r w:rsidR="005343CE" w:rsidRPr="00527326">
        <w:rPr>
          <w:rFonts w:ascii="Arial" w:hAnsi="Arial"/>
          <w:sz w:val="24"/>
          <w:lang w:val="fr-CA"/>
        </w:rPr>
        <w:t>.</w:t>
      </w:r>
    </w:p>
    <w:p w:rsidR="005343CE" w:rsidRPr="00527326" w:rsidRDefault="005343CE">
      <w:pPr>
        <w:spacing w:line="228" w:lineRule="auto"/>
        <w:ind w:left="720"/>
        <w:rPr>
          <w:rFonts w:ascii="Arial" w:hAnsi="Arial"/>
          <w:sz w:val="24"/>
          <w:lang w:val="fr-CA"/>
        </w:rPr>
      </w:pPr>
    </w:p>
    <w:p w:rsidR="005343CE" w:rsidRPr="00527326" w:rsidRDefault="00F436E9">
      <w:pPr>
        <w:numPr>
          <w:ilvl w:val="2"/>
          <w:numId w:val="1"/>
        </w:numPr>
        <w:spacing w:line="228" w:lineRule="auto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Le typage des antigènes</w:t>
      </w:r>
      <w:r w:rsidR="005343CE" w:rsidRPr="00527326">
        <w:rPr>
          <w:rFonts w:ascii="Arial" w:hAnsi="Arial"/>
          <w:sz w:val="24"/>
          <w:lang w:val="fr-CA"/>
        </w:rPr>
        <w:t xml:space="preserve"> </w:t>
      </w:r>
      <w:r w:rsidR="007D6407" w:rsidRPr="00527326">
        <w:rPr>
          <w:rFonts w:ascii="Arial" w:hAnsi="Arial"/>
          <w:sz w:val="24"/>
          <w:lang w:val="fr-CA"/>
        </w:rPr>
        <w:t xml:space="preserve">n’est pas nécessaire </w:t>
      </w:r>
      <w:r w:rsidR="00E04E4D" w:rsidRPr="00527326">
        <w:rPr>
          <w:rFonts w:ascii="Arial" w:hAnsi="Arial"/>
          <w:sz w:val="24"/>
          <w:lang w:val="fr-CA"/>
        </w:rPr>
        <w:t xml:space="preserve">quand un patient possède </w:t>
      </w:r>
      <w:r w:rsidR="001C2F51" w:rsidRPr="00527326">
        <w:rPr>
          <w:rFonts w:ascii="Arial" w:hAnsi="Arial"/>
          <w:sz w:val="24"/>
          <w:lang w:val="fr-CA"/>
        </w:rPr>
        <w:t xml:space="preserve">un ou </w:t>
      </w:r>
      <w:r w:rsidR="00E04E4D" w:rsidRPr="00527326">
        <w:rPr>
          <w:rFonts w:ascii="Arial" w:hAnsi="Arial"/>
          <w:sz w:val="24"/>
          <w:lang w:val="fr-CA"/>
        </w:rPr>
        <w:t xml:space="preserve">des anticorps sans importance clinique et qu’il est </w:t>
      </w:r>
      <w:r w:rsidR="007D6407" w:rsidRPr="00527326">
        <w:rPr>
          <w:rFonts w:ascii="Arial" w:hAnsi="Arial"/>
          <w:sz w:val="24"/>
          <w:lang w:val="fr-CA"/>
        </w:rPr>
        <w:t>p</w:t>
      </w:r>
      <w:r w:rsidR="00E04E4D" w:rsidRPr="00527326">
        <w:rPr>
          <w:rFonts w:ascii="Arial" w:hAnsi="Arial"/>
          <w:sz w:val="24"/>
          <w:lang w:val="fr-CA"/>
        </w:rPr>
        <w:t xml:space="preserve">ossible de trouver des unités de donneur compatibles à l’aide d’une </w:t>
      </w:r>
      <w:r w:rsidR="007D6407" w:rsidRPr="00527326">
        <w:rPr>
          <w:rFonts w:ascii="Arial" w:hAnsi="Arial"/>
          <w:sz w:val="24"/>
          <w:lang w:val="fr-CA"/>
        </w:rPr>
        <w:t>épreuve sérologique</w:t>
      </w:r>
      <w:r w:rsidR="00E04E4D" w:rsidRPr="00527326">
        <w:rPr>
          <w:rFonts w:ascii="Arial" w:hAnsi="Arial"/>
          <w:sz w:val="24"/>
          <w:lang w:val="fr-CA"/>
        </w:rPr>
        <w:t xml:space="preserve">. </w:t>
      </w:r>
    </w:p>
    <w:p w:rsidR="005343CE" w:rsidRPr="00527326" w:rsidRDefault="005343CE">
      <w:pPr>
        <w:spacing w:line="228" w:lineRule="auto"/>
        <w:ind w:left="720"/>
        <w:rPr>
          <w:rFonts w:ascii="Arial" w:hAnsi="Arial"/>
          <w:sz w:val="24"/>
          <w:lang w:val="fr-CA"/>
        </w:rPr>
      </w:pPr>
    </w:p>
    <w:p w:rsidR="005343CE" w:rsidRPr="00527326" w:rsidRDefault="008B52A1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  <w:lang w:val="fr-CA"/>
        </w:rPr>
      </w:pPr>
      <w:r w:rsidRPr="00527326">
        <w:rPr>
          <w:rFonts w:ascii="Arial" w:hAnsi="Arial"/>
          <w:b/>
          <w:sz w:val="28"/>
          <w:lang w:val="fr-CA"/>
        </w:rPr>
        <w:t>Échantillons</w:t>
      </w:r>
    </w:p>
    <w:p w:rsidR="005343CE" w:rsidRPr="00527326" w:rsidRDefault="005343CE">
      <w:pPr>
        <w:spacing w:line="228" w:lineRule="auto"/>
        <w:rPr>
          <w:rFonts w:ascii="Arial" w:hAnsi="Arial"/>
          <w:sz w:val="24"/>
          <w:lang w:val="fr-CA"/>
        </w:rPr>
      </w:pPr>
    </w:p>
    <w:p w:rsidR="005343CE" w:rsidRPr="00527326" w:rsidRDefault="00F436E9">
      <w:pPr>
        <w:numPr>
          <w:ilvl w:val="1"/>
          <w:numId w:val="1"/>
        </w:numPr>
        <w:spacing w:line="228" w:lineRule="auto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 xml:space="preserve">Le typage des antigènes </w:t>
      </w:r>
      <w:r w:rsidR="00E04E4D" w:rsidRPr="00527326">
        <w:rPr>
          <w:rFonts w:ascii="Arial" w:hAnsi="Arial"/>
          <w:sz w:val="24"/>
          <w:lang w:val="fr-CA"/>
        </w:rPr>
        <w:t>doit être fait sur un échantillon prétransfusionnel</w:t>
      </w:r>
      <w:r w:rsidR="005343CE" w:rsidRPr="00527326">
        <w:rPr>
          <w:rFonts w:ascii="Arial" w:hAnsi="Arial"/>
          <w:sz w:val="24"/>
          <w:lang w:val="fr-CA"/>
        </w:rPr>
        <w:t xml:space="preserve"> (</w:t>
      </w:r>
      <w:r w:rsidR="00E04E4D" w:rsidRPr="00527326">
        <w:rPr>
          <w:rFonts w:ascii="Arial" w:hAnsi="Arial"/>
          <w:sz w:val="24"/>
          <w:lang w:val="fr-CA"/>
        </w:rPr>
        <w:t>sang total anticoagulé - tube EDTA</w:t>
      </w:r>
      <w:r w:rsidR="005343CE" w:rsidRPr="00527326">
        <w:rPr>
          <w:rFonts w:ascii="Arial" w:hAnsi="Arial"/>
          <w:sz w:val="24"/>
          <w:lang w:val="fr-CA"/>
        </w:rPr>
        <w:t>)</w:t>
      </w:r>
      <w:r w:rsidR="00E04E4D" w:rsidRPr="00527326">
        <w:rPr>
          <w:rFonts w:ascii="Arial" w:hAnsi="Arial"/>
          <w:sz w:val="24"/>
          <w:lang w:val="fr-CA"/>
        </w:rPr>
        <w:t>.</w:t>
      </w:r>
      <w:r w:rsidR="007D6407" w:rsidRPr="00527326">
        <w:rPr>
          <w:rFonts w:ascii="Arial" w:hAnsi="Arial"/>
          <w:sz w:val="24"/>
          <w:lang w:val="fr-CA"/>
        </w:rPr>
        <w:t xml:space="preserve"> Voir </w:t>
      </w:r>
      <w:r w:rsidR="005715DC" w:rsidRPr="00527326">
        <w:rPr>
          <w:rFonts w:ascii="Arial" w:hAnsi="Arial"/>
          <w:sz w:val="24"/>
          <w:lang w:val="fr-CA"/>
        </w:rPr>
        <w:t xml:space="preserve">la  </w:t>
      </w:r>
      <w:r w:rsidR="007D6407" w:rsidRPr="00527326">
        <w:rPr>
          <w:rFonts w:ascii="Arial" w:hAnsi="Arial"/>
          <w:sz w:val="24"/>
          <w:lang w:val="fr-CA"/>
        </w:rPr>
        <w:t>Remarque 8.2.</w:t>
      </w:r>
    </w:p>
    <w:p w:rsidR="005343CE" w:rsidRPr="00527326" w:rsidRDefault="005343CE">
      <w:pPr>
        <w:spacing w:line="228" w:lineRule="auto"/>
        <w:ind w:left="720"/>
        <w:rPr>
          <w:rFonts w:ascii="Arial" w:hAnsi="Arial"/>
          <w:sz w:val="24"/>
          <w:lang w:val="fr-CA"/>
        </w:rPr>
      </w:pPr>
    </w:p>
    <w:p w:rsidR="005343CE" w:rsidRPr="00527326" w:rsidRDefault="00E04E4D" w:rsidP="00E04E4D">
      <w:pPr>
        <w:numPr>
          <w:ilvl w:val="0"/>
          <w:numId w:val="2"/>
        </w:numPr>
        <w:tabs>
          <w:tab w:val="clear" w:pos="360"/>
          <w:tab w:val="num" w:pos="1800"/>
        </w:tabs>
        <w:spacing w:line="228" w:lineRule="auto"/>
        <w:ind w:left="180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 xml:space="preserve">Analyser les échantillons de préférence dans les deux jours suivant leur prélèvement. </w:t>
      </w:r>
      <w:r w:rsidRPr="00527326">
        <w:rPr>
          <w:rFonts w:ascii="Arial" w:hAnsi="Arial"/>
          <w:sz w:val="24"/>
          <w:lang w:val="fr-CA"/>
        </w:rPr>
        <w:br/>
      </w:r>
    </w:p>
    <w:p w:rsidR="005343CE" w:rsidRPr="00527326" w:rsidRDefault="00F436E9">
      <w:pPr>
        <w:numPr>
          <w:ilvl w:val="0"/>
          <w:numId w:val="2"/>
        </w:numPr>
        <w:tabs>
          <w:tab w:val="clear" w:pos="360"/>
          <w:tab w:val="num" w:pos="1800"/>
        </w:tabs>
        <w:spacing w:line="228" w:lineRule="auto"/>
        <w:ind w:left="180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 xml:space="preserve">Les échantillons qui ne peuvent être </w:t>
      </w:r>
      <w:r w:rsidR="00E04E4D" w:rsidRPr="00527326">
        <w:rPr>
          <w:rFonts w:ascii="Arial" w:hAnsi="Arial"/>
          <w:sz w:val="24"/>
          <w:lang w:val="fr-CA"/>
        </w:rPr>
        <w:t>analysés</w:t>
      </w:r>
      <w:r w:rsidRPr="00527326">
        <w:rPr>
          <w:rFonts w:ascii="Arial" w:hAnsi="Arial"/>
          <w:sz w:val="24"/>
          <w:lang w:val="fr-CA"/>
        </w:rPr>
        <w:t xml:space="preserve"> immédiatement doivent être entreposés à </w:t>
      </w:r>
      <w:r w:rsidR="005343CE" w:rsidRPr="00527326">
        <w:rPr>
          <w:rFonts w:ascii="Arial" w:hAnsi="Arial"/>
          <w:sz w:val="24"/>
          <w:lang w:val="fr-CA"/>
        </w:rPr>
        <w:t>4</w:t>
      </w:r>
      <w:r w:rsidR="005F524A">
        <w:rPr>
          <w:rFonts w:ascii="Arial" w:hAnsi="Arial" w:cs="Arial"/>
          <w:sz w:val="24"/>
          <w:lang w:val="fr-CA"/>
        </w:rPr>
        <w:t>º</w:t>
      </w:r>
      <w:r w:rsidR="005343CE" w:rsidRPr="00527326">
        <w:rPr>
          <w:rFonts w:ascii="Arial" w:hAnsi="Arial"/>
          <w:sz w:val="24"/>
          <w:lang w:val="fr-CA"/>
        </w:rPr>
        <w:t>C.</w:t>
      </w:r>
    </w:p>
    <w:p w:rsidR="005343CE" w:rsidRPr="00527326" w:rsidRDefault="005343CE">
      <w:pPr>
        <w:spacing w:line="228" w:lineRule="auto"/>
        <w:ind w:left="1440"/>
        <w:rPr>
          <w:rFonts w:ascii="Arial" w:hAnsi="Arial"/>
          <w:sz w:val="24"/>
          <w:lang w:val="fr-CA"/>
        </w:rPr>
      </w:pPr>
    </w:p>
    <w:p w:rsidR="005343CE" w:rsidRPr="00527326" w:rsidRDefault="00E04E4D">
      <w:pPr>
        <w:numPr>
          <w:ilvl w:val="1"/>
          <w:numId w:val="1"/>
        </w:numPr>
        <w:spacing w:line="228" w:lineRule="auto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Les globules rouges entreposés dans les segments d’une unité de donneur peuvent être analysés jusqu’à la date de péremption de l’unité</w:t>
      </w:r>
      <w:r w:rsidR="005715DC" w:rsidRPr="00527326">
        <w:rPr>
          <w:rFonts w:ascii="Arial" w:hAnsi="Arial"/>
          <w:sz w:val="24"/>
          <w:lang w:val="fr-CA"/>
        </w:rPr>
        <w:t>, s’ils sont entreposés entre 1 et 6</w:t>
      </w:r>
      <w:r w:rsidR="005F524A">
        <w:rPr>
          <w:rFonts w:ascii="Arial" w:hAnsi="Arial" w:cs="Arial"/>
          <w:sz w:val="24"/>
          <w:lang w:val="fr-CA"/>
        </w:rPr>
        <w:t>º</w:t>
      </w:r>
      <w:r w:rsidR="005715DC" w:rsidRPr="00527326">
        <w:rPr>
          <w:rFonts w:ascii="Arial" w:hAnsi="Arial"/>
          <w:sz w:val="24"/>
          <w:lang w:val="fr-CA"/>
        </w:rPr>
        <w:t>C</w:t>
      </w:r>
      <w:r w:rsidR="005343CE" w:rsidRPr="00527326">
        <w:rPr>
          <w:rFonts w:ascii="Arial" w:hAnsi="Arial"/>
          <w:sz w:val="24"/>
          <w:lang w:val="fr-CA"/>
        </w:rPr>
        <w:t>.</w:t>
      </w:r>
    </w:p>
    <w:p w:rsidR="005343CE" w:rsidRPr="00527326" w:rsidRDefault="005343CE">
      <w:pPr>
        <w:spacing w:line="228" w:lineRule="auto"/>
        <w:ind w:left="720"/>
        <w:rPr>
          <w:rFonts w:ascii="Arial" w:hAnsi="Arial"/>
          <w:sz w:val="24"/>
          <w:lang w:val="fr-CA"/>
        </w:rPr>
      </w:pPr>
    </w:p>
    <w:p w:rsidR="005343CE" w:rsidRPr="00527326" w:rsidRDefault="005343CE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  <w:lang w:val="fr-CA"/>
        </w:rPr>
      </w:pPr>
      <w:r w:rsidRPr="00527326">
        <w:rPr>
          <w:rFonts w:ascii="Arial" w:hAnsi="Arial"/>
          <w:b/>
          <w:sz w:val="28"/>
          <w:lang w:val="fr-CA"/>
        </w:rPr>
        <w:t xml:space="preserve">Matériel </w:t>
      </w:r>
    </w:p>
    <w:p w:rsidR="005343CE" w:rsidRPr="00527326" w:rsidRDefault="005343CE">
      <w:pPr>
        <w:spacing w:line="228" w:lineRule="auto"/>
        <w:rPr>
          <w:rFonts w:ascii="Arial" w:hAnsi="Arial"/>
          <w:sz w:val="24"/>
          <w:lang w:val="fr-CA"/>
        </w:rPr>
      </w:pPr>
    </w:p>
    <w:p w:rsidR="005343CE" w:rsidRPr="00527326" w:rsidRDefault="008B52A1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b/>
          <w:sz w:val="24"/>
          <w:lang w:val="fr-CA"/>
        </w:rPr>
        <w:t>Équipement</w:t>
      </w:r>
      <w:r w:rsidRPr="00527326">
        <w:rPr>
          <w:rFonts w:ascii="Arial" w:hAnsi="Arial"/>
          <w:sz w:val="24"/>
          <w:lang w:val="fr-CA"/>
        </w:rPr>
        <w:t> :</w:t>
      </w:r>
      <w:r w:rsidRPr="00527326">
        <w:rPr>
          <w:rFonts w:ascii="Arial" w:hAnsi="Arial"/>
          <w:sz w:val="24"/>
          <w:lang w:val="fr-CA"/>
        </w:rPr>
        <w:tab/>
        <w:t>centrifugeuse sérologique</w:t>
      </w:r>
    </w:p>
    <w:p w:rsidR="005343CE" w:rsidRPr="00527326" w:rsidRDefault="005343CE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="008B52A1" w:rsidRPr="00527326">
        <w:rPr>
          <w:rFonts w:ascii="Arial" w:hAnsi="Arial"/>
          <w:sz w:val="24"/>
          <w:lang w:val="fr-CA"/>
        </w:rPr>
        <w:t>laveur de cellules</w:t>
      </w:r>
    </w:p>
    <w:p w:rsidR="005343CE" w:rsidRPr="00527326" w:rsidRDefault="005343CE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="008B52A1" w:rsidRPr="00527326">
        <w:rPr>
          <w:rFonts w:ascii="Arial" w:hAnsi="Arial"/>
          <w:sz w:val="24"/>
          <w:lang w:val="fr-CA"/>
        </w:rPr>
        <w:t>support à tubes</w:t>
      </w:r>
    </w:p>
    <w:p w:rsidR="005343CE" w:rsidRPr="00527326" w:rsidRDefault="005343CE">
      <w:pPr>
        <w:spacing w:line="228" w:lineRule="auto"/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="008B52A1" w:rsidRPr="00527326">
        <w:rPr>
          <w:rFonts w:ascii="Arial" w:hAnsi="Arial"/>
          <w:sz w:val="24"/>
          <w:lang w:val="fr-CA"/>
        </w:rPr>
        <w:t xml:space="preserve">bain-marie/bloc chauffant à </w:t>
      </w:r>
      <w:r w:rsidR="005F524A">
        <w:rPr>
          <w:rFonts w:ascii="Arial" w:hAnsi="Arial"/>
          <w:sz w:val="24"/>
          <w:lang w:val="fr-CA"/>
        </w:rPr>
        <w:t>37</w:t>
      </w:r>
      <w:r w:rsidR="005F524A">
        <w:rPr>
          <w:rFonts w:ascii="Arial" w:hAnsi="Arial" w:cs="Arial"/>
          <w:sz w:val="24"/>
          <w:lang w:val="fr-CA"/>
        </w:rPr>
        <w:t>º</w:t>
      </w:r>
      <w:r w:rsidR="008B52A1" w:rsidRPr="00527326">
        <w:rPr>
          <w:rFonts w:ascii="Arial" w:hAnsi="Arial"/>
          <w:sz w:val="24"/>
          <w:lang w:val="fr-CA"/>
        </w:rPr>
        <w:t>C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="008B52A1" w:rsidRPr="00527326">
        <w:rPr>
          <w:rFonts w:ascii="Arial" w:hAnsi="Arial"/>
          <w:sz w:val="24"/>
          <w:lang w:val="fr-CA"/>
        </w:rPr>
        <w:t>microscope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</w:p>
    <w:p w:rsidR="005343CE" w:rsidRPr="00527326" w:rsidRDefault="008B52A1">
      <w:pPr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b/>
          <w:sz w:val="24"/>
          <w:lang w:val="fr-CA"/>
        </w:rPr>
        <w:t>Fournitures</w:t>
      </w:r>
      <w:r w:rsidRPr="00527326">
        <w:rPr>
          <w:rFonts w:ascii="Arial" w:hAnsi="Arial"/>
          <w:sz w:val="24"/>
          <w:lang w:val="fr-CA"/>
        </w:rPr>
        <w:t> :</w:t>
      </w:r>
      <w:r w:rsidR="005343CE"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>tubes 10 x 75 mm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="008B52A1" w:rsidRPr="00527326">
        <w:rPr>
          <w:rFonts w:ascii="Arial" w:hAnsi="Arial"/>
          <w:sz w:val="24"/>
          <w:lang w:val="fr-CA"/>
        </w:rPr>
        <w:t>pipettes sérologiques</w:t>
      </w:r>
    </w:p>
    <w:p w:rsidR="005715DC" w:rsidRPr="00527326" w:rsidRDefault="005715DC">
      <w:pPr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="005530B9" w:rsidRPr="00527326">
        <w:rPr>
          <w:rFonts w:ascii="Arial" w:hAnsi="Arial"/>
          <w:sz w:val="24"/>
          <w:lang w:val="fr-CA"/>
        </w:rPr>
        <w:t>dispositif</w:t>
      </w:r>
      <w:r w:rsidRPr="00527326">
        <w:rPr>
          <w:rFonts w:ascii="Arial" w:hAnsi="Arial"/>
          <w:sz w:val="24"/>
          <w:lang w:val="fr-CA"/>
        </w:rPr>
        <w:t xml:space="preserve"> à segment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</w:p>
    <w:p w:rsidR="005343CE" w:rsidRPr="00527326" w:rsidRDefault="0065048F">
      <w:pPr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b/>
          <w:sz w:val="24"/>
          <w:lang w:val="fr-CA"/>
        </w:rPr>
        <w:t>Réactifs </w:t>
      </w:r>
      <w:r w:rsidR="005343CE" w:rsidRPr="00527326">
        <w:rPr>
          <w:rFonts w:ascii="Arial" w:hAnsi="Arial"/>
          <w:sz w:val="24"/>
          <w:lang w:val="fr-CA"/>
        </w:rPr>
        <w:t>:</w:t>
      </w:r>
      <w:r w:rsidR="005343CE" w:rsidRPr="00527326">
        <w:rPr>
          <w:rFonts w:ascii="Arial" w:hAnsi="Arial"/>
          <w:sz w:val="24"/>
          <w:lang w:val="fr-CA"/>
        </w:rPr>
        <w:tab/>
      </w:r>
      <w:r w:rsidR="005343CE" w:rsidRPr="00527326">
        <w:rPr>
          <w:rFonts w:ascii="Arial" w:hAnsi="Arial"/>
          <w:sz w:val="24"/>
          <w:lang w:val="fr-CA"/>
        </w:rPr>
        <w:tab/>
        <w:t xml:space="preserve">cellules de panel ou de dépistage </w:t>
      </w:r>
      <w:r w:rsidR="00527326">
        <w:rPr>
          <w:rFonts w:ascii="Arial" w:hAnsi="Arial"/>
          <w:sz w:val="24"/>
          <w:lang w:val="fr-CA"/>
        </w:rPr>
        <w:t>à 3 à 5 % (</w:t>
      </w:r>
      <w:r w:rsidR="005343CE" w:rsidRPr="00527326">
        <w:rPr>
          <w:rFonts w:ascii="Arial" w:hAnsi="Arial"/>
          <w:sz w:val="24"/>
          <w:lang w:val="fr-CA"/>
        </w:rPr>
        <w:t>témoins)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  <w:t>antisérums commerciaux (et dépliant du fabricant)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="008B52A1" w:rsidRPr="00527326">
        <w:rPr>
          <w:rFonts w:ascii="Arial" w:hAnsi="Arial"/>
          <w:sz w:val="24"/>
          <w:lang w:val="fr-CA"/>
        </w:rPr>
        <w:t>anti-IgG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="008B52A1" w:rsidRPr="00527326">
        <w:rPr>
          <w:rFonts w:ascii="Arial" w:hAnsi="Arial"/>
          <w:sz w:val="24"/>
          <w:lang w:val="fr-CA"/>
        </w:rPr>
        <w:t>cellules recouvertes d'IgG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="008B52A1" w:rsidRPr="00527326">
        <w:rPr>
          <w:rFonts w:ascii="Arial" w:hAnsi="Arial"/>
          <w:sz w:val="24"/>
          <w:lang w:val="fr-CA"/>
        </w:rPr>
        <w:t>solution saline</w:t>
      </w:r>
      <w:r w:rsidR="007D6407" w:rsidRPr="00527326">
        <w:rPr>
          <w:rFonts w:ascii="Arial" w:hAnsi="Arial"/>
          <w:sz w:val="24"/>
          <w:lang w:val="fr-CA"/>
        </w:rPr>
        <w:t xml:space="preserve"> normale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b/>
          <w:sz w:val="24"/>
          <w:lang w:val="fr-CA"/>
        </w:rPr>
        <w:t xml:space="preserve">Feuilles de </w:t>
      </w:r>
      <w:r w:rsidR="0065048F" w:rsidRPr="00527326">
        <w:rPr>
          <w:rFonts w:ascii="Arial" w:hAnsi="Arial"/>
          <w:b/>
          <w:sz w:val="24"/>
          <w:lang w:val="fr-CA"/>
        </w:rPr>
        <w:t>travail </w:t>
      </w:r>
      <w:r w:rsidRPr="00527326">
        <w:rPr>
          <w:rFonts w:ascii="Arial" w:hAnsi="Arial"/>
          <w:b/>
          <w:sz w:val="24"/>
          <w:lang w:val="fr-CA"/>
        </w:rPr>
        <w:t xml:space="preserve">: </w:t>
      </w:r>
      <w:r w:rsidRPr="00527326">
        <w:rPr>
          <w:rFonts w:ascii="Arial" w:hAnsi="Arial"/>
          <w:sz w:val="24"/>
          <w:lang w:val="fr-CA"/>
        </w:rPr>
        <w:t>Typage des antigènes – EC.009F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  <w:r w:rsidRPr="00527326">
        <w:rPr>
          <w:rFonts w:ascii="Arial" w:hAnsi="Arial"/>
          <w:sz w:val="24"/>
          <w:lang w:val="fr-CA"/>
        </w:rPr>
        <w:tab/>
      </w:r>
    </w:p>
    <w:p w:rsidR="005343CE" w:rsidRPr="00527326" w:rsidRDefault="008B52A1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527326">
        <w:rPr>
          <w:rFonts w:ascii="Arial" w:hAnsi="Arial"/>
          <w:b/>
          <w:sz w:val="28"/>
          <w:lang w:val="fr-CA"/>
        </w:rPr>
        <w:t>Contrôle de la qualité</w:t>
      </w:r>
    </w:p>
    <w:p w:rsidR="005343CE" w:rsidRPr="00527326" w:rsidRDefault="005343CE">
      <w:pPr>
        <w:rPr>
          <w:rFonts w:ascii="Arial" w:hAnsi="Arial"/>
          <w:sz w:val="24"/>
          <w:lang w:val="fr-CA"/>
        </w:rPr>
      </w:pPr>
    </w:p>
    <w:p w:rsidR="005343CE" w:rsidRPr="00527326" w:rsidRDefault="00E04E4D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Les antisérums commerciaux doivent être testés avec des cellules témoins positives et négatives appropriées chaque fois que l’on s’en sert</w:t>
      </w:r>
      <w:r w:rsidR="005715DC" w:rsidRPr="00527326">
        <w:rPr>
          <w:rFonts w:ascii="Arial" w:hAnsi="Arial"/>
          <w:sz w:val="24"/>
          <w:vertAlign w:val="superscript"/>
          <w:lang w:val="fr-CA"/>
        </w:rPr>
        <w:t>9.1</w:t>
      </w:r>
      <w:r w:rsidR="005343CE" w:rsidRPr="00527326">
        <w:rPr>
          <w:rFonts w:ascii="Arial" w:hAnsi="Arial"/>
          <w:sz w:val="24"/>
          <w:lang w:val="fr-CA"/>
        </w:rPr>
        <w:t>.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</w:p>
    <w:p w:rsidR="005343CE" w:rsidRPr="00527326" w:rsidRDefault="00836891" w:rsidP="005715DC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 xml:space="preserve">La cellule témoin positive doit avoir l’expression la plus faible de l’antigène correspondant </w:t>
      </w:r>
      <w:r w:rsidR="005343CE" w:rsidRPr="00527326">
        <w:rPr>
          <w:rFonts w:ascii="Arial" w:hAnsi="Arial"/>
          <w:sz w:val="24"/>
          <w:lang w:val="fr-CA"/>
        </w:rPr>
        <w:t>(</w:t>
      </w:r>
      <w:r w:rsidRPr="00527326">
        <w:rPr>
          <w:rFonts w:ascii="Arial" w:hAnsi="Arial"/>
          <w:sz w:val="24"/>
          <w:lang w:val="fr-CA"/>
        </w:rPr>
        <w:t>c.-à-d. dosage simple</w:t>
      </w:r>
      <w:r w:rsidR="005343CE" w:rsidRPr="00527326">
        <w:rPr>
          <w:rFonts w:ascii="Arial" w:hAnsi="Arial"/>
          <w:sz w:val="24"/>
          <w:lang w:val="fr-CA"/>
        </w:rPr>
        <w:t>, o</w:t>
      </w:r>
      <w:r w:rsidRPr="00527326">
        <w:rPr>
          <w:rFonts w:ascii="Arial" w:hAnsi="Arial"/>
          <w:sz w:val="24"/>
          <w:lang w:val="fr-CA"/>
        </w:rPr>
        <w:t>u expression hétérozygote de l’antigène, le cas éch</w:t>
      </w:r>
      <w:r w:rsidR="0065048F" w:rsidRPr="00527326">
        <w:rPr>
          <w:rFonts w:ascii="Arial" w:hAnsi="Arial"/>
          <w:sz w:val="24"/>
          <w:lang w:val="fr-CA"/>
        </w:rPr>
        <w:t>é</w:t>
      </w:r>
      <w:r w:rsidRPr="00527326">
        <w:rPr>
          <w:rFonts w:ascii="Arial" w:hAnsi="Arial"/>
          <w:sz w:val="24"/>
          <w:lang w:val="fr-CA"/>
        </w:rPr>
        <w:t>ant</w:t>
      </w:r>
      <w:r w:rsidR="005343CE" w:rsidRPr="00527326">
        <w:rPr>
          <w:rFonts w:ascii="Arial" w:hAnsi="Arial"/>
          <w:sz w:val="24"/>
          <w:lang w:val="fr-CA"/>
        </w:rPr>
        <w:t>)</w:t>
      </w:r>
      <w:r w:rsidR="005715DC" w:rsidRPr="00527326">
        <w:rPr>
          <w:rFonts w:ascii="Arial" w:hAnsi="Arial"/>
          <w:sz w:val="24"/>
          <w:vertAlign w:val="superscript"/>
          <w:lang w:val="fr-CA"/>
        </w:rPr>
        <w:t>9.1</w:t>
      </w:r>
      <w:r w:rsidR="005343CE" w:rsidRPr="00527326">
        <w:rPr>
          <w:rFonts w:ascii="Arial" w:hAnsi="Arial"/>
          <w:sz w:val="24"/>
          <w:lang w:val="fr-CA"/>
        </w:rPr>
        <w:t>.</w:t>
      </w:r>
      <w:r w:rsidR="005F524A">
        <w:rPr>
          <w:rFonts w:ascii="Arial" w:hAnsi="Arial"/>
          <w:sz w:val="24"/>
          <w:lang w:val="fr-CA"/>
        </w:rPr>
        <w:t xml:space="preserve"> </w:t>
      </w:r>
      <w:r w:rsidRPr="00527326">
        <w:rPr>
          <w:rFonts w:ascii="Arial" w:hAnsi="Arial"/>
          <w:sz w:val="24"/>
          <w:lang w:val="fr-CA"/>
        </w:rPr>
        <w:t xml:space="preserve">Le témoin négatif ne doit pas révéler l’antigène correspondant. </w:t>
      </w:r>
    </w:p>
    <w:p w:rsidR="005343CE" w:rsidRPr="00527326" w:rsidRDefault="005343CE">
      <w:pPr>
        <w:ind w:left="1440"/>
        <w:rPr>
          <w:rFonts w:ascii="Arial" w:hAnsi="Arial"/>
          <w:sz w:val="24"/>
          <w:lang w:val="fr-CA"/>
        </w:rPr>
      </w:pPr>
    </w:p>
    <w:p w:rsidR="005343CE" w:rsidRPr="00527326" w:rsidRDefault="008B52A1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527326">
        <w:rPr>
          <w:rFonts w:ascii="Arial" w:hAnsi="Arial"/>
          <w:b/>
          <w:sz w:val="28"/>
          <w:lang w:val="fr-CA"/>
        </w:rPr>
        <w:t>Procédures</w:t>
      </w:r>
    </w:p>
    <w:p w:rsidR="005343CE" w:rsidRPr="00527326" w:rsidRDefault="005343CE">
      <w:pPr>
        <w:rPr>
          <w:rFonts w:ascii="Arial" w:hAnsi="Arial"/>
          <w:sz w:val="24"/>
          <w:lang w:val="fr-CA"/>
        </w:rPr>
      </w:pPr>
    </w:p>
    <w:p w:rsidR="005343CE" w:rsidRPr="00527326" w:rsidRDefault="008B52A1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Vérifier l'acceptabilité des échantillons.</w:t>
      </w:r>
      <w:r w:rsidR="005343CE" w:rsidRPr="00527326">
        <w:rPr>
          <w:rFonts w:ascii="Arial" w:hAnsi="Arial"/>
          <w:sz w:val="24"/>
          <w:lang w:val="fr-CA"/>
        </w:rPr>
        <w:t xml:space="preserve"> </w:t>
      </w:r>
      <w:r w:rsidRPr="00527326">
        <w:rPr>
          <w:rFonts w:ascii="Arial" w:hAnsi="Arial"/>
          <w:sz w:val="24"/>
          <w:lang w:val="fr-CA"/>
        </w:rPr>
        <w:t>Voir PA.002 - Acceptation ou rejet des échantillons.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</w:p>
    <w:p w:rsidR="005343CE" w:rsidRPr="00527326" w:rsidRDefault="00836891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Remplir une feuille de typage d’antigènes du patient</w:t>
      </w:r>
      <w:r w:rsidR="005343CE" w:rsidRPr="00527326">
        <w:rPr>
          <w:rFonts w:ascii="Arial" w:hAnsi="Arial"/>
          <w:sz w:val="24"/>
          <w:lang w:val="fr-CA"/>
        </w:rPr>
        <w:t xml:space="preserve"> – </w:t>
      </w:r>
      <w:r w:rsidRPr="00527326">
        <w:rPr>
          <w:rFonts w:ascii="Arial" w:hAnsi="Arial"/>
          <w:sz w:val="24"/>
          <w:lang w:val="fr-CA"/>
        </w:rPr>
        <w:t>EC</w:t>
      </w:r>
      <w:r w:rsidR="005343CE" w:rsidRPr="00527326">
        <w:rPr>
          <w:rFonts w:ascii="Arial" w:hAnsi="Arial"/>
          <w:sz w:val="24"/>
          <w:lang w:val="fr-CA"/>
        </w:rPr>
        <w:t>.009F.</w:t>
      </w:r>
      <w:r w:rsidRPr="00527326">
        <w:rPr>
          <w:rFonts w:ascii="Arial" w:hAnsi="Arial"/>
          <w:sz w:val="24"/>
          <w:lang w:val="fr-CA"/>
        </w:rPr>
        <w:t xml:space="preserve"> T</w:t>
      </w:r>
      <w:r w:rsidR="005343CE" w:rsidRPr="00527326">
        <w:rPr>
          <w:rFonts w:ascii="Arial" w:hAnsi="Arial"/>
          <w:sz w:val="24"/>
          <w:lang w:val="fr-CA"/>
        </w:rPr>
        <w:t>ranscri</w:t>
      </w:r>
      <w:r w:rsidRPr="00527326">
        <w:rPr>
          <w:rFonts w:ascii="Arial" w:hAnsi="Arial"/>
          <w:sz w:val="24"/>
          <w:lang w:val="fr-CA"/>
        </w:rPr>
        <w:t>re sur la feuille de travail le nom et le numéro d’</w:t>
      </w:r>
      <w:r w:rsidR="005343CE" w:rsidRPr="00527326">
        <w:rPr>
          <w:rFonts w:ascii="Arial" w:hAnsi="Arial"/>
          <w:sz w:val="24"/>
          <w:lang w:val="fr-CA"/>
        </w:rPr>
        <w:t xml:space="preserve">identification </w:t>
      </w:r>
      <w:r w:rsidRPr="00527326">
        <w:rPr>
          <w:rFonts w:ascii="Arial" w:hAnsi="Arial"/>
          <w:sz w:val="24"/>
          <w:lang w:val="fr-CA"/>
        </w:rPr>
        <w:t>du patient à partir de l’échantillon ou se servir d’une feuille de travail informatisée</w:t>
      </w:r>
      <w:r w:rsidR="005343CE" w:rsidRPr="00527326">
        <w:rPr>
          <w:rFonts w:ascii="Arial" w:hAnsi="Arial"/>
          <w:sz w:val="24"/>
          <w:lang w:val="fr-CA"/>
        </w:rPr>
        <w:t>.</w:t>
      </w:r>
    </w:p>
    <w:p w:rsidR="005715DC" w:rsidRPr="00527326" w:rsidRDefault="005715DC" w:rsidP="005715DC">
      <w:pPr>
        <w:ind w:left="720"/>
        <w:rPr>
          <w:rFonts w:ascii="Arial" w:hAnsi="Arial"/>
          <w:sz w:val="24"/>
          <w:lang w:val="fr-CA"/>
        </w:rPr>
      </w:pPr>
    </w:p>
    <w:p w:rsidR="005343CE" w:rsidRPr="00527326" w:rsidRDefault="000400BD" w:rsidP="005715DC">
      <w:pPr>
        <w:ind w:left="1440"/>
        <w:rPr>
          <w:rFonts w:ascii="Arial" w:hAnsi="Arial"/>
          <w:sz w:val="24"/>
          <w:lang w:val="fr-CA"/>
        </w:rPr>
      </w:pPr>
      <w:r w:rsidRPr="00AE4E6F">
        <w:rPr>
          <w:rFonts w:ascii="Arial" w:hAnsi="Arial"/>
          <w:sz w:val="24"/>
          <w:lang w:val="fr-CA"/>
        </w:rPr>
        <w:t>Pour le typage d’unités de donneur, remplir une feuille de typage d’antigènes d’unités de donneur</w:t>
      </w:r>
      <w:r w:rsidR="005343CE" w:rsidRPr="00AE4E6F">
        <w:rPr>
          <w:rFonts w:ascii="Arial" w:hAnsi="Arial"/>
          <w:sz w:val="24"/>
          <w:lang w:val="fr-CA"/>
        </w:rPr>
        <w:t xml:space="preserve"> – </w:t>
      </w:r>
      <w:r w:rsidRPr="00AE4E6F">
        <w:rPr>
          <w:rFonts w:ascii="Arial" w:hAnsi="Arial"/>
          <w:sz w:val="24"/>
          <w:lang w:val="fr-CA"/>
        </w:rPr>
        <w:t>EC</w:t>
      </w:r>
      <w:r w:rsidR="005343CE" w:rsidRPr="00AE4E6F">
        <w:rPr>
          <w:rFonts w:ascii="Arial" w:hAnsi="Arial"/>
          <w:sz w:val="24"/>
          <w:lang w:val="fr-CA"/>
        </w:rPr>
        <w:t>.009F</w:t>
      </w:r>
      <w:r w:rsidR="005715DC" w:rsidRPr="00AE4E6F">
        <w:rPr>
          <w:rFonts w:ascii="Arial" w:hAnsi="Arial"/>
          <w:sz w:val="24"/>
          <w:lang w:val="fr-CA"/>
        </w:rPr>
        <w:t>. Pour estimer le nombre d’unités à tester, voir la Remarque 8.1. S</w:t>
      </w:r>
      <w:r w:rsidRPr="00AE4E6F">
        <w:rPr>
          <w:rFonts w:ascii="Arial" w:hAnsi="Arial"/>
          <w:sz w:val="24"/>
          <w:lang w:val="fr-CA"/>
        </w:rPr>
        <w:t>i la feuille est informatisée, procéder à l’entrée des résultats à l’ordinateur</w:t>
      </w:r>
      <w:r w:rsidR="005343CE" w:rsidRPr="00AE4E6F">
        <w:rPr>
          <w:rFonts w:ascii="Arial" w:hAnsi="Arial"/>
          <w:sz w:val="24"/>
          <w:lang w:val="fr-CA"/>
        </w:rPr>
        <w:t>.</w:t>
      </w:r>
      <w:r w:rsidR="005343CE" w:rsidRPr="00527326">
        <w:rPr>
          <w:rFonts w:ascii="Arial" w:hAnsi="Arial"/>
          <w:sz w:val="24"/>
          <w:lang w:val="fr-CA"/>
        </w:rPr>
        <w:t xml:space="preserve"> </w:t>
      </w:r>
    </w:p>
    <w:p w:rsidR="005343CE" w:rsidRPr="00527326" w:rsidRDefault="005343CE">
      <w:pPr>
        <w:ind w:left="1440"/>
        <w:rPr>
          <w:rFonts w:ascii="Arial" w:hAnsi="Arial"/>
          <w:sz w:val="24"/>
          <w:lang w:val="fr-CA"/>
        </w:rPr>
      </w:pPr>
    </w:p>
    <w:p w:rsidR="005343CE" w:rsidRPr="00527326" w:rsidRDefault="005343C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Confirm</w:t>
      </w:r>
      <w:r w:rsidR="000400BD" w:rsidRPr="00527326">
        <w:rPr>
          <w:rFonts w:ascii="Arial" w:hAnsi="Arial"/>
          <w:sz w:val="24"/>
          <w:lang w:val="fr-CA"/>
        </w:rPr>
        <w:t>er que le patient n’a pas reçu de transfusion</w:t>
      </w:r>
      <w:r w:rsidRPr="00527326">
        <w:rPr>
          <w:rFonts w:ascii="Arial" w:hAnsi="Arial"/>
          <w:sz w:val="24"/>
          <w:lang w:val="fr-CA"/>
        </w:rPr>
        <w:t xml:space="preserve"> </w:t>
      </w:r>
      <w:r w:rsidR="000400BD" w:rsidRPr="00527326">
        <w:rPr>
          <w:rFonts w:ascii="Arial" w:hAnsi="Arial"/>
          <w:sz w:val="24"/>
          <w:lang w:val="fr-CA"/>
        </w:rPr>
        <w:t>au cours des 3 derniers mois</w:t>
      </w:r>
      <w:r w:rsidRPr="00527326">
        <w:rPr>
          <w:rFonts w:ascii="Arial" w:hAnsi="Arial"/>
          <w:sz w:val="24"/>
          <w:lang w:val="fr-CA"/>
        </w:rPr>
        <w:t xml:space="preserve">. </w:t>
      </w:r>
      <w:r w:rsidR="000400BD" w:rsidRPr="00527326">
        <w:rPr>
          <w:rFonts w:ascii="Arial" w:hAnsi="Arial"/>
          <w:sz w:val="24"/>
          <w:lang w:val="fr-CA"/>
        </w:rPr>
        <w:t xml:space="preserve">Inscrire cette information sur la feuille de travail. </w:t>
      </w:r>
    </w:p>
    <w:p w:rsidR="005530B9" w:rsidRPr="00527326" w:rsidRDefault="005530B9" w:rsidP="005530B9">
      <w:pPr>
        <w:ind w:left="1440"/>
        <w:rPr>
          <w:rFonts w:ascii="Arial" w:hAnsi="Arial"/>
          <w:sz w:val="24"/>
          <w:lang w:val="fr-CA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20"/>
      </w:tblGrid>
      <w:tr w:rsidR="005715DC" w:rsidRPr="007844CB" w:rsidTr="002A2E42">
        <w:tc>
          <w:tcPr>
            <w:tcW w:w="2410" w:type="dxa"/>
            <w:shd w:val="clear" w:color="auto" w:fill="BFBFBF"/>
          </w:tcPr>
          <w:p w:rsidR="005715DC" w:rsidRPr="007844CB" w:rsidRDefault="005715DC">
            <w:pPr>
              <w:rPr>
                <w:rFonts w:ascii="Arial" w:hAnsi="Arial"/>
                <w:b/>
                <w:i/>
                <w:sz w:val="22"/>
                <w:lang w:val="fr-CA"/>
              </w:rPr>
            </w:pPr>
            <w:r w:rsidRPr="007844CB">
              <w:rPr>
                <w:rFonts w:ascii="Arial" w:hAnsi="Arial"/>
                <w:b/>
                <w:i/>
                <w:sz w:val="22"/>
                <w:lang w:val="fr-CA"/>
              </w:rPr>
              <w:t>Si…</w:t>
            </w:r>
          </w:p>
        </w:tc>
        <w:tc>
          <w:tcPr>
            <w:tcW w:w="4920" w:type="dxa"/>
            <w:shd w:val="clear" w:color="auto" w:fill="BFBFBF"/>
          </w:tcPr>
          <w:p w:rsidR="005715DC" w:rsidRPr="007844CB" w:rsidRDefault="005715DC">
            <w:pPr>
              <w:rPr>
                <w:rFonts w:ascii="Arial" w:hAnsi="Arial"/>
                <w:b/>
                <w:i/>
                <w:sz w:val="22"/>
                <w:lang w:val="fr-CA"/>
              </w:rPr>
            </w:pPr>
            <w:r w:rsidRPr="007844CB">
              <w:rPr>
                <w:rFonts w:ascii="Arial" w:hAnsi="Arial"/>
                <w:b/>
                <w:i/>
                <w:sz w:val="22"/>
                <w:lang w:val="fr-CA"/>
              </w:rPr>
              <w:t>Vous devez…</w:t>
            </w:r>
          </w:p>
        </w:tc>
      </w:tr>
      <w:tr w:rsidR="005715DC" w:rsidRPr="007844CB" w:rsidTr="007844CB">
        <w:tc>
          <w:tcPr>
            <w:tcW w:w="2410" w:type="dxa"/>
          </w:tcPr>
          <w:p w:rsidR="005715DC" w:rsidRPr="007844CB" w:rsidRDefault="005530B9">
            <w:pPr>
              <w:rPr>
                <w:rFonts w:ascii="Arial" w:hAnsi="Arial"/>
                <w:sz w:val="22"/>
                <w:lang w:val="fr-CA"/>
              </w:rPr>
            </w:pPr>
            <w:r w:rsidRPr="007844CB">
              <w:rPr>
                <w:rFonts w:ascii="Arial" w:hAnsi="Arial"/>
                <w:sz w:val="22"/>
                <w:lang w:val="fr-CA"/>
              </w:rPr>
              <w:t>le patient a reçu une transfusion</w:t>
            </w:r>
            <w:r w:rsidRPr="007844CB">
              <w:rPr>
                <w:rFonts w:ascii="Arial" w:hAnsi="Arial"/>
                <w:b/>
                <w:sz w:val="22"/>
                <w:lang w:val="fr-CA"/>
              </w:rPr>
              <w:t xml:space="preserve"> </w:t>
            </w:r>
            <w:r w:rsidRPr="007844CB">
              <w:rPr>
                <w:rFonts w:ascii="Arial" w:hAnsi="Arial"/>
                <w:sz w:val="22"/>
                <w:lang w:val="fr-CA"/>
              </w:rPr>
              <w:t>au cours des 3 derniers mois,</w:t>
            </w:r>
          </w:p>
        </w:tc>
        <w:tc>
          <w:tcPr>
            <w:tcW w:w="4920" w:type="dxa"/>
          </w:tcPr>
          <w:p w:rsidR="005715DC" w:rsidRPr="007844CB" w:rsidRDefault="005530B9" w:rsidP="005530B9">
            <w:pPr>
              <w:rPr>
                <w:rFonts w:ascii="Arial" w:hAnsi="Arial"/>
                <w:sz w:val="22"/>
                <w:lang w:val="fr-CA"/>
              </w:rPr>
            </w:pPr>
            <w:r w:rsidRPr="007844CB">
              <w:rPr>
                <w:rFonts w:ascii="Arial" w:hAnsi="Arial"/>
                <w:sz w:val="22"/>
                <w:lang w:val="fr-CA"/>
              </w:rPr>
              <w:t>utiliser un échantillon prétransfusionnel s’il y en a un. Voir la Remarque 8.2.</w:t>
            </w:r>
          </w:p>
        </w:tc>
      </w:tr>
    </w:tbl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</w:p>
    <w:p w:rsidR="005343CE" w:rsidRPr="00527326" w:rsidRDefault="00C32C50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Si le typage d’antigènes se fait à l’aide d’un test indirect à l’</w:t>
      </w:r>
      <w:r w:rsidR="005343CE" w:rsidRPr="00527326">
        <w:rPr>
          <w:rFonts w:ascii="Arial" w:hAnsi="Arial"/>
          <w:sz w:val="24"/>
          <w:lang w:val="fr-CA"/>
        </w:rPr>
        <w:t>antiglobulin</w:t>
      </w:r>
      <w:r w:rsidRPr="00527326">
        <w:rPr>
          <w:rFonts w:ascii="Arial" w:hAnsi="Arial"/>
          <w:sz w:val="24"/>
          <w:lang w:val="fr-CA"/>
        </w:rPr>
        <w:t xml:space="preserve">e, confirmer qu’un </w:t>
      </w:r>
      <w:r w:rsidR="005343CE" w:rsidRPr="00527326">
        <w:rPr>
          <w:rFonts w:ascii="Arial" w:hAnsi="Arial"/>
          <w:sz w:val="24"/>
          <w:lang w:val="fr-CA"/>
        </w:rPr>
        <w:t>autocontr</w:t>
      </w:r>
      <w:r w:rsidRPr="00527326">
        <w:rPr>
          <w:rFonts w:ascii="Arial" w:hAnsi="Arial"/>
          <w:sz w:val="24"/>
          <w:lang w:val="fr-CA"/>
        </w:rPr>
        <w:t>ôle par TIA ou test direct à l’antiglobuline (TDA) sur les cellules est négati</w:t>
      </w:r>
      <w:r w:rsidR="001E322C" w:rsidRPr="00527326">
        <w:rPr>
          <w:rFonts w:ascii="Arial" w:hAnsi="Arial"/>
          <w:sz w:val="24"/>
          <w:lang w:val="fr-CA"/>
        </w:rPr>
        <w:t>f</w:t>
      </w:r>
      <w:r w:rsidR="005343CE" w:rsidRPr="00527326">
        <w:rPr>
          <w:rFonts w:ascii="Arial" w:hAnsi="Arial"/>
          <w:sz w:val="24"/>
          <w:lang w:val="fr-CA"/>
        </w:rPr>
        <w:t xml:space="preserve">. </w:t>
      </w:r>
      <w:r w:rsidRPr="00527326">
        <w:rPr>
          <w:rFonts w:ascii="Arial" w:hAnsi="Arial"/>
          <w:sz w:val="24"/>
          <w:lang w:val="fr-CA"/>
        </w:rPr>
        <w:t>Inscrire les résultats de l’autocontrôle (par TIA ou TDA) sur la feuille de travail</w:t>
      </w:r>
      <w:r w:rsidR="005343CE" w:rsidRPr="00527326">
        <w:rPr>
          <w:rFonts w:ascii="Arial" w:hAnsi="Arial"/>
          <w:sz w:val="24"/>
          <w:lang w:val="fr-CA"/>
        </w:rPr>
        <w:t>.</w:t>
      </w:r>
    </w:p>
    <w:p w:rsidR="005530B9" w:rsidRPr="00527326" w:rsidRDefault="005530B9" w:rsidP="005530B9">
      <w:pPr>
        <w:ind w:left="1440"/>
        <w:rPr>
          <w:rFonts w:ascii="Arial" w:hAnsi="Arial"/>
          <w:sz w:val="24"/>
          <w:lang w:val="fr-CA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20"/>
      </w:tblGrid>
      <w:tr w:rsidR="005530B9" w:rsidRPr="007844CB" w:rsidTr="002A2E42">
        <w:tc>
          <w:tcPr>
            <w:tcW w:w="2410" w:type="dxa"/>
            <w:shd w:val="clear" w:color="auto" w:fill="BFBFBF"/>
          </w:tcPr>
          <w:p w:rsidR="005530B9" w:rsidRPr="007844CB" w:rsidRDefault="005530B9" w:rsidP="007844CB">
            <w:pPr>
              <w:rPr>
                <w:rFonts w:ascii="Arial" w:hAnsi="Arial"/>
                <w:b/>
                <w:i/>
                <w:sz w:val="22"/>
                <w:lang w:val="fr-CA"/>
              </w:rPr>
            </w:pPr>
            <w:r w:rsidRPr="007844CB">
              <w:rPr>
                <w:rFonts w:ascii="Arial" w:hAnsi="Arial"/>
                <w:b/>
                <w:i/>
                <w:sz w:val="22"/>
                <w:lang w:val="fr-CA"/>
              </w:rPr>
              <w:t>Si…</w:t>
            </w:r>
          </w:p>
        </w:tc>
        <w:tc>
          <w:tcPr>
            <w:tcW w:w="4920" w:type="dxa"/>
            <w:shd w:val="clear" w:color="auto" w:fill="BFBFBF"/>
          </w:tcPr>
          <w:p w:rsidR="005530B9" w:rsidRPr="007844CB" w:rsidRDefault="005530B9" w:rsidP="007844CB">
            <w:pPr>
              <w:rPr>
                <w:rFonts w:ascii="Arial" w:hAnsi="Arial"/>
                <w:b/>
                <w:i/>
                <w:sz w:val="22"/>
                <w:lang w:val="fr-CA"/>
              </w:rPr>
            </w:pPr>
            <w:r w:rsidRPr="007844CB">
              <w:rPr>
                <w:rFonts w:ascii="Arial" w:hAnsi="Arial"/>
                <w:b/>
                <w:i/>
                <w:sz w:val="22"/>
                <w:lang w:val="fr-CA"/>
              </w:rPr>
              <w:t>Vous devez…</w:t>
            </w:r>
          </w:p>
        </w:tc>
      </w:tr>
      <w:tr w:rsidR="005530B9" w:rsidRPr="007844CB" w:rsidTr="007844CB">
        <w:tc>
          <w:tcPr>
            <w:tcW w:w="2410" w:type="dxa"/>
          </w:tcPr>
          <w:p w:rsidR="005530B9" w:rsidRPr="007844CB" w:rsidRDefault="005530B9" w:rsidP="005530B9">
            <w:pPr>
              <w:rPr>
                <w:rFonts w:ascii="Arial" w:hAnsi="Arial"/>
                <w:sz w:val="22"/>
                <w:lang w:val="fr-CA"/>
              </w:rPr>
            </w:pPr>
            <w:r w:rsidRPr="007844CB">
              <w:rPr>
                <w:rFonts w:ascii="Arial" w:hAnsi="Arial"/>
                <w:sz w:val="22"/>
                <w:lang w:val="fr-CA"/>
              </w:rPr>
              <w:t xml:space="preserve">les résultats de l’autocontrôle par TIA ou du TDA révèlent seulement de l’anti-C3, </w:t>
            </w:r>
          </w:p>
        </w:tc>
        <w:tc>
          <w:tcPr>
            <w:tcW w:w="4920" w:type="dxa"/>
          </w:tcPr>
          <w:p w:rsidR="005530B9" w:rsidRPr="007844CB" w:rsidRDefault="005530B9" w:rsidP="005530B9">
            <w:pPr>
              <w:rPr>
                <w:rFonts w:ascii="Arial" w:hAnsi="Arial"/>
                <w:sz w:val="22"/>
                <w:lang w:val="fr-CA"/>
              </w:rPr>
            </w:pPr>
            <w:r w:rsidRPr="007844CB">
              <w:rPr>
                <w:rFonts w:ascii="Arial" w:hAnsi="Arial"/>
                <w:sz w:val="22"/>
                <w:lang w:val="fr-CA"/>
              </w:rPr>
              <w:t xml:space="preserve"> faire un typage d’antigènes au moyen d’un test indirect à l’antiglobuline à condition de vous servir d’un réactif anti-IgG </w:t>
            </w:r>
          </w:p>
        </w:tc>
      </w:tr>
      <w:tr w:rsidR="005530B9" w:rsidRPr="007844CB" w:rsidTr="007844CB">
        <w:tc>
          <w:tcPr>
            <w:tcW w:w="2410" w:type="dxa"/>
          </w:tcPr>
          <w:p w:rsidR="005530B9" w:rsidRPr="007844CB" w:rsidRDefault="005530B9" w:rsidP="005530B9">
            <w:pPr>
              <w:rPr>
                <w:rFonts w:ascii="Arial" w:hAnsi="Arial"/>
                <w:sz w:val="22"/>
                <w:lang w:val="fr-CA"/>
              </w:rPr>
            </w:pPr>
            <w:r w:rsidRPr="007844CB">
              <w:rPr>
                <w:rFonts w:ascii="Arial" w:hAnsi="Arial"/>
                <w:sz w:val="22"/>
                <w:lang w:val="fr-CA"/>
              </w:rPr>
              <w:t>les résultats de l’autocontrôle par TIA ou du TDA sont positifs avec un anti-IgG,</w:t>
            </w:r>
          </w:p>
        </w:tc>
        <w:tc>
          <w:tcPr>
            <w:tcW w:w="4920" w:type="dxa"/>
          </w:tcPr>
          <w:p w:rsidR="005530B9" w:rsidRPr="007844CB" w:rsidRDefault="005530B9" w:rsidP="005530B9">
            <w:pPr>
              <w:rPr>
                <w:rFonts w:ascii="Arial" w:hAnsi="Arial"/>
                <w:sz w:val="22"/>
                <w:lang w:val="fr-CA"/>
              </w:rPr>
            </w:pPr>
            <w:r w:rsidRPr="007844CB">
              <w:rPr>
                <w:rFonts w:ascii="Arial" w:hAnsi="Arial"/>
                <w:sz w:val="22"/>
                <w:lang w:val="fr-CA"/>
              </w:rPr>
              <w:t>ne pas procéder au typage d’antigènes au moyen d’un test indirect à l’antiglobuline. Pour l’épreuve, se servir d’antisérum monoclonal ou prétraiter les cellules par chloroquine ou EGA</w:t>
            </w:r>
            <w:r w:rsidRPr="007844CB">
              <w:rPr>
                <w:rFonts w:ascii="Arial" w:hAnsi="Arial"/>
                <w:sz w:val="24"/>
                <w:lang w:val="fr-CA"/>
              </w:rPr>
              <w:t>. Voir PS.011 ou 012.</w:t>
            </w:r>
          </w:p>
        </w:tc>
      </w:tr>
    </w:tbl>
    <w:p w:rsidR="005343CE" w:rsidRPr="00527326" w:rsidRDefault="005343CE">
      <w:pPr>
        <w:ind w:left="1440"/>
        <w:rPr>
          <w:rFonts w:ascii="Arial" w:hAnsi="Arial"/>
          <w:sz w:val="24"/>
          <w:lang w:val="fr-CA"/>
        </w:rPr>
      </w:pPr>
    </w:p>
    <w:p w:rsidR="005343CE" w:rsidRPr="00527326" w:rsidRDefault="008B52A1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Préparer une suspension cellulaire à 3 % avec les cellules du patient.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</w:p>
    <w:p w:rsidR="005343CE" w:rsidRPr="00527326" w:rsidRDefault="008B52A1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Inscrire le nom de famille complet du patient sur le tube; copier les renseignements à partir de l'échantillon et non du formulaire de demande.</w:t>
      </w:r>
      <w:r w:rsidR="005343CE" w:rsidRPr="00527326">
        <w:rPr>
          <w:rFonts w:ascii="Arial" w:hAnsi="Arial"/>
          <w:sz w:val="24"/>
          <w:lang w:val="fr-CA"/>
        </w:rPr>
        <w:t xml:space="preserve"> </w:t>
      </w:r>
      <w:r w:rsidRPr="00527326">
        <w:rPr>
          <w:rFonts w:ascii="Arial" w:hAnsi="Arial"/>
          <w:sz w:val="24"/>
          <w:lang w:val="fr-CA"/>
        </w:rPr>
        <w:t xml:space="preserve">On peut utiliser une étiquette </w:t>
      </w:r>
      <w:r w:rsidR="0065048F" w:rsidRPr="00527326">
        <w:rPr>
          <w:rFonts w:ascii="Arial" w:hAnsi="Arial"/>
          <w:sz w:val="24"/>
          <w:lang w:val="fr-CA"/>
        </w:rPr>
        <w:t>préimprimée</w:t>
      </w:r>
      <w:r w:rsidRPr="00527326">
        <w:rPr>
          <w:rFonts w:ascii="Arial" w:hAnsi="Arial"/>
          <w:sz w:val="24"/>
          <w:lang w:val="fr-CA"/>
        </w:rPr>
        <w:t xml:space="preserve"> (s’assurer que les renseignements correspondent exactement à ce qui figure sur le formulaire de demande).</w:t>
      </w:r>
    </w:p>
    <w:p w:rsidR="005343CE" w:rsidRPr="00527326" w:rsidRDefault="008B52A1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Placer 2 gouttes de sang total (ou l'équivalent : 1 goutte de culot globulaire) dans le tube étiqueté.</w:t>
      </w:r>
    </w:p>
    <w:p w:rsidR="005343CE" w:rsidRPr="00527326" w:rsidRDefault="008B52A1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 xml:space="preserve">Ajouter 0,5 à 1,0 ml de solution saline </w:t>
      </w:r>
      <w:r w:rsidR="007D6407" w:rsidRPr="00527326">
        <w:rPr>
          <w:rFonts w:ascii="Arial" w:hAnsi="Arial"/>
          <w:sz w:val="24"/>
          <w:lang w:val="fr-CA"/>
        </w:rPr>
        <w:t xml:space="preserve">normale </w:t>
      </w:r>
      <w:r w:rsidRPr="00527326">
        <w:rPr>
          <w:rFonts w:ascii="Arial" w:hAnsi="Arial"/>
          <w:sz w:val="24"/>
          <w:lang w:val="fr-CA"/>
        </w:rPr>
        <w:t>et mélanger pour remettre en suspension à 3 %.</w:t>
      </w:r>
    </w:p>
    <w:p w:rsidR="005530B9" w:rsidRPr="00527326" w:rsidRDefault="008B52A1" w:rsidP="005530B9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Comparer à une suspension cellulaire commerciale à 3 % et ajuster au besoin la concentration de la suspension.</w:t>
      </w:r>
    </w:p>
    <w:p w:rsidR="005530B9" w:rsidRPr="00527326" w:rsidRDefault="005530B9" w:rsidP="005530B9">
      <w:pPr>
        <w:pStyle w:val="ListParagraph"/>
        <w:rPr>
          <w:rFonts w:ascii="Arial" w:hAnsi="Arial"/>
          <w:sz w:val="24"/>
          <w:lang w:val="fr-CA"/>
        </w:rPr>
      </w:pPr>
    </w:p>
    <w:p w:rsidR="005343CE" w:rsidRPr="00527326" w:rsidRDefault="00192416" w:rsidP="005530B9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Prépar</w:t>
      </w:r>
      <w:r w:rsidR="007D6407" w:rsidRPr="00527326">
        <w:rPr>
          <w:rFonts w:ascii="Arial" w:hAnsi="Arial"/>
          <w:sz w:val="24"/>
          <w:lang w:val="fr-CA"/>
        </w:rPr>
        <w:t>ation d’un</w:t>
      </w:r>
      <w:r w:rsidRPr="00527326">
        <w:rPr>
          <w:rFonts w:ascii="Arial" w:hAnsi="Arial"/>
          <w:sz w:val="24"/>
          <w:lang w:val="fr-CA"/>
        </w:rPr>
        <w:t xml:space="preserve">e suspension cellulaire à </w:t>
      </w:r>
      <w:r w:rsidR="005343CE" w:rsidRPr="00527326">
        <w:rPr>
          <w:rFonts w:ascii="Arial" w:hAnsi="Arial"/>
          <w:sz w:val="24"/>
          <w:lang w:val="fr-CA"/>
        </w:rPr>
        <w:t>3</w:t>
      </w:r>
      <w:r w:rsidRPr="00527326">
        <w:rPr>
          <w:rFonts w:ascii="Arial" w:hAnsi="Arial"/>
          <w:sz w:val="24"/>
          <w:lang w:val="fr-CA"/>
        </w:rPr>
        <w:t> </w:t>
      </w:r>
      <w:r w:rsidR="005343CE" w:rsidRPr="00527326">
        <w:rPr>
          <w:rFonts w:ascii="Arial" w:hAnsi="Arial"/>
          <w:sz w:val="24"/>
          <w:lang w:val="fr-CA"/>
        </w:rPr>
        <w:t xml:space="preserve">% </w:t>
      </w:r>
      <w:r w:rsidRPr="00527326">
        <w:rPr>
          <w:rFonts w:ascii="Arial" w:hAnsi="Arial"/>
          <w:sz w:val="24"/>
          <w:lang w:val="fr-CA"/>
        </w:rPr>
        <w:t>d’unités de donneur </w:t>
      </w:r>
      <w:r w:rsidR="005343CE" w:rsidRPr="00527326">
        <w:rPr>
          <w:rFonts w:ascii="Arial" w:hAnsi="Arial"/>
          <w:sz w:val="24"/>
          <w:lang w:val="fr-CA"/>
        </w:rPr>
        <w:t>:</w:t>
      </w:r>
    </w:p>
    <w:p w:rsidR="005343CE" w:rsidRPr="00527326" w:rsidRDefault="005343CE">
      <w:pPr>
        <w:ind w:left="1440"/>
        <w:rPr>
          <w:rFonts w:ascii="Arial" w:hAnsi="Arial"/>
          <w:sz w:val="24"/>
          <w:lang w:val="fr-CA"/>
        </w:rPr>
      </w:pPr>
    </w:p>
    <w:p w:rsidR="005343CE" w:rsidRPr="00527326" w:rsidRDefault="00192416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À l’aide du dispositif à segment, laisser tomber une goutte de sang dans un tube à essai étiqueté comportant le numéro complet du donneur</w:t>
      </w:r>
      <w:r w:rsidR="005343CE" w:rsidRPr="00527326">
        <w:rPr>
          <w:rFonts w:ascii="Arial" w:hAnsi="Arial"/>
          <w:sz w:val="24"/>
          <w:lang w:val="fr-CA"/>
        </w:rPr>
        <w:t>.</w:t>
      </w:r>
    </w:p>
    <w:p w:rsidR="005343CE" w:rsidRPr="00527326" w:rsidRDefault="008B52A1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Ajouter de 0,5 à 1,0</w:t>
      </w:r>
      <w:r w:rsidR="00192416" w:rsidRPr="00527326">
        <w:rPr>
          <w:rFonts w:ascii="Arial" w:hAnsi="Arial"/>
          <w:sz w:val="24"/>
          <w:lang w:val="fr-CA"/>
        </w:rPr>
        <w:t xml:space="preserve"> </w:t>
      </w:r>
      <w:r w:rsidRPr="00527326">
        <w:rPr>
          <w:rFonts w:ascii="Arial" w:hAnsi="Arial"/>
          <w:sz w:val="24"/>
          <w:lang w:val="fr-CA"/>
        </w:rPr>
        <w:t>m</w:t>
      </w:r>
      <w:r w:rsidR="00192416" w:rsidRPr="00527326">
        <w:rPr>
          <w:rFonts w:ascii="Arial" w:hAnsi="Arial"/>
          <w:sz w:val="24"/>
          <w:lang w:val="fr-CA"/>
        </w:rPr>
        <w:t>l</w:t>
      </w:r>
      <w:r w:rsidRPr="00527326">
        <w:rPr>
          <w:rFonts w:ascii="Arial" w:hAnsi="Arial"/>
          <w:sz w:val="24"/>
          <w:lang w:val="fr-CA"/>
        </w:rPr>
        <w:t xml:space="preserve"> de solution saline </w:t>
      </w:r>
      <w:r w:rsidR="007D6407" w:rsidRPr="00527326">
        <w:rPr>
          <w:rFonts w:ascii="Arial" w:hAnsi="Arial"/>
          <w:sz w:val="24"/>
          <w:lang w:val="fr-CA"/>
        </w:rPr>
        <w:t xml:space="preserve">normale </w:t>
      </w:r>
      <w:r w:rsidRPr="00527326">
        <w:rPr>
          <w:rFonts w:ascii="Arial" w:hAnsi="Arial"/>
          <w:sz w:val="24"/>
          <w:lang w:val="fr-CA"/>
        </w:rPr>
        <w:t>pour remettre en suspension à 3 %.</w:t>
      </w:r>
    </w:p>
    <w:p w:rsidR="005343CE" w:rsidRPr="00527326" w:rsidRDefault="008B52A1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Comparer à une suspension cellulaire commerciale à 3 % et ajuster au besoin la concentration de la suspension.</w:t>
      </w:r>
    </w:p>
    <w:p w:rsidR="005343CE" w:rsidRPr="00527326" w:rsidRDefault="005343CE">
      <w:pPr>
        <w:ind w:left="1440"/>
        <w:rPr>
          <w:rFonts w:ascii="Arial" w:hAnsi="Arial"/>
          <w:sz w:val="24"/>
          <w:lang w:val="fr-CA"/>
        </w:rPr>
      </w:pPr>
    </w:p>
    <w:p w:rsidR="005343CE" w:rsidRPr="00527326" w:rsidRDefault="005343C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R</w:t>
      </w:r>
      <w:r w:rsidR="00E04E4D" w:rsidRPr="00527326">
        <w:rPr>
          <w:rFonts w:ascii="Arial" w:hAnsi="Arial"/>
          <w:sz w:val="24"/>
          <w:lang w:val="fr-CA"/>
        </w:rPr>
        <w:t xml:space="preserve">evoir le dépliant courant du fabricant </w:t>
      </w:r>
      <w:r w:rsidR="005530B9" w:rsidRPr="00527326">
        <w:rPr>
          <w:rFonts w:ascii="Arial" w:hAnsi="Arial"/>
          <w:sz w:val="24"/>
          <w:lang w:val="fr-CA"/>
        </w:rPr>
        <w:t xml:space="preserve">de l’antisérum utilisé </w:t>
      </w:r>
      <w:r w:rsidR="00E04E4D" w:rsidRPr="00527326">
        <w:rPr>
          <w:rFonts w:ascii="Arial" w:hAnsi="Arial"/>
          <w:sz w:val="24"/>
          <w:lang w:val="fr-CA"/>
        </w:rPr>
        <w:t>pour obtenir des directives précises quant au nombre de gouttes, à la méthode, à la température et au temps d’</w:t>
      </w:r>
      <w:r w:rsidRPr="00527326">
        <w:rPr>
          <w:rFonts w:ascii="Arial" w:hAnsi="Arial"/>
          <w:sz w:val="24"/>
          <w:lang w:val="fr-CA"/>
        </w:rPr>
        <w:t>incubation.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</w:p>
    <w:p w:rsidR="005343CE" w:rsidRPr="00527326" w:rsidRDefault="00A677B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Choisir les cellules appropriées comme témoins positif et négatif à partie de cellules du panel ou de cellules de dépistage</w:t>
      </w:r>
      <w:r w:rsidR="005343CE" w:rsidRPr="00527326">
        <w:rPr>
          <w:rFonts w:ascii="Arial" w:hAnsi="Arial"/>
          <w:sz w:val="24"/>
          <w:lang w:val="fr-CA"/>
        </w:rPr>
        <w:t>.</w:t>
      </w:r>
    </w:p>
    <w:p w:rsidR="005343CE" w:rsidRPr="00527326" w:rsidRDefault="002C17A3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Le témoin négatif ne doit pas être porteur de l’antigène.</w:t>
      </w:r>
    </w:p>
    <w:p w:rsidR="005343CE" w:rsidRPr="00527326" w:rsidRDefault="002C17A3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 xml:space="preserve">La cellule choisie comme témoin positif doit avoir l’expression la plus faible de l’antigène </w:t>
      </w:r>
      <w:r w:rsidR="005343CE" w:rsidRPr="00527326">
        <w:rPr>
          <w:rFonts w:ascii="Arial" w:hAnsi="Arial"/>
          <w:sz w:val="24"/>
          <w:lang w:val="fr-CA"/>
        </w:rPr>
        <w:t>[</w:t>
      </w:r>
      <w:r w:rsidRPr="00527326">
        <w:rPr>
          <w:rFonts w:ascii="Arial" w:hAnsi="Arial"/>
          <w:sz w:val="24"/>
          <w:lang w:val="fr-CA"/>
        </w:rPr>
        <w:t xml:space="preserve">c.-à-d. si possible, le témoin positif doit avoir une dose simple </w:t>
      </w:r>
      <w:r w:rsidR="005343CE" w:rsidRPr="00527326">
        <w:rPr>
          <w:rFonts w:ascii="Arial" w:hAnsi="Arial"/>
          <w:sz w:val="24"/>
          <w:lang w:val="fr-CA"/>
        </w:rPr>
        <w:t>(h</w:t>
      </w:r>
      <w:r w:rsidRPr="00527326">
        <w:rPr>
          <w:rFonts w:ascii="Arial" w:hAnsi="Arial"/>
          <w:sz w:val="24"/>
          <w:lang w:val="fr-CA"/>
        </w:rPr>
        <w:t>é</w:t>
      </w:r>
      <w:r w:rsidR="005343CE" w:rsidRPr="00527326">
        <w:rPr>
          <w:rFonts w:ascii="Arial" w:hAnsi="Arial"/>
          <w:sz w:val="24"/>
          <w:lang w:val="fr-CA"/>
        </w:rPr>
        <w:t>t</w:t>
      </w:r>
      <w:r w:rsidRPr="00527326">
        <w:rPr>
          <w:rFonts w:ascii="Arial" w:hAnsi="Arial"/>
          <w:sz w:val="24"/>
          <w:lang w:val="fr-CA"/>
        </w:rPr>
        <w:t>é</w:t>
      </w:r>
      <w:r w:rsidR="005343CE" w:rsidRPr="00527326">
        <w:rPr>
          <w:rFonts w:ascii="Arial" w:hAnsi="Arial"/>
          <w:sz w:val="24"/>
          <w:lang w:val="fr-CA"/>
        </w:rPr>
        <w:t>rozygo</w:t>
      </w:r>
      <w:r w:rsidRPr="00527326">
        <w:rPr>
          <w:rFonts w:ascii="Arial" w:hAnsi="Arial"/>
          <w:sz w:val="24"/>
          <w:lang w:val="fr-CA"/>
        </w:rPr>
        <w:t>te</w:t>
      </w:r>
      <w:r w:rsidR="005343CE" w:rsidRPr="00527326">
        <w:rPr>
          <w:rFonts w:ascii="Arial" w:hAnsi="Arial"/>
          <w:sz w:val="24"/>
          <w:lang w:val="fr-CA"/>
        </w:rPr>
        <w:t xml:space="preserve">) </w:t>
      </w:r>
      <w:r w:rsidRPr="00527326">
        <w:rPr>
          <w:rFonts w:ascii="Arial" w:hAnsi="Arial"/>
          <w:sz w:val="24"/>
          <w:lang w:val="fr-CA"/>
        </w:rPr>
        <w:t>de l’</w:t>
      </w:r>
      <w:r w:rsidR="005343CE" w:rsidRPr="00527326">
        <w:rPr>
          <w:rFonts w:ascii="Arial" w:hAnsi="Arial"/>
          <w:sz w:val="24"/>
          <w:lang w:val="fr-CA"/>
        </w:rPr>
        <w:t>antig</w:t>
      </w:r>
      <w:r w:rsidRPr="00527326">
        <w:rPr>
          <w:rFonts w:ascii="Arial" w:hAnsi="Arial"/>
          <w:sz w:val="24"/>
          <w:lang w:val="fr-CA"/>
        </w:rPr>
        <w:t>ène</w:t>
      </w:r>
      <w:r w:rsidR="005343CE" w:rsidRPr="00527326">
        <w:rPr>
          <w:rFonts w:ascii="Arial" w:hAnsi="Arial"/>
          <w:sz w:val="24"/>
          <w:lang w:val="fr-CA"/>
        </w:rPr>
        <w:t>].</w:t>
      </w:r>
    </w:p>
    <w:p w:rsidR="005343CE" w:rsidRPr="00527326" w:rsidRDefault="005343CE">
      <w:pPr>
        <w:ind w:left="1440"/>
        <w:rPr>
          <w:rFonts w:ascii="Arial" w:hAnsi="Arial"/>
          <w:sz w:val="24"/>
          <w:lang w:val="fr-CA"/>
        </w:rPr>
      </w:pPr>
    </w:p>
    <w:p w:rsidR="005343CE" w:rsidRPr="00527326" w:rsidRDefault="002C17A3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 xml:space="preserve">Étiqueter les tubes </w:t>
      </w:r>
      <w:r w:rsidR="0065048F" w:rsidRPr="00527326">
        <w:rPr>
          <w:rFonts w:ascii="Arial" w:hAnsi="Arial"/>
          <w:sz w:val="24"/>
          <w:lang w:val="fr-CA"/>
        </w:rPr>
        <w:t>comme suit </w:t>
      </w:r>
      <w:r w:rsidR="005343CE" w:rsidRPr="00527326">
        <w:rPr>
          <w:rFonts w:ascii="Arial" w:hAnsi="Arial"/>
          <w:sz w:val="24"/>
          <w:lang w:val="fr-CA"/>
        </w:rPr>
        <w:t>:</w:t>
      </w:r>
    </w:p>
    <w:p w:rsidR="005343CE" w:rsidRPr="00527326" w:rsidRDefault="002C17A3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Un tube portant les trois premières lettres du nom de famille du patient et le nombre requis de tubes pour les unités de donneurs à l’étude, chacun portant les quatre derniers chiffres du donneur approprié et le nom de l’</w:t>
      </w:r>
      <w:r w:rsidR="0065048F" w:rsidRPr="00527326">
        <w:rPr>
          <w:rFonts w:ascii="Arial" w:hAnsi="Arial"/>
          <w:sz w:val="24"/>
          <w:lang w:val="fr-CA"/>
        </w:rPr>
        <w:t>antigène </w:t>
      </w:r>
      <w:r w:rsidR="005343CE" w:rsidRPr="00527326">
        <w:rPr>
          <w:rFonts w:ascii="Arial" w:hAnsi="Arial"/>
          <w:sz w:val="24"/>
          <w:lang w:val="fr-CA"/>
        </w:rPr>
        <w:t xml:space="preserve">: </w:t>
      </w:r>
      <w:r w:rsidRPr="00527326">
        <w:rPr>
          <w:rFonts w:ascii="Arial" w:hAnsi="Arial"/>
          <w:sz w:val="24"/>
          <w:lang w:val="fr-CA"/>
        </w:rPr>
        <w:t xml:space="preserve">p. ex. </w:t>
      </w:r>
      <w:r w:rsidR="005343CE" w:rsidRPr="00527326">
        <w:rPr>
          <w:rFonts w:ascii="Arial" w:hAnsi="Arial"/>
          <w:sz w:val="24"/>
          <w:lang w:val="fr-CA"/>
        </w:rPr>
        <w:t>JON Fy</w:t>
      </w:r>
      <w:r w:rsidR="005343CE" w:rsidRPr="00527326">
        <w:rPr>
          <w:rFonts w:ascii="Arial" w:hAnsi="Arial"/>
          <w:sz w:val="24"/>
          <w:vertAlign w:val="superscript"/>
          <w:lang w:val="fr-CA"/>
        </w:rPr>
        <w:t>a</w:t>
      </w:r>
      <w:r w:rsidR="005343CE" w:rsidRPr="00527326">
        <w:rPr>
          <w:rFonts w:ascii="Arial" w:hAnsi="Arial"/>
          <w:sz w:val="24"/>
          <w:lang w:val="fr-CA"/>
        </w:rPr>
        <w:t xml:space="preserve"> (o</w:t>
      </w:r>
      <w:r w:rsidRPr="00527326">
        <w:rPr>
          <w:rFonts w:ascii="Arial" w:hAnsi="Arial"/>
          <w:sz w:val="24"/>
          <w:lang w:val="fr-CA"/>
        </w:rPr>
        <w:t>u</w:t>
      </w:r>
      <w:r w:rsidR="005343CE" w:rsidRPr="00527326">
        <w:rPr>
          <w:rFonts w:ascii="Arial" w:hAnsi="Arial"/>
          <w:sz w:val="24"/>
          <w:lang w:val="fr-CA"/>
        </w:rPr>
        <w:t xml:space="preserve"> 4267 Fy</w:t>
      </w:r>
      <w:r w:rsidR="005343CE" w:rsidRPr="00527326">
        <w:rPr>
          <w:rFonts w:ascii="Arial" w:hAnsi="Arial"/>
          <w:sz w:val="24"/>
          <w:vertAlign w:val="superscript"/>
          <w:lang w:val="fr-CA"/>
        </w:rPr>
        <w:t>a</w:t>
      </w:r>
      <w:r w:rsidR="005343CE" w:rsidRPr="00527326">
        <w:rPr>
          <w:rFonts w:ascii="Arial" w:hAnsi="Arial"/>
          <w:sz w:val="24"/>
          <w:lang w:val="fr-CA"/>
        </w:rPr>
        <w:t>).</w:t>
      </w:r>
    </w:p>
    <w:p w:rsidR="005343CE" w:rsidRPr="00527326" w:rsidRDefault="002C17A3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 xml:space="preserve">Un </w:t>
      </w:r>
      <w:r w:rsidR="005343CE" w:rsidRPr="00527326">
        <w:rPr>
          <w:rFonts w:ascii="Arial" w:hAnsi="Arial"/>
          <w:sz w:val="24"/>
          <w:lang w:val="fr-CA"/>
        </w:rPr>
        <w:t xml:space="preserve">tube </w:t>
      </w:r>
      <w:r w:rsidRPr="00527326">
        <w:rPr>
          <w:rFonts w:ascii="Arial" w:hAnsi="Arial"/>
          <w:sz w:val="24"/>
          <w:lang w:val="fr-CA"/>
        </w:rPr>
        <w:t xml:space="preserve">pour le témoin </w:t>
      </w:r>
      <w:r w:rsidR="0065048F" w:rsidRPr="00527326">
        <w:rPr>
          <w:rFonts w:ascii="Arial" w:hAnsi="Arial"/>
          <w:sz w:val="24"/>
          <w:lang w:val="fr-CA"/>
        </w:rPr>
        <w:t>positif </w:t>
      </w:r>
      <w:r w:rsidR="005343CE" w:rsidRPr="00527326">
        <w:rPr>
          <w:rFonts w:ascii="Arial" w:hAnsi="Arial"/>
          <w:sz w:val="24"/>
          <w:lang w:val="fr-CA"/>
        </w:rPr>
        <w:t xml:space="preserve">: </w:t>
      </w:r>
      <w:r w:rsidRPr="00527326">
        <w:rPr>
          <w:rFonts w:ascii="Arial" w:hAnsi="Arial"/>
          <w:sz w:val="24"/>
          <w:lang w:val="fr-CA"/>
        </w:rPr>
        <w:t>p. ex. « </w:t>
      </w:r>
      <w:r w:rsidR="005343CE" w:rsidRPr="00527326">
        <w:rPr>
          <w:rFonts w:ascii="Arial" w:hAnsi="Arial"/>
          <w:sz w:val="24"/>
          <w:lang w:val="fr-CA"/>
        </w:rPr>
        <w:t>Fy</w:t>
      </w:r>
      <w:r w:rsidR="005343CE" w:rsidRPr="00527326">
        <w:rPr>
          <w:rFonts w:ascii="Arial" w:hAnsi="Arial"/>
          <w:sz w:val="24"/>
          <w:vertAlign w:val="superscript"/>
          <w:lang w:val="fr-CA"/>
        </w:rPr>
        <w:t xml:space="preserve">a </w:t>
      </w:r>
      <w:r w:rsidR="005343CE" w:rsidRPr="00527326">
        <w:rPr>
          <w:rFonts w:ascii="Arial" w:hAnsi="Arial"/>
          <w:sz w:val="24"/>
          <w:lang w:val="fr-CA"/>
        </w:rPr>
        <w:t>+</w:t>
      </w:r>
      <w:r w:rsidRPr="00527326">
        <w:rPr>
          <w:rFonts w:ascii="Arial" w:hAnsi="Arial"/>
          <w:sz w:val="24"/>
          <w:lang w:val="fr-CA"/>
        </w:rPr>
        <w:t> »</w:t>
      </w:r>
      <w:r w:rsidR="005343CE" w:rsidRPr="00527326">
        <w:rPr>
          <w:rFonts w:ascii="Arial" w:hAnsi="Arial"/>
          <w:sz w:val="24"/>
          <w:lang w:val="fr-CA"/>
        </w:rPr>
        <w:t>.</w:t>
      </w:r>
    </w:p>
    <w:p w:rsidR="005343CE" w:rsidRPr="00527326" w:rsidRDefault="002C17A3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 xml:space="preserve">Un tube pour le témoin négatif </w:t>
      </w:r>
      <w:r w:rsidR="005343CE" w:rsidRPr="00527326">
        <w:rPr>
          <w:rFonts w:ascii="Arial" w:hAnsi="Arial"/>
          <w:sz w:val="24"/>
          <w:lang w:val="fr-CA"/>
        </w:rPr>
        <w:t xml:space="preserve">: </w:t>
      </w:r>
      <w:r w:rsidRPr="00527326">
        <w:rPr>
          <w:rFonts w:ascii="Arial" w:hAnsi="Arial"/>
          <w:sz w:val="24"/>
          <w:lang w:val="fr-CA"/>
        </w:rPr>
        <w:t>p. ex. « </w:t>
      </w:r>
      <w:r w:rsidR="005343CE" w:rsidRPr="00527326">
        <w:rPr>
          <w:rFonts w:ascii="Arial" w:hAnsi="Arial"/>
          <w:sz w:val="24"/>
          <w:lang w:val="fr-CA"/>
        </w:rPr>
        <w:t>Fy</w:t>
      </w:r>
      <w:r w:rsidR="005343CE" w:rsidRPr="00527326">
        <w:rPr>
          <w:rFonts w:ascii="Arial" w:hAnsi="Arial"/>
          <w:sz w:val="24"/>
          <w:vertAlign w:val="superscript"/>
          <w:lang w:val="fr-CA"/>
        </w:rPr>
        <w:t xml:space="preserve">a </w:t>
      </w:r>
      <w:r w:rsidRPr="00527326">
        <w:rPr>
          <w:rFonts w:ascii="Arial" w:hAnsi="Arial"/>
          <w:sz w:val="24"/>
          <w:lang w:val="fr-CA"/>
        </w:rPr>
        <w:t>– »</w:t>
      </w:r>
      <w:r w:rsidR="005343CE" w:rsidRPr="00527326">
        <w:rPr>
          <w:rFonts w:ascii="Arial" w:hAnsi="Arial"/>
          <w:sz w:val="24"/>
          <w:lang w:val="fr-CA"/>
        </w:rPr>
        <w:t>.</w:t>
      </w:r>
    </w:p>
    <w:p w:rsidR="00BA58E1" w:rsidRPr="00527326" w:rsidRDefault="00BA58E1">
      <w:pPr>
        <w:numPr>
          <w:ilvl w:val="2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Noter le numéro du panel et celui des cellules utilisées comme témoins positif et négatif.</w:t>
      </w:r>
    </w:p>
    <w:p w:rsidR="00BA58E1" w:rsidRPr="00527326" w:rsidRDefault="00BA58E1">
      <w:pPr>
        <w:ind w:left="1440"/>
        <w:rPr>
          <w:rFonts w:ascii="Arial" w:hAnsi="Arial"/>
          <w:sz w:val="24"/>
          <w:lang w:val="fr-CA"/>
        </w:rPr>
      </w:pPr>
    </w:p>
    <w:p w:rsidR="005343CE" w:rsidRPr="00527326" w:rsidRDefault="00BA58E1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 xml:space="preserve">Ajouter </w:t>
      </w:r>
      <w:r w:rsidR="00192416" w:rsidRPr="00527326">
        <w:rPr>
          <w:rFonts w:ascii="Arial" w:hAnsi="Arial"/>
          <w:sz w:val="24"/>
          <w:lang w:val="fr-CA"/>
        </w:rPr>
        <w:t>le nombre approprié de gouttes (conformément au dépliant du fabricant) et inscrire le numéro de lot et la date de péremption de l’antisérum sur la feuille de travail ou à l’ordinateur</w:t>
      </w:r>
      <w:r w:rsidR="005343CE" w:rsidRPr="00527326">
        <w:rPr>
          <w:rFonts w:ascii="Arial" w:hAnsi="Arial"/>
          <w:sz w:val="24"/>
          <w:lang w:val="fr-CA"/>
        </w:rPr>
        <w:t>.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</w:p>
    <w:p w:rsidR="005343CE" w:rsidRPr="00527326" w:rsidRDefault="005343C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A</w:t>
      </w:r>
      <w:r w:rsidR="00192416" w:rsidRPr="00527326">
        <w:rPr>
          <w:rFonts w:ascii="Arial" w:hAnsi="Arial"/>
          <w:sz w:val="24"/>
          <w:lang w:val="fr-CA"/>
        </w:rPr>
        <w:t>jouter 1 goutte de suspension des cellules du patient</w:t>
      </w:r>
      <w:r w:rsidR="00BA58E1" w:rsidRPr="00527326">
        <w:rPr>
          <w:rFonts w:ascii="Arial" w:hAnsi="Arial"/>
          <w:sz w:val="24"/>
          <w:lang w:val="fr-CA"/>
        </w:rPr>
        <w:t xml:space="preserve">, du donneur ou de la suspension appropriée de cellules témoins </w:t>
      </w:r>
      <w:r w:rsidR="00192416" w:rsidRPr="00527326">
        <w:rPr>
          <w:rFonts w:ascii="Arial" w:hAnsi="Arial"/>
          <w:sz w:val="24"/>
          <w:lang w:val="fr-CA"/>
        </w:rPr>
        <w:t>aux tubes appropriés</w:t>
      </w:r>
      <w:r w:rsidRPr="00527326">
        <w:rPr>
          <w:rFonts w:ascii="Arial" w:hAnsi="Arial"/>
          <w:sz w:val="24"/>
          <w:lang w:val="fr-CA"/>
        </w:rPr>
        <w:t>.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</w:p>
    <w:p w:rsidR="005343CE" w:rsidRPr="00527326" w:rsidRDefault="00C92EF2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Mélanger tous les tubes.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</w:p>
    <w:p w:rsidR="005343CE" w:rsidRPr="00527326" w:rsidRDefault="008526A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 xml:space="preserve">Conformément aux directives du dépliant du fabricant, procéder  </w:t>
      </w:r>
      <w:r w:rsidR="007D6407" w:rsidRPr="00527326">
        <w:rPr>
          <w:rFonts w:ascii="Arial" w:hAnsi="Arial"/>
          <w:sz w:val="24"/>
          <w:lang w:val="fr-CA"/>
        </w:rPr>
        <w:t>aux étapes selon les directives.</w:t>
      </w:r>
    </w:p>
    <w:p w:rsidR="005343CE" w:rsidRPr="00527326" w:rsidRDefault="005343CE">
      <w:pPr>
        <w:rPr>
          <w:rFonts w:ascii="Arial" w:hAnsi="Arial"/>
          <w:sz w:val="24"/>
          <w:lang w:val="fr-CA"/>
        </w:rPr>
      </w:pPr>
    </w:p>
    <w:p w:rsidR="005343CE" w:rsidRPr="00527326" w:rsidRDefault="008526A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Ajouter des cellules recouvertes d’</w:t>
      </w:r>
      <w:r w:rsidR="005343CE" w:rsidRPr="00527326">
        <w:rPr>
          <w:rFonts w:ascii="Arial" w:hAnsi="Arial"/>
          <w:sz w:val="24"/>
          <w:lang w:val="fr-CA"/>
        </w:rPr>
        <w:t>IgG</w:t>
      </w:r>
      <w:r w:rsidRPr="00527326">
        <w:rPr>
          <w:rFonts w:ascii="Arial" w:hAnsi="Arial"/>
          <w:sz w:val="24"/>
          <w:lang w:val="fr-CA"/>
        </w:rPr>
        <w:t xml:space="preserve"> à tous les résultats négatifs au TIA</w:t>
      </w:r>
      <w:r w:rsidR="005343CE" w:rsidRPr="00527326">
        <w:rPr>
          <w:rFonts w:ascii="Arial" w:hAnsi="Arial"/>
          <w:sz w:val="24"/>
          <w:lang w:val="fr-CA"/>
        </w:rPr>
        <w:t>; centrifuge</w:t>
      </w:r>
      <w:r w:rsidRPr="00527326">
        <w:rPr>
          <w:rFonts w:ascii="Arial" w:hAnsi="Arial"/>
          <w:sz w:val="24"/>
          <w:lang w:val="fr-CA"/>
        </w:rPr>
        <w:t>r</w:t>
      </w:r>
      <w:r w:rsidR="005343CE" w:rsidRPr="00527326">
        <w:rPr>
          <w:rFonts w:ascii="Arial" w:hAnsi="Arial"/>
          <w:sz w:val="24"/>
          <w:lang w:val="fr-CA"/>
        </w:rPr>
        <w:t xml:space="preserve">, </w:t>
      </w:r>
      <w:r w:rsidRPr="00527326">
        <w:rPr>
          <w:rFonts w:ascii="Arial" w:hAnsi="Arial"/>
          <w:sz w:val="24"/>
          <w:lang w:val="fr-CA"/>
        </w:rPr>
        <w:t xml:space="preserve">remettre en suspension et faire une lecture </w:t>
      </w:r>
      <w:r w:rsidR="005343CE" w:rsidRPr="00527326">
        <w:rPr>
          <w:rFonts w:ascii="Arial" w:hAnsi="Arial"/>
          <w:sz w:val="24"/>
          <w:lang w:val="fr-CA"/>
        </w:rPr>
        <w:t>macroscopi</w:t>
      </w:r>
      <w:r w:rsidRPr="00527326">
        <w:rPr>
          <w:rFonts w:ascii="Arial" w:hAnsi="Arial"/>
          <w:sz w:val="24"/>
          <w:lang w:val="fr-CA"/>
        </w:rPr>
        <w:t>que</w:t>
      </w:r>
      <w:r w:rsidR="005343CE" w:rsidRPr="00527326">
        <w:rPr>
          <w:rFonts w:ascii="Arial" w:hAnsi="Arial"/>
          <w:sz w:val="24"/>
          <w:lang w:val="fr-CA"/>
        </w:rPr>
        <w:t xml:space="preserve">. </w:t>
      </w:r>
      <w:r w:rsidRPr="00527326">
        <w:rPr>
          <w:rFonts w:ascii="Arial" w:hAnsi="Arial"/>
          <w:sz w:val="24"/>
          <w:lang w:val="fr-CA"/>
        </w:rPr>
        <w:t>Inscrire les résultats</w:t>
      </w:r>
      <w:r w:rsidR="005343CE" w:rsidRPr="00527326">
        <w:rPr>
          <w:rFonts w:ascii="Arial" w:hAnsi="Arial"/>
          <w:sz w:val="24"/>
          <w:lang w:val="fr-CA"/>
        </w:rPr>
        <w:t xml:space="preserve">. </w:t>
      </w:r>
      <w:r w:rsidR="00C92EF2" w:rsidRPr="00527326">
        <w:rPr>
          <w:rFonts w:ascii="Arial" w:hAnsi="Arial"/>
          <w:sz w:val="24"/>
          <w:lang w:val="fr-CA"/>
        </w:rPr>
        <w:t xml:space="preserve">En l’absence d’agglutination </w:t>
      </w:r>
      <w:r w:rsidR="00BA58E1" w:rsidRPr="00527326">
        <w:rPr>
          <w:rFonts w:ascii="Arial" w:hAnsi="Arial"/>
          <w:sz w:val="24"/>
          <w:lang w:val="fr-CA"/>
        </w:rPr>
        <w:t>macroscopique</w:t>
      </w:r>
      <w:r w:rsidR="00C92EF2" w:rsidRPr="00527326">
        <w:rPr>
          <w:rFonts w:ascii="Arial" w:hAnsi="Arial"/>
          <w:sz w:val="24"/>
          <w:lang w:val="fr-CA"/>
        </w:rPr>
        <w:t xml:space="preserve">, il faut répéter le test et les </w:t>
      </w:r>
      <w:r w:rsidR="00BC708F" w:rsidRPr="00527326">
        <w:rPr>
          <w:rFonts w:ascii="Arial" w:hAnsi="Arial"/>
          <w:sz w:val="24"/>
          <w:lang w:val="fr-CA"/>
        </w:rPr>
        <w:t>témoins</w:t>
      </w:r>
      <w:r w:rsidR="00C92EF2" w:rsidRPr="00527326">
        <w:rPr>
          <w:rFonts w:ascii="Arial" w:hAnsi="Arial"/>
          <w:sz w:val="24"/>
          <w:lang w:val="fr-CA"/>
        </w:rPr>
        <w:t>.</w:t>
      </w:r>
      <w:r w:rsidR="00BA58E1" w:rsidRPr="00527326">
        <w:rPr>
          <w:rFonts w:ascii="Arial" w:hAnsi="Arial"/>
          <w:sz w:val="24"/>
          <w:lang w:val="fr-CA"/>
        </w:rPr>
        <w:t xml:space="preserve"> Consulter les directives du fabricant.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</w:p>
    <w:p w:rsidR="005343CE" w:rsidRPr="00527326" w:rsidRDefault="00C92EF2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Mettre ses initiales ou signer et inscrire l'heure et la date de la conclusion de l'épreuve sur la feuille de travail ou à l'ordinateur.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</w:p>
    <w:p w:rsidR="005343CE" w:rsidRPr="00527326" w:rsidRDefault="008526A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Inscrire le résultat du typage d’antigènes. V</w:t>
      </w:r>
      <w:r w:rsidR="00C92EF2" w:rsidRPr="00527326">
        <w:rPr>
          <w:rFonts w:ascii="Arial" w:hAnsi="Arial"/>
          <w:sz w:val="24"/>
          <w:lang w:val="fr-CA"/>
        </w:rPr>
        <w:t>oir 7.0 – Documentation.</w:t>
      </w:r>
    </w:p>
    <w:p w:rsidR="005343CE" w:rsidRDefault="005343CE">
      <w:pPr>
        <w:ind w:left="720"/>
        <w:rPr>
          <w:rFonts w:ascii="Arial" w:hAnsi="Arial"/>
          <w:sz w:val="24"/>
          <w:lang w:val="fr-CA"/>
        </w:rPr>
      </w:pPr>
    </w:p>
    <w:p w:rsidR="00AE4E6F" w:rsidRDefault="00AE4E6F">
      <w:pPr>
        <w:ind w:left="720"/>
        <w:rPr>
          <w:rFonts w:ascii="Arial" w:hAnsi="Arial"/>
          <w:sz w:val="24"/>
          <w:lang w:val="fr-CA"/>
        </w:rPr>
      </w:pPr>
    </w:p>
    <w:p w:rsidR="00AE4E6F" w:rsidRPr="00527326" w:rsidRDefault="00AE4E6F">
      <w:pPr>
        <w:ind w:left="720"/>
        <w:rPr>
          <w:rFonts w:ascii="Arial" w:hAnsi="Arial"/>
          <w:sz w:val="24"/>
          <w:lang w:val="fr-CA"/>
        </w:rPr>
      </w:pPr>
    </w:p>
    <w:p w:rsidR="005343CE" w:rsidRPr="00527326" w:rsidRDefault="00C92EF2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527326">
        <w:rPr>
          <w:rFonts w:ascii="Arial" w:hAnsi="Arial"/>
          <w:b/>
          <w:sz w:val="28"/>
          <w:lang w:val="fr-CA"/>
        </w:rPr>
        <w:t>Documentation</w:t>
      </w:r>
    </w:p>
    <w:p w:rsidR="005343CE" w:rsidRPr="00527326" w:rsidRDefault="005343CE">
      <w:pPr>
        <w:rPr>
          <w:rFonts w:ascii="Arial" w:hAnsi="Arial"/>
          <w:sz w:val="24"/>
          <w:lang w:val="fr-CA"/>
        </w:rPr>
      </w:pPr>
    </w:p>
    <w:p w:rsidR="005343CE" w:rsidRPr="00527326" w:rsidRDefault="00192416" w:rsidP="00BA58E1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Une a</w:t>
      </w:r>
      <w:r w:rsidR="005343CE" w:rsidRPr="00527326">
        <w:rPr>
          <w:rFonts w:ascii="Arial" w:hAnsi="Arial"/>
          <w:sz w:val="24"/>
          <w:lang w:val="fr-CA"/>
        </w:rPr>
        <w:t xml:space="preserve">gglutination </w:t>
      </w:r>
      <w:r w:rsidR="00BA58E1" w:rsidRPr="00527326">
        <w:rPr>
          <w:rFonts w:ascii="Arial" w:hAnsi="Arial"/>
          <w:sz w:val="24"/>
          <w:lang w:val="fr-CA"/>
        </w:rPr>
        <w:t xml:space="preserve">macroscopique </w:t>
      </w:r>
      <w:r w:rsidRPr="00527326">
        <w:rPr>
          <w:rFonts w:ascii="Arial" w:hAnsi="Arial"/>
          <w:sz w:val="24"/>
          <w:lang w:val="fr-CA"/>
        </w:rPr>
        <w:t>avec un antisérum spécifique indique la présence de l’antigène correspondant sur les cellules</w:t>
      </w:r>
      <w:r w:rsidR="005343CE" w:rsidRPr="00527326">
        <w:rPr>
          <w:rFonts w:ascii="Arial" w:hAnsi="Arial"/>
          <w:sz w:val="24"/>
          <w:lang w:val="fr-CA"/>
        </w:rPr>
        <w:t>.</w:t>
      </w:r>
      <w:r w:rsidR="00BA58E1" w:rsidRPr="00527326">
        <w:rPr>
          <w:rFonts w:ascii="Arial" w:hAnsi="Arial"/>
          <w:sz w:val="24"/>
          <w:lang w:val="fr-CA"/>
        </w:rPr>
        <w:t xml:space="preserve"> </w:t>
      </w:r>
      <w:r w:rsidRPr="00527326">
        <w:rPr>
          <w:rFonts w:ascii="Arial" w:hAnsi="Arial"/>
          <w:sz w:val="24"/>
          <w:lang w:val="fr-CA"/>
        </w:rPr>
        <w:t>L’absence d’agglutination avec un antisérum spécifique indique l’absence de l’antigène correspondant sur les cellules.</w:t>
      </w:r>
      <w:r w:rsidR="00BA58E1" w:rsidRPr="00527326">
        <w:rPr>
          <w:rFonts w:ascii="Arial" w:hAnsi="Arial"/>
          <w:sz w:val="24"/>
          <w:lang w:val="fr-CA"/>
        </w:rPr>
        <w:t xml:space="preserve"> Consulter les directives du fabricant sur l’interprétation avec chaque antisérum utilisé.</w:t>
      </w:r>
      <w:r w:rsidRPr="00527326">
        <w:rPr>
          <w:rFonts w:ascii="Arial" w:hAnsi="Arial"/>
          <w:sz w:val="24"/>
          <w:lang w:val="fr-CA"/>
        </w:rPr>
        <w:br/>
      </w:r>
    </w:p>
    <w:p w:rsidR="005343CE" w:rsidRPr="00527326" w:rsidRDefault="008526AE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527326">
        <w:rPr>
          <w:rFonts w:ascii="Arial" w:hAnsi="Arial"/>
          <w:b/>
          <w:sz w:val="28"/>
          <w:lang w:val="fr-CA"/>
        </w:rPr>
        <w:t>R</w:t>
      </w:r>
      <w:r w:rsidR="00C92EF2" w:rsidRPr="00527326">
        <w:rPr>
          <w:rFonts w:ascii="Arial" w:hAnsi="Arial"/>
          <w:b/>
          <w:sz w:val="28"/>
          <w:lang w:val="fr-CA"/>
        </w:rPr>
        <w:t>emarques</w:t>
      </w:r>
    </w:p>
    <w:p w:rsidR="005343CE" w:rsidRPr="00527326" w:rsidRDefault="005343CE">
      <w:pPr>
        <w:rPr>
          <w:rFonts w:ascii="Arial" w:hAnsi="Arial"/>
          <w:b/>
          <w:sz w:val="28"/>
          <w:lang w:val="fr-CA"/>
        </w:rPr>
      </w:pPr>
    </w:p>
    <w:p w:rsidR="005343CE" w:rsidRPr="00527326" w:rsidRDefault="00F436E9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Pour obtenir un certain nombre d’unités de donneur exempt</w:t>
      </w:r>
      <w:r w:rsidR="0065048F" w:rsidRPr="00527326">
        <w:rPr>
          <w:rFonts w:ascii="Arial" w:hAnsi="Arial"/>
          <w:sz w:val="24"/>
          <w:lang w:val="fr-CA"/>
        </w:rPr>
        <w:t>e</w:t>
      </w:r>
      <w:r w:rsidRPr="00527326">
        <w:rPr>
          <w:rFonts w:ascii="Arial" w:hAnsi="Arial"/>
          <w:sz w:val="24"/>
          <w:lang w:val="fr-CA"/>
        </w:rPr>
        <w:t xml:space="preserve">s d’un antigène donné, penser à la fréquence de l’antigène dans une population donnée. </w:t>
      </w:r>
    </w:p>
    <w:p w:rsidR="005343CE" w:rsidRPr="00527326" w:rsidRDefault="005343CE">
      <w:pPr>
        <w:ind w:left="1440"/>
        <w:rPr>
          <w:rFonts w:ascii="Arial" w:hAnsi="Arial"/>
          <w:sz w:val="24"/>
          <w:lang w:val="fr-CA"/>
        </w:rPr>
      </w:pPr>
    </w:p>
    <w:p w:rsidR="005343CE" w:rsidRPr="00527326" w:rsidRDefault="0065048F">
      <w:pPr>
        <w:ind w:left="144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Exemple </w:t>
      </w:r>
      <w:r w:rsidR="005343CE" w:rsidRPr="00527326">
        <w:rPr>
          <w:rFonts w:ascii="Arial" w:hAnsi="Arial"/>
          <w:sz w:val="24"/>
          <w:lang w:val="fr-CA"/>
        </w:rPr>
        <w:t>:</w:t>
      </w:r>
    </w:p>
    <w:p w:rsidR="005343CE" w:rsidRPr="00527326" w:rsidRDefault="005343CE">
      <w:pPr>
        <w:ind w:left="144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>Fr</w:t>
      </w:r>
      <w:r w:rsidR="00C92EF2" w:rsidRPr="00527326">
        <w:rPr>
          <w:rFonts w:ascii="Arial" w:hAnsi="Arial"/>
          <w:sz w:val="24"/>
          <w:lang w:val="fr-CA"/>
        </w:rPr>
        <w:t xml:space="preserve">équence de l’antigène </w:t>
      </w:r>
      <w:r w:rsidRPr="00527326">
        <w:rPr>
          <w:rFonts w:ascii="Arial" w:hAnsi="Arial"/>
          <w:sz w:val="24"/>
          <w:lang w:val="fr-CA"/>
        </w:rPr>
        <w:t>E = 30</w:t>
      </w:r>
      <w:r w:rsidR="00C92EF2" w:rsidRPr="00527326">
        <w:rPr>
          <w:rFonts w:ascii="Arial" w:hAnsi="Arial"/>
          <w:sz w:val="24"/>
          <w:lang w:val="fr-CA"/>
        </w:rPr>
        <w:t xml:space="preserve"> </w:t>
      </w:r>
      <w:r w:rsidRPr="00527326">
        <w:rPr>
          <w:rFonts w:ascii="Arial" w:hAnsi="Arial"/>
          <w:sz w:val="24"/>
          <w:lang w:val="fr-CA"/>
        </w:rPr>
        <w:t>%</w:t>
      </w:r>
    </w:p>
    <w:p w:rsidR="005343CE" w:rsidRPr="00527326" w:rsidRDefault="00C92EF2">
      <w:pPr>
        <w:ind w:left="144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 xml:space="preserve">ou </w:t>
      </w:r>
      <w:r w:rsidR="005343CE" w:rsidRPr="00527326">
        <w:rPr>
          <w:rFonts w:ascii="Arial" w:hAnsi="Arial"/>
          <w:sz w:val="24"/>
          <w:lang w:val="fr-CA"/>
        </w:rPr>
        <w:t xml:space="preserve">% </w:t>
      </w:r>
      <w:r w:rsidRPr="00527326">
        <w:rPr>
          <w:rFonts w:ascii="Arial" w:hAnsi="Arial"/>
          <w:sz w:val="24"/>
          <w:lang w:val="fr-CA"/>
        </w:rPr>
        <w:t xml:space="preserve">d’unités de donneur </w:t>
      </w:r>
      <w:r w:rsidR="005343CE" w:rsidRPr="00527326">
        <w:rPr>
          <w:rFonts w:ascii="Arial" w:hAnsi="Arial"/>
          <w:sz w:val="24"/>
          <w:lang w:val="fr-CA"/>
        </w:rPr>
        <w:t>E n</w:t>
      </w:r>
      <w:r w:rsidRPr="00527326">
        <w:rPr>
          <w:rFonts w:ascii="Arial" w:hAnsi="Arial"/>
          <w:sz w:val="24"/>
          <w:lang w:val="fr-CA"/>
        </w:rPr>
        <w:t>é</w:t>
      </w:r>
      <w:r w:rsidR="005343CE" w:rsidRPr="00527326">
        <w:rPr>
          <w:rFonts w:ascii="Arial" w:hAnsi="Arial"/>
          <w:sz w:val="24"/>
          <w:lang w:val="fr-CA"/>
        </w:rPr>
        <w:t>gative</w:t>
      </w:r>
      <w:r w:rsidRPr="00527326">
        <w:rPr>
          <w:rFonts w:ascii="Arial" w:hAnsi="Arial"/>
          <w:sz w:val="24"/>
          <w:lang w:val="fr-CA"/>
        </w:rPr>
        <w:t>s</w:t>
      </w:r>
      <w:r w:rsidR="005343CE" w:rsidRPr="00527326">
        <w:rPr>
          <w:rFonts w:ascii="Arial" w:hAnsi="Arial"/>
          <w:sz w:val="24"/>
          <w:lang w:val="fr-CA"/>
        </w:rPr>
        <w:t xml:space="preserve"> = 70</w:t>
      </w:r>
      <w:r w:rsidRPr="00527326">
        <w:rPr>
          <w:rFonts w:ascii="Arial" w:hAnsi="Arial"/>
          <w:sz w:val="24"/>
          <w:lang w:val="fr-CA"/>
        </w:rPr>
        <w:t xml:space="preserve"> </w:t>
      </w:r>
      <w:r w:rsidR="005343CE" w:rsidRPr="00527326">
        <w:rPr>
          <w:rFonts w:ascii="Arial" w:hAnsi="Arial"/>
          <w:sz w:val="24"/>
          <w:lang w:val="fr-CA"/>
        </w:rPr>
        <w:t>%</w:t>
      </w:r>
    </w:p>
    <w:p w:rsidR="005343CE" w:rsidRPr="00527326" w:rsidRDefault="005343CE">
      <w:pPr>
        <w:ind w:left="1440"/>
        <w:rPr>
          <w:rFonts w:ascii="Arial" w:hAnsi="Arial"/>
          <w:sz w:val="24"/>
          <w:lang w:val="fr-CA"/>
        </w:rPr>
      </w:pPr>
    </w:p>
    <w:p w:rsidR="005343CE" w:rsidRPr="00527326" w:rsidRDefault="0037282F">
      <w:pPr>
        <w:ind w:left="144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 xml:space="preserve">S’il y a </w:t>
      </w:r>
      <w:r w:rsidR="005343CE" w:rsidRPr="00527326">
        <w:rPr>
          <w:rFonts w:ascii="Arial" w:hAnsi="Arial"/>
          <w:sz w:val="24"/>
          <w:lang w:val="fr-CA"/>
        </w:rPr>
        <w:t xml:space="preserve">70 </w:t>
      </w:r>
      <w:r w:rsidRPr="00527326">
        <w:rPr>
          <w:rFonts w:ascii="Arial" w:hAnsi="Arial"/>
          <w:sz w:val="24"/>
          <w:lang w:val="fr-CA"/>
        </w:rPr>
        <w:t xml:space="preserve">donneurs </w:t>
      </w:r>
      <w:r w:rsidR="005343CE" w:rsidRPr="00527326">
        <w:rPr>
          <w:rFonts w:ascii="Arial" w:hAnsi="Arial"/>
          <w:sz w:val="24"/>
          <w:lang w:val="fr-CA"/>
        </w:rPr>
        <w:t>E n</w:t>
      </w:r>
      <w:r w:rsidRPr="00527326">
        <w:rPr>
          <w:rFonts w:ascii="Arial" w:hAnsi="Arial"/>
          <w:sz w:val="24"/>
          <w:lang w:val="fr-CA"/>
        </w:rPr>
        <w:t>é</w:t>
      </w:r>
      <w:r w:rsidR="005343CE" w:rsidRPr="00527326">
        <w:rPr>
          <w:rFonts w:ascii="Arial" w:hAnsi="Arial"/>
          <w:sz w:val="24"/>
          <w:lang w:val="fr-CA"/>
        </w:rPr>
        <w:t>gati</w:t>
      </w:r>
      <w:r w:rsidRPr="00527326">
        <w:rPr>
          <w:rFonts w:ascii="Arial" w:hAnsi="Arial"/>
          <w:sz w:val="24"/>
          <w:lang w:val="fr-CA"/>
        </w:rPr>
        <w:t xml:space="preserve">fs dans une population de </w:t>
      </w:r>
      <w:r w:rsidR="005343CE" w:rsidRPr="00527326">
        <w:rPr>
          <w:rFonts w:ascii="Arial" w:hAnsi="Arial"/>
          <w:sz w:val="24"/>
          <w:lang w:val="fr-CA"/>
        </w:rPr>
        <w:t>100 don</w:t>
      </w:r>
      <w:r w:rsidRPr="00527326">
        <w:rPr>
          <w:rFonts w:ascii="Arial" w:hAnsi="Arial"/>
          <w:sz w:val="24"/>
          <w:lang w:val="fr-CA"/>
        </w:rPr>
        <w:t>neur</w:t>
      </w:r>
      <w:r w:rsidR="005343CE" w:rsidRPr="00527326">
        <w:rPr>
          <w:rFonts w:ascii="Arial" w:hAnsi="Arial"/>
          <w:sz w:val="24"/>
          <w:lang w:val="fr-CA"/>
        </w:rPr>
        <w:t xml:space="preserve">s, </w:t>
      </w:r>
      <w:r w:rsidRPr="00527326">
        <w:rPr>
          <w:rFonts w:ascii="Arial" w:hAnsi="Arial"/>
          <w:sz w:val="24"/>
          <w:lang w:val="fr-CA"/>
        </w:rPr>
        <w:t xml:space="preserve">il devrait y avoir environ 2 donneurs </w:t>
      </w:r>
      <w:r w:rsidR="005343CE" w:rsidRPr="00527326">
        <w:rPr>
          <w:rFonts w:ascii="Arial" w:hAnsi="Arial"/>
          <w:sz w:val="24"/>
          <w:lang w:val="fr-CA"/>
        </w:rPr>
        <w:t>E n</w:t>
      </w:r>
      <w:r w:rsidRPr="00527326">
        <w:rPr>
          <w:rFonts w:ascii="Arial" w:hAnsi="Arial"/>
          <w:sz w:val="24"/>
          <w:lang w:val="fr-CA"/>
        </w:rPr>
        <w:t xml:space="preserve">égatifs dans une population de </w:t>
      </w:r>
      <w:r w:rsidR="005343CE" w:rsidRPr="00527326">
        <w:rPr>
          <w:rFonts w:ascii="Arial" w:hAnsi="Arial"/>
          <w:sz w:val="24"/>
          <w:lang w:val="fr-CA"/>
        </w:rPr>
        <w:t>3 don</w:t>
      </w:r>
      <w:r w:rsidRPr="00527326">
        <w:rPr>
          <w:rFonts w:ascii="Arial" w:hAnsi="Arial"/>
          <w:sz w:val="24"/>
          <w:lang w:val="fr-CA"/>
        </w:rPr>
        <w:t>neur</w:t>
      </w:r>
      <w:r w:rsidR="005343CE" w:rsidRPr="00527326">
        <w:rPr>
          <w:rFonts w:ascii="Arial" w:hAnsi="Arial"/>
          <w:sz w:val="24"/>
          <w:lang w:val="fr-CA"/>
        </w:rPr>
        <w:t>s.</w:t>
      </w:r>
    </w:p>
    <w:p w:rsidR="003E4B67" w:rsidRPr="00527326" w:rsidRDefault="003E4B67" w:rsidP="003E4B67">
      <w:pPr>
        <w:ind w:left="1440"/>
        <w:rPr>
          <w:rFonts w:ascii="Arial" w:hAnsi="Arial"/>
          <w:sz w:val="24"/>
          <w:lang w:val="fr-CA"/>
        </w:rPr>
      </w:pPr>
    </w:p>
    <w:p w:rsidR="003E4B67" w:rsidRPr="00527326" w:rsidRDefault="004B1A24" w:rsidP="003E4B67">
      <w:pPr>
        <w:ind w:left="1440"/>
        <w:rPr>
          <w:rFonts w:ascii="Arial" w:hAnsi="Arial"/>
          <w:noProof/>
          <w:sz w:val="24"/>
          <w:lang w:val="fr-CA"/>
        </w:rPr>
      </w:pPr>
      <w:r w:rsidRPr="00527326">
        <w:rPr>
          <w:rFonts w:ascii="Arial" w:hAnsi="Arial"/>
          <w:noProof/>
          <w:sz w:val="24"/>
          <w:lang w:val="fr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93980</wp:posOffset>
                </wp:positionV>
                <wp:extent cx="274320" cy="112395"/>
                <wp:effectExtent l="57150" t="38100" r="0" b="97155"/>
                <wp:wrapNone/>
                <wp:docPr id="8" name="Righ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11239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525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86.35pt;margin-top:7.4pt;width:21.6pt;height: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" adj="17175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 w:rsidRPr="00527326">
        <w:rPr>
          <w:rFonts w:ascii="Arial" w:hAnsi="Arial"/>
          <w:noProof/>
          <w:sz w:val="24"/>
          <w:lang w:val="fr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93980</wp:posOffset>
                </wp:positionV>
                <wp:extent cx="274320" cy="112395"/>
                <wp:effectExtent l="57150" t="38100" r="0" b="97155"/>
                <wp:wrapNone/>
                <wp:docPr id="7" name="Righ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11239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5C2D4" id="Right Arrow 7" o:spid="_x0000_s1026" type="#_x0000_t13" style="position:absolute;margin-left:207.7pt;margin-top:7.4pt;width:21.6pt;height: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" adj="17175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 w:rsidRPr="00527326">
        <w:rPr>
          <w:rFonts w:ascii="Arial" w:hAnsi="Arial"/>
          <w:noProof/>
          <w:sz w:val="24"/>
          <w:lang w:val="fr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89535</wp:posOffset>
                </wp:positionV>
                <wp:extent cx="274320" cy="112395"/>
                <wp:effectExtent l="0" t="0" r="0" b="0"/>
                <wp:wrapNone/>
                <wp:docPr id="6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2395"/>
                        </a:xfrm>
                        <a:prstGeom prst="rightArrow">
                          <a:avLst>
                            <a:gd name="adj1" fmla="val 50000"/>
                            <a:gd name="adj2" fmla="val 50068"/>
                          </a:avLst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A7BFDE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AC3F" id="Right Arrow 6" o:spid="_x0000_s1026" type="#_x0000_t13" style="position:absolute;margin-left:118.25pt;margin-top:7.05pt;width:21.6pt;height: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" adj="17169" fillcolor="#4f81bd" strokecolor="#4579b8">
                <v:fill color2="#a7bfde" rotate="t" angle="180" focus="100%" type="gradient">
                  <o:fill v:ext="view" type="gradientUnscaled"/>
                </v:fill>
                <v:shadow on="t" color="black" opacity="22936f" origin=",.5" offset="0,.63889mm"/>
              </v:shap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70</m:t>
            </m:r>
          </m:num>
          <m:den>
            <m:r>
              <w:rPr>
                <w:rFonts w:ascii="Cambria Math" w:hAnsi="Cambria Math"/>
                <w:sz w:val="24"/>
              </w:rPr>
              <m:t>100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x</m:t>
            </m:r>
          </m:den>
        </m:f>
        <m:r>
          <w:rPr>
            <w:rFonts w:ascii="Cambria Math" w:hAnsi="Cambria Math"/>
            <w:sz w:val="24"/>
          </w:rPr>
          <m:t xml:space="preserve">             70x=200              x=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200</m:t>
            </m:r>
          </m:num>
          <m:den>
            <m:r>
              <w:rPr>
                <w:rFonts w:ascii="Cambria Math" w:hAnsi="Cambria Math"/>
                <w:sz w:val="24"/>
              </w:rPr>
              <m:t>70</m:t>
            </m:r>
          </m:den>
        </m:f>
        <m:r>
          <w:rPr>
            <w:rFonts w:ascii="Cambria Math" w:hAnsi="Cambria Math"/>
            <w:sz w:val="24"/>
          </w:rPr>
          <m:t xml:space="preserve">               x=2.85</m:t>
        </m:r>
      </m:oMath>
      <w:r w:rsidR="003E4B67" w:rsidRPr="00527326">
        <w:rPr>
          <w:rFonts w:ascii="Arial" w:hAnsi="Arial"/>
          <w:noProof/>
          <w:sz w:val="24"/>
          <w:lang w:val="fr-CA"/>
        </w:rPr>
        <w:br/>
      </w:r>
    </w:p>
    <w:p w:rsidR="005343CE" w:rsidRPr="00527326" w:rsidRDefault="005343CE">
      <w:pPr>
        <w:ind w:left="1440"/>
        <w:rPr>
          <w:rFonts w:ascii="Arial" w:hAnsi="Arial"/>
          <w:sz w:val="24"/>
          <w:lang w:val="fr-CA"/>
        </w:rPr>
      </w:pPr>
    </w:p>
    <w:p w:rsidR="005343CE" w:rsidRPr="00527326" w:rsidRDefault="0037282F">
      <w:pPr>
        <w:ind w:left="1440"/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 xml:space="preserve">C’est pourquoi si l’on veut obtenir </w:t>
      </w:r>
      <w:r w:rsidR="005343CE" w:rsidRPr="00527326">
        <w:rPr>
          <w:rFonts w:ascii="Arial" w:hAnsi="Arial"/>
          <w:sz w:val="24"/>
          <w:lang w:val="fr-CA"/>
        </w:rPr>
        <w:t xml:space="preserve">2 </w:t>
      </w:r>
      <w:r w:rsidRPr="00527326">
        <w:rPr>
          <w:rFonts w:ascii="Arial" w:hAnsi="Arial"/>
          <w:sz w:val="24"/>
          <w:lang w:val="fr-CA"/>
        </w:rPr>
        <w:t xml:space="preserve">unités de </w:t>
      </w:r>
      <w:r w:rsidR="005343CE" w:rsidRPr="00527326">
        <w:rPr>
          <w:rFonts w:ascii="Arial" w:hAnsi="Arial"/>
          <w:sz w:val="24"/>
          <w:lang w:val="fr-CA"/>
        </w:rPr>
        <w:t>d</w:t>
      </w:r>
      <w:r w:rsidRPr="00527326">
        <w:rPr>
          <w:rFonts w:ascii="Arial" w:hAnsi="Arial"/>
          <w:sz w:val="24"/>
          <w:lang w:val="fr-CA"/>
        </w:rPr>
        <w:t>onneur exempts de l’antigène E, il faudra probablement procéder au typage de 3 unités de donneur</w:t>
      </w:r>
      <w:r w:rsidR="005343CE" w:rsidRPr="00527326">
        <w:rPr>
          <w:rFonts w:ascii="Arial" w:hAnsi="Arial"/>
          <w:sz w:val="24"/>
          <w:lang w:val="fr-CA"/>
        </w:rPr>
        <w:t>.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</w:p>
    <w:p w:rsidR="005343CE" w:rsidRPr="00527326" w:rsidRDefault="008526A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sz w:val="24"/>
          <w:lang w:val="fr-CA"/>
        </w:rPr>
        <w:t xml:space="preserve">Si le patient a reçu une transfusion au cours des 3 derniers mois, on peut tenter de procéder à une séparation de ses </w:t>
      </w:r>
      <w:r w:rsidR="00BA58E1" w:rsidRPr="00527326">
        <w:rPr>
          <w:rFonts w:ascii="Arial" w:hAnsi="Arial"/>
          <w:sz w:val="24"/>
          <w:lang w:val="fr-CA"/>
        </w:rPr>
        <w:t xml:space="preserve">propres </w:t>
      </w:r>
      <w:r w:rsidRPr="00527326">
        <w:rPr>
          <w:rFonts w:ascii="Arial" w:hAnsi="Arial"/>
          <w:sz w:val="24"/>
          <w:lang w:val="fr-CA"/>
        </w:rPr>
        <w:t>cellules</w:t>
      </w:r>
      <w:r w:rsidR="00527326" w:rsidRPr="00527326">
        <w:rPr>
          <w:rFonts w:ascii="Arial" w:hAnsi="Arial"/>
          <w:sz w:val="24"/>
          <w:vertAlign w:val="superscript"/>
          <w:lang w:val="fr-CA"/>
        </w:rPr>
        <w:t>9.2</w:t>
      </w:r>
      <w:r w:rsidR="00527326" w:rsidRPr="00527326">
        <w:rPr>
          <w:rFonts w:ascii="Arial" w:hAnsi="Arial"/>
          <w:sz w:val="24"/>
          <w:lang w:val="fr-CA"/>
        </w:rPr>
        <w:t xml:space="preserve"> à l’interne si possible. Le génotypage de l’échantillon peut aussi être fait dans un laboratoire externe. </w:t>
      </w:r>
    </w:p>
    <w:p w:rsidR="005343CE" w:rsidRPr="00527326" w:rsidRDefault="005343CE">
      <w:pPr>
        <w:ind w:left="720"/>
        <w:rPr>
          <w:rFonts w:ascii="Arial" w:hAnsi="Arial"/>
          <w:sz w:val="24"/>
          <w:lang w:val="fr-CA"/>
        </w:rPr>
      </w:pPr>
    </w:p>
    <w:p w:rsidR="005343CE" w:rsidRDefault="00C92EF2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527326">
        <w:rPr>
          <w:rFonts w:ascii="Arial" w:hAnsi="Arial"/>
          <w:b/>
          <w:sz w:val="28"/>
          <w:lang w:val="fr-CA"/>
        </w:rPr>
        <w:t>Références</w:t>
      </w:r>
    </w:p>
    <w:p w:rsidR="00AE4E6F" w:rsidRPr="00527326" w:rsidRDefault="00AE4E6F" w:rsidP="00AE4E6F">
      <w:pPr>
        <w:ind w:left="720"/>
        <w:rPr>
          <w:rFonts w:ascii="Arial" w:hAnsi="Arial"/>
          <w:b/>
          <w:sz w:val="28"/>
          <w:lang w:val="fr-CA"/>
        </w:rPr>
      </w:pPr>
    </w:p>
    <w:p w:rsidR="005343CE" w:rsidRPr="00527326" w:rsidRDefault="005343C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527326">
        <w:rPr>
          <w:rFonts w:ascii="Arial" w:hAnsi="Arial"/>
          <w:i/>
          <w:sz w:val="24"/>
          <w:lang w:val="fr-CA"/>
        </w:rPr>
        <w:t xml:space="preserve">Standards for </w:t>
      </w:r>
      <w:r w:rsidR="00BC708F" w:rsidRPr="00527326">
        <w:rPr>
          <w:rFonts w:ascii="Arial" w:hAnsi="Arial"/>
          <w:i/>
          <w:sz w:val="24"/>
          <w:lang w:val="fr-CA"/>
        </w:rPr>
        <w:t>Hospital T</w:t>
      </w:r>
      <w:r w:rsidRPr="00527326">
        <w:rPr>
          <w:rFonts w:ascii="Arial" w:hAnsi="Arial"/>
          <w:i/>
          <w:sz w:val="24"/>
          <w:lang w:val="fr-CA"/>
        </w:rPr>
        <w:t xml:space="preserve">ransfusion </w:t>
      </w:r>
      <w:r w:rsidR="00BC708F" w:rsidRPr="00527326">
        <w:rPr>
          <w:rFonts w:ascii="Arial" w:hAnsi="Arial"/>
          <w:i/>
          <w:sz w:val="24"/>
          <w:lang w:val="fr-CA"/>
        </w:rPr>
        <w:t>Services</w:t>
      </w:r>
      <w:r w:rsidR="00BC708F" w:rsidRPr="00527326">
        <w:rPr>
          <w:rFonts w:ascii="Arial" w:hAnsi="Arial"/>
          <w:sz w:val="24"/>
          <w:lang w:val="fr-CA"/>
        </w:rPr>
        <w:t xml:space="preserve">, version </w:t>
      </w:r>
      <w:r w:rsidR="00527326" w:rsidRPr="00527326">
        <w:rPr>
          <w:rFonts w:ascii="Arial" w:hAnsi="Arial"/>
          <w:sz w:val="24"/>
          <w:lang w:val="fr-CA"/>
        </w:rPr>
        <w:t>3</w:t>
      </w:r>
      <w:r w:rsidR="00BC708F" w:rsidRPr="00527326">
        <w:rPr>
          <w:rFonts w:ascii="Arial" w:hAnsi="Arial"/>
          <w:sz w:val="24"/>
          <w:lang w:val="fr-CA"/>
        </w:rPr>
        <w:t xml:space="preserve"> – </w:t>
      </w:r>
      <w:r w:rsidR="00527326" w:rsidRPr="00527326">
        <w:rPr>
          <w:rFonts w:ascii="Arial" w:hAnsi="Arial"/>
          <w:sz w:val="24"/>
          <w:lang w:val="fr-CA"/>
        </w:rPr>
        <w:t>février 2011</w:t>
      </w:r>
      <w:r w:rsidR="00BC708F" w:rsidRPr="00527326">
        <w:rPr>
          <w:rFonts w:ascii="Arial" w:hAnsi="Arial"/>
          <w:sz w:val="24"/>
          <w:lang w:val="fr-CA"/>
        </w:rPr>
        <w:t xml:space="preserve">, </w:t>
      </w:r>
      <w:r w:rsidR="00C92EF2" w:rsidRPr="00527326">
        <w:rPr>
          <w:rFonts w:ascii="Arial" w:hAnsi="Arial"/>
          <w:sz w:val="24"/>
          <w:lang w:val="fr-CA"/>
        </w:rPr>
        <w:t>Société canadienne de m</w:t>
      </w:r>
      <w:r w:rsidR="00BC708F" w:rsidRPr="00527326">
        <w:rPr>
          <w:rFonts w:ascii="Arial" w:hAnsi="Arial"/>
          <w:sz w:val="24"/>
          <w:lang w:val="fr-CA"/>
        </w:rPr>
        <w:t>é</w:t>
      </w:r>
      <w:r w:rsidR="00C92EF2" w:rsidRPr="00527326">
        <w:rPr>
          <w:rFonts w:ascii="Arial" w:hAnsi="Arial"/>
          <w:sz w:val="24"/>
          <w:lang w:val="fr-CA"/>
        </w:rPr>
        <w:t>d</w:t>
      </w:r>
      <w:r w:rsidR="00BC708F" w:rsidRPr="00527326">
        <w:rPr>
          <w:rFonts w:ascii="Arial" w:hAnsi="Arial"/>
          <w:sz w:val="24"/>
          <w:lang w:val="fr-CA"/>
        </w:rPr>
        <w:t>e</w:t>
      </w:r>
      <w:r w:rsidR="00C92EF2" w:rsidRPr="00527326">
        <w:rPr>
          <w:rFonts w:ascii="Arial" w:hAnsi="Arial"/>
          <w:sz w:val="24"/>
          <w:lang w:val="fr-CA"/>
        </w:rPr>
        <w:t>cine transfusionnelle</w:t>
      </w:r>
      <w:r w:rsidR="00527326" w:rsidRPr="00527326">
        <w:rPr>
          <w:rFonts w:ascii="Arial" w:hAnsi="Arial"/>
          <w:sz w:val="24"/>
          <w:lang w:val="fr-CA"/>
        </w:rPr>
        <w:t xml:space="preserve">; </w:t>
      </w:r>
      <w:r w:rsidRPr="00527326">
        <w:rPr>
          <w:rFonts w:ascii="Arial" w:hAnsi="Arial"/>
          <w:sz w:val="24"/>
          <w:lang w:val="fr-CA"/>
        </w:rPr>
        <w:t>5.</w:t>
      </w:r>
      <w:r w:rsidR="00BC708F" w:rsidRPr="00527326">
        <w:rPr>
          <w:rFonts w:ascii="Arial" w:hAnsi="Arial"/>
          <w:sz w:val="24"/>
          <w:lang w:val="fr-CA"/>
        </w:rPr>
        <w:t>3.</w:t>
      </w:r>
      <w:r w:rsidR="00527326" w:rsidRPr="00527326">
        <w:rPr>
          <w:rFonts w:ascii="Arial" w:hAnsi="Arial"/>
          <w:sz w:val="24"/>
          <w:lang w:val="fr-CA"/>
        </w:rPr>
        <w:t>4</w:t>
      </w:r>
    </w:p>
    <w:p w:rsidR="00AE4E6F" w:rsidRDefault="00AE4E6F" w:rsidP="00AE4E6F">
      <w:pPr>
        <w:ind w:left="1440"/>
        <w:rPr>
          <w:rFonts w:ascii="Arial" w:hAnsi="Arial"/>
          <w:sz w:val="24"/>
          <w:lang w:val="en-CA"/>
        </w:rPr>
      </w:pPr>
    </w:p>
    <w:p w:rsidR="009505AA" w:rsidRPr="00AE4E6F" w:rsidRDefault="009505AA">
      <w:pPr>
        <w:numPr>
          <w:ilvl w:val="1"/>
          <w:numId w:val="1"/>
        </w:numPr>
        <w:rPr>
          <w:rFonts w:ascii="Arial" w:hAnsi="Arial"/>
          <w:sz w:val="24"/>
          <w:lang w:val="en-CA"/>
        </w:rPr>
      </w:pPr>
      <w:r w:rsidRPr="00AE4E6F">
        <w:rPr>
          <w:rFonts w:ascii="Arial" w:hAnsi="Arial"/>
          <w:sz w:val="24"/>
          <w:lang w:val="en-CA"/>
        </w:rPr>
        <w:t xml:space="preserve">ROBACK JD, éd. </w:t>
      </w:r>
      <w:r w:rsidRPr="00AE4E6F">
        <w:rPr>
          <w:rFonts w:ascii="Arial" w:hAnsi="Arial"/>
          <w:i/>
          <w:sz w:val="24"/>
          <w:lang w:val="en-CA"/>
        </w:rPr>
        <w:t>American Association of Blood Banks Technical Manual</w:t>
      </w:r>
      <w:r w:rsidRPr="00AE4E6F">
        <w:rPr>
          <w:rFonts w:ascii="Arial" w:hAnsi="Arial"/>
          <w:sz w:val="24"/>
          <w:lang w:val="en-CA"/>
        </w:rPr>
        <w:t>, 1</w:t>
      </w:r>
      <w:r w:rsidR="00527326" w:rsidRPr="00AE4E6F">
        <w:rPr>
          <w:rFonts w:ascii="Arial" w:hAnsi="Arial"/>
          <w:sz w:val="24"/>
          <w:lang w:val="en-CA"/>
        </w:rPr>
        <w:t>7</w:t>
      </w:r>
      <w:r w:rsidRPr="00AE4E6F">
        <w:rPr>
          <w:rFonts w:ascii="Arial" w:hAnsi="Arial"/>
          <w:sz w:val="24"/>
          <w:vertAlign w:val="superscript"/>
          <w:lang w:val="en-CA"/>
        </w:rPr>
        <w:t>e</w:t>
      </w:r>
      <w:r w:rsidRPr="00AE4E6F">
        <w:rPr>
          <w:rFonts w:ascii="Arial" w:hAnsi="Arial"/>
          <w:sz w:val="24"/>
          <w:lang w:val="en-CA"/>
        </w:rPr>
        <w:t xml:space="preserve"> éd, Bethesda, MD, American Association of Blood Banks (20</w:t>
      </w:r>
      <w:r w:rsidR="00527326" w:rsidRPr="00AE4E6F">
        <w:rPr>
          <w:rFonts w:ascii="Arial" w:hAnsi="Arial"/>
          <w:sz w:val="24"/>
          <w:lang w:val="en-CA"/>
        </w:rPr>
        <w:t>11</w:t>
      </w:r>
      <w:r w:rsidRPr="00AE4E6F">
        <w:rPr>
          <w:rFonts w:ascii="Arial" w:hAnsi="Arial"/>
          <w:sz w:val="24"/>
          <w:lang w:val="en-CA"/>
        </w:rPr>
        <w:t>),</w:t>
      </w:r>
      <w:r w:rsidR="00BC708F" w:rsidRPr="00AE4E6F">
        <w:rPr>
          <w:rFonts w:ascii="Arial" w:hAnsi="Arial"/>
          <w:sz w:val="24"/>
          <w:lang w:val="en-CA"/>
        </w:rPr>
        <w:t xml:space="preserve"> p. 47</w:t>
      </w:r>
      <w:r w:rsidR="00527326" w:rsidRPr="00AE4E6F">
        <w:rPr>
          <w:rFonts w:ascii="Arial" w:hAnsi="Arial"/>
          <w:sz w:val="24"/>
          <w:lang w:val="en-CA"/>
        </w:rPr>
        <w:t>2, 892</w:t>
      </w:r>
      <w:r w:rsidR="00BC708F" w:rsidRPr="00AE4E6F">
        <w:rPr>
          <w:rFonts w:ascii="Arial" w:hAnsi="Arial"/>
          <w:sz w:val="24"/>
          <w:lang w:val="en-CA"/>
        </w:rPr>
        <w:t>.</w:t>
      </w:r>
    </w:p>
    <w:p w:rsidR="003E4B67" w:rsidRDefault="003E4B67" w:rsidP="003E4B67">
      <w:pPr>
        <w:rPr>
          <w:rFonts w:ascii="Arial" w:hAnsi="Arial"/>
          <w:sz w:val="24"/>
          <w:lang w:val="en-CA"/>
        </w:rPr>
      </w:pPr>
    </w:p>
    <w:p w:rsidR="003E4B67" w:rsidRDefault="00527326" w:rsidP="003E4B67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527326">
        <w:rPr>
          <w:rFonts w:ascii="Arial" w:hAnsi="Arial"/>
          <w:b/>
          <w:sz w:val="28"/>
          <w:lang w:val="fr-CA"/>
        </w:rPr>
        <w:t>Suivi des révisions</w:t>
      </w:r>
    </w:p>
    <w:p w:rsidR="006C5B35" w:rsidRPr="00527326" w:rsidRDefault="006C5B35" w:rsidP="006C5B35">
      <w:pPr>
        <w:pStyle w:val="ListParagraph"/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527326" w:rsidRPr="00527326" w:rsidTr="005F524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7326" w:rsidRPr="00527326" w:rsidRDefault="00527326" w:rsidP="007844C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27326"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7326" w:rsidRPr="00527326" w:rsidRDefault="00527326" w:rsidP="007844C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527326"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3E4B67" w:rsidRPr="00A458D5" w:rsidTr="005F524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7" w:rsidRPr="00A458D5" w:rsidRDefault="00527326" w:rsidP="006C5B35">
            <w:pPr>
              <w:pStyle w:val="Header"/>
              <w:tabs>
                <w:tab w:val="left" w:pos="720"/>
                <w:tab w:val="left" w:pos="2268"/>
              </w:tabs>
              <w:rPr>
                <w:rFonts w:ascii="Arial" w:hAnsi="Arial" w:cs="Arial"/>
                <w:sz w:val="22"/>
                <w:lang w:val="fr-CA"/>
              </w:rPr>
            </w:pPr>
            <w:r w:rsidRPr="00A458D5">
              <w:rPr>
                <w:rFonts w:ascii="Arial" w:hAnsi="Arial"/>
                <w:sz w:val="22"/>
                <w:szCs w:val="22"/>
                <w:lang w:val="fr-CA"/>
              </w:rPr>
              <w:t>1</w:t>
            </w:r>
            <w:r w:rsidRPr="00A458D5">
              <w:rPr>
                <w:rFonts w:ascii="Arial" w:hAnsi="Arial"/>
                <w:sz w:val="22"/>
                <w:szCs w:val="22"/>
                <w:vertAlign w:val="superscript"/>
                <w:lang w:val="fr-CA"/>
              </w:rPr>
              <w:t>er</w:t>
            </w:r>
            <w:r w:rsidRPr="00A458D5">
              <w:rPr>
                <w:rFonts w:ascii="Arial" w:hAnsi="Arial"/>
                <w:sz w:val="22"/>
                <w:szCs w:val="22"/>
                <w:lang w:val="fr-CA"/>
              </w:rPr>
              <w:t xml:space="preserve"> mars 2014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26" w:rsidRPr="00A458D5" w:rsidRDefault="00527326" w:rsidP="006C5B35">
            <w:pPr>
              <w:numPr>
                <w:ilvl w:val="0"/>
                <w:numId w:val="14"/>
              </w:numPr>
              <w:tabs>
                <w:tab w:val="left" w:pos="2268"/>
              </w:tabs>
              <w:ind w:left="317" w:hanging="317"/>
              <w:rPr>
                <w:rFonts w:ascii="Arial" w:hAnsi="Arial"/>
                <w:sz w:val="22"/>
                <w:lang w:val="fr-CA"/>
              </w:rPr>
            </w:pPr>
            <w:r w:rsidRPr="00A458D5">
              <w:rPr>
                <w:rFonts w:ascii="Arial" w:hAnsi="Arial" w:cs="Arial"/>
                <w:sz w:val="22"/>
                <w:szCs w:val="22"/>
                <w:lang w:val="fr-CA"/>
              </w:rPr>
              <w:t xml:space="preserve">Changement du nom du manuel </w:t>
            </w:r>
          </w:p>
          <w:p w:rsidR="00527326" w:rsidRPr="00A458D5" w:rsidRDefault="003E4B67" w:rsidP="006C5B35">
            <w:pPr>
              <w:numPr>
                <w:ilvl w:val="0"/>
                <w:numId w:val="14"/>
              </w:numPr>
              <w:tabs>
                <w:tab w:val="left" w:pos="2268"/>
              </w:tabs>
              <w:ind w:left="175" w:hanging="175"/>
              <w:rPr>
                <w:rFonts w:ascii="Arial" w:hAnsi="Arial"/>
                <w:sz w:val="22"/>
                <w:lang w:val="fr-CA"/>
              </w:rPr>
            </w:pPr>
            <w:r w:rsidRPr="00A458D5">
              <w:rPr>
                <w:rFonts w:ascii="Arial" w:hAnsi="Arial"/>
                <w:sz w:val="22"/>
                <w:lang w:val="fr-CA"/>
              </w:rPr>
              <w:t>Renum</w:t>
            </w:r>
            <w:r w:rsidR="00527326" w:rsidRPr="00A458D5">
              <w:rPr>
                <w:rFonts w:ascii="Arial" w:hAnsi="Arial"/>
                <w:sz w:val="22"/>
                <w:lang w:val="fr-CA"/>
              </w:rPr>
              <w:t xml:space="preserve">érotation et changements mineurs au libellé des sections </w:t>
            </w:r>
          </w:p>
          <w:p w:rsidR="003E4B67" w:rsidRPr="00A458D5" w:rsidRDefault="003E4B67" w:rsidP="006C5B35">
            <w:pPr>
              <w:tabs>
                <w:tab w:val="left" w:pos="2268"/>
              </w:tabs>
              <w:ind w:left="175"/>
              <w:rPr>
                <w:rFonts w:ascii="Arial" w:hAnsi="Arial"/>
                <w:sz w:val="22"/>
                <w:lang w:val="fr-CA"/>
              </w:rPr>
            </w:pPr>
            <w:r w:rsidRPr="00A458D5">
              <w:rPr>
                <w:rFonts w:ascii="Arial" w:hAnsi="Arial"/>
                <w:sz w:val="22"/>
                <w:lang w:val="fr-CA"/>
              </w:rPr>
              <w:t xml:space="preserve">2.0, 6.0 </w:t>
            </w:r>
            <w:r w:rsidR="00527326" w:rsidRPr="00A458D5">
              <w:rPr>
                <w:rFonts w:ascii="Arial" w:hAnsi="Arial"/>
                <w:sz w:val="22"/>
                <w:lang w:val="fr-CA"/>
              </w:rPr>
              <w:t>et</w:t>
            </w:r>
            <w:r w:rsidRPr="00A458D5">
              <w:rPr>
                <w:rFonts w:ascii="Arial" w:hAnsi="Arial"/>
                <w:sz w:val="22"/>
                <w:lang w:val="fr-CA"/>
              </w:rPr>
              <w:t xml:space="preserve"> 7.0</w:t>
            </w:r>
          </w:p>
          <w:p w:rsidR="003E4B67" w:rsidRPr="00A458D5" w:rsidRDefault="00527326" w:rsidP="006C5B35">
            <w:pPr>
              <w:numPr>
                <w:ilvl w:val="0"/>
                <w:numId w:val="14"/>
              </w:numPr>
              <w:tabs>
                <w:tab w:val="left" w:pos="2268"/>
              </w:tabs>
              <w:ind w:left="175" w:hanging="175"/>
              <w:rPr>
                <w:rFonts w:ascii="Arial" w:hAnsi="Arial"/>
                <w:lang w:val="fr-CA"/>
              </w:rPr>
            </w:pPr>
            <w:r w:rsidRPr="00A458D5">
              <w:rPr>
                <w:rFonts w:ascii="Arial" w:hAnsi="Arial"/>
                <w:sz w:val="22"/>
                <w:lang w:val="fr-CA"/>
              </w:rPr>
              <w:t>Précision apportée à la s</w:t>
            </w:r>
            <w:r w:rsidR="003E4B67" w:rsidRPr="00A458D5">
              <w:rPr>
                <w:rFonts w:ascii="Arial" w:hAnsi="Arial"/>
                <w:sz w:val="22"/>
                <w:lang w:val="fr-CA"/>
              </w:rPr>
              <w:t>ection 3.2</w:t>
            </w:r>
            <w:r w:rsidRPr="00A458D5">
              <w:rPr>
                <w:rFonts w:ascii="Arial" w:hAnsi="Arial"/>
                <w:sz w:val="22"/>
                <w:lang w:val="fr-CA"/>
              </w:rPr>
              <w:t> : « </w:t>
            </w:r>
            <w:r w:rsidR="003E4B67" w:rsidRPr="00A458D5">
              <w:rPr>
                <w:rFonts w:ascii="Arial" w:hAnsi="Arial"/>
                <w:sz w:val="22"/>
                <w:lang w:val="fr-CA"/>
              </w:rPr>
              <w:t xml:space="preserve"> </w:t>
            </w:r>
            <w:r w:rsidRPr="00A458D5">
              <w:rPr>
                <w:rFonts w:ascii="Arial" w:hAnsi="Arial"/>
                <w:sz w:val="22"/>
                <w:lang w:val="fr-CA"/>
              </w:rPr>
              <w:t>s’</w:t>
            </w:r>
            <w:r w:rsidR="006C5B35" w:rsidRPr="00A458D5">
              <w:rPr>
                <w:rFonts w:ascii="Arial" w:hAnsi="Arial"/>
                <w:sz w:val="22"/>
                <w:lang w:val="fr-CA"/>
              </w:rPr>
              <w:t xml:space="preserve">ils sont entreposés entre </w:t>
            </w:r>
            <w:r w:rsidRPr="00A458D5">
              <w:rPr>
                <w:rFonts w:ascii="Arial" w:hAnsi="Arial"/>
                <w:sz w:val="22"/>
                <w:lang w:val="fr-CA"/>
              </w:rPr>
              <w:t>1 et 6</w:t>
            </w:r>
            <w:r w:rsidR="005F524A">
              <w:rPr>
                <w:rFonts w:ascii="Arial" w:hAnsi="Arial" w:cs="Arial"/>
                <w:sz w:val="22"/>
                <w:lang w:val="fr-CA"/>
              </w:rPr>
              <w:t>º</w:t>
            </w:r>
            <w:r w:rsidRPr="00A458D5">
              <w:rPr>
                <w:rFonts w:ascii="Arial" w:hAnsi="Arial"/>
                <w:sz w:val="22"/>
                <w:lang w:val="fr-CA"/>
              </w:rPr>
              <w:t>C »</w:t>
            </w:r>
          </w:p>
          <w:p w:rsidR="003E4B67" w:rsidRPr="00A458D5" w:rsidRDefault="006C5B35" w:rsidP="006C5B35">
            <w:pPr>
              <w:numPr>
                <w:ilvl w:val="0"/>
                <w:numId w:val="14"/>
              </w:numPr>
              <w:tabs>
                <w:tab w:val="left" w:pos="2268"/>
              </w:tabs>
              <w:ind w:left="317" w:hanging="317"/>
              <w:rPr>
                <w:rFonts w:ascii="Arial" w:hAnsi="Arial"/>
                <w:sz w:val="22"/>
                <w:lang w:val="fr-CA"/>
              </w:rPr>
            </w:pPr>
            <w:r w:rsidRPr="00A458D5">
              <w:rPr>
                <w:rFonts w:ascii="Arial" w:hAnsi="Arial"/>
                <w:sz w:val="22"/>
                <w:lang w:val="fr-CA"/>
              </w:rPr>
              <w:t xml:space="preserve">Précision sur cellules à 3 à 5 % à la </w:t>
            </w:r>
            <w:r w:rsidR="003E4B67" w:rsidRPr="00A458D5">
              <w:rPr>
                <w:rFonts w:ascii="Arial" w:hAnsi="Arial"/>
                <w:sz w:val="22"/>
                <w:lang w:val="fr-CA"/>
              </w:rPr>
              <w:t>section 4.0</w:t>
            </w:r>
          </w:p>
          <w:p w:rsidR="003E4B67" w:rsidRPr="00A458D5" w:rsidRDefault="006C5B35" w:rsidP="006C5B35">
            <w:pPr>
              <w:numPr>
                <w:ilvl w:val="0"/>
                <w:numId w:val="14"/>
              </w:numPr>
              <w:tabs>
                <w:tab w:val="left" w:pos="2268"/>
              </w:tabs>
              <w:ind w:left="175" w:hanging="175"/>
              <w:rPr>
                <w:rFonts w:ascii="Arial" w:hAnsi="Arial"/>
                <w:sz w:val="22"/>
                <w:lang w:val="fr-CA"/>
              </w:rPr>
            </w:pPr>
            <w:r w:rsidRPr="00A458D5">
              <w:rPr>
                <w:rFonts w:ascii="Arial" w:hAnsi="Arial"/>
                <w:sz w:val="22"/>
                <w:lang w:val="fr-CA"/>
              </w:rPr>
              <w:t xml:space="preserve">Modification du libellé à la section </w:t>
            </w:r>
            <w:r w:rsidR="003E4B67" w:rsidRPr="00A458D5">
              <w:rPr>
                <w:rFonts w:ascii="Arial" w:hAnsi="Arial"/>
                <w:sz w:val="22"/>
                <w:lang w:val="fr-CA"/>
              </w:rPr>
              <w:t xml:space="preserve">6.14 </w:t>
            </w:r>
            <w:r w:rsidRPr="00A458D5">
              <w:rPr>
                <w:rFonts w:ascii="Arial" w:hAnsi="Arial"/>
                <w:sz w:val="22"/>
                <w:lang w:val="fr-CA"/>
              </w:rPr>
              <w:t>pour mentionner l’agglutination macroscopique et les directives du fabricant</w:t>
            </w:r>
          </w:p>
          <w:p w:rsidR="0074630A" w:rsidRPr="0074630A" w:rsidRDefault="006C5B35" w:rsidP="00A458D5">
            <w:pPr>
              <w:numPr>
                <w:ilvl w:val="0"/>
                <w:numId w:val="14"/>
              </w:numPr>
              <w:tabs>
                <w:tab w:val="left" w:pos="2268"/>
              </w:tabs>
              <w:ind w:left="175" w:hanging="175"/>
              <w:rPr>
                <w:sz w:val="24"/>
                <w:lang w:val="fr-CA"/>
              </w:rPr>
            </w:pPr>
            <w:r w:rsidRPr="00A458D5">
              <w:rPr>
                <w:rFonts w:ascii="Arial" w:hAnsi="Arial"/>
                <w:sz w:val="22"/>
                <w:lang w:val="fr-CA"/>
              </w:rPr>
              <w:t>Ajout à la section 8.2 sur la possibilité de faire le génotypage à l’interne</w:t>
            </w:r>
          </w:p>
          <w:p w:rsidR="003E4B67" w:rsidRPr="00A458D5" w:rsidRDefault="006C5B35" w:rsidP="00A458D5">
            <w:pPr>
              <w:numPr>
                <w:ilvl w:val="0"/>
                <w:numId w:val="14"/>
              </w:numPr>
              <w:tabs>
                <w:tab w:val="left" w:pos="2268"/>
              </w:tabs>
              <w:ind w:left="175" w:hanging="175"/>
              <w:rPr>
                <w:sz w:val="24"/>
                <w:lang w:val="fr-CA"/>
              </w:rPr>
            </w:pPr>
            <w:r w:rsidRPr="00A458D5">
              <w:rPr>
                <w:rFonts w:ascii="Arial" w:hAnsi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3E4B67" w:rsidRPr="00A458D5" w:rsidRDefault="003E4B67" w:rsidP="006C5B35">
      <w:pPr>
        <w:pStyle w:val="ListParagraph"/>
        <w:tabs>
          <w:tab w:val="left" w:pos="2268"/>
        </w:tabs>
        <w:rPr>
          <w:rFonts w:ascii="Arial" w:hAnsi="Arial"/>
          <w:b/>
          <w:sz w:val="28"/>
          <w:lang w:val="fr-CA"/>
        </w:rPr>
      </w:pPr>
    </w:p>
    <w:p w:rsidR="003E4B67" w:rsidRPr="00527326" w:rsidRDefault="003E4B67" w:rsidP="003E4B67">
      <w:pPr>
        <w:rPr>
          <w:lang w:val="fr-CA"/>
        </w:rPr>
      </w:pPr>
    </w:p>
    <w:p w:rsidR="003E4B67" w:rsidRPr="00527326" w:rsidRDefault="003E4B67" w:rsidP="007C74B3">
      <w:pPr>
        <w:ind w:left="1440"/>
        <w:rPr>
          <w:lang w:val="fr-CA"/>
        </w:rPr>
      </w:pPr>
    </w:p>
    <w:sectPr w:rsidR="003E4B67" w:rsidRPr="0052732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57E" w:rsidRDefault="002D257E">
      <w:r>
        <w:separator/>
      </w:r>
    </w:p>
  </w:endnote>
  <w:endnote w:type="continuationSeparator" w:id="0">
    <w:p w:rsidR="002D257E" w:rsidRDefault="002D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65F19">
      <w:trPr>
        <w:trHeight w:val="720"/>
      </w:trPr>
      <w:tc>
        <w:tcPr>
          <w:tcW w:w="1368" w:type="dxa"/>
        </w:tcPr>
        <w:p w:rsidR="00D65F19" w:rsidRDefault="00D65F19">
          <w:pPr>
            <w:pStyle w:val="Footer"/>
            <w:jc w:val="center"/>
            <w:rPr>
              <w:sz w:val="8"/>
            </w:rPr>
          </w:pPr>
        </w:p>
        <w:p w:rsidR="00D65F19" w:rsidRDefault="004B1A24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D65F19" w:rsidRDefault="00D65F19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3E4B67" w:rsidRDefault="003E4B67" w:rsidP="003E4B67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D65F19" w:rsidRPr="00AE4E6F" w:rsidRDefault="003E4B67" w:rsidP="003E4B67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</w:tc>
      <w:tc>
        <w:tcPr>
          <w:tcW w:w="1494" w:type="dxa"/>
        </w:tcPr>
        <w:p w:rsidR="00D65F19" w:rsidRPr="00AE4E6F" w:rsidRDefault="00D65F19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D65F19" w:rsidRDefault="00D65F19" w:rsidP="003E4B67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EC.009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574325">
            <w:rPr>
              <w:rFonts w:ascii="Arial" w:hAnsi="Arial"/>
              <w:noProof/>
              <w:snapToGrid w:val="0"/>
              <w:sz w:val="18"/>
            </w:rPr>
            <w:t>7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574325">
            <w:rPr>
              <w:rFonts w:ascii="Arial" w:hAnsi="Arial"/>
              <w:noProof/>
              <w:snapToGrid w:val="0"/>
              <w:sz w:val="18"/>
            </w:rPr>
            <w:t>7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65F19" w:rsidRDefault="00D65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65F19">
      <w:trPr>
        <w:trHeight w:val="720"/>
      </w:trPr>
      <w:tc>
        <w:tcPr>
          <w:tcW w:w="1368" w:type="dxa"/>
        </w:tcPr>
        <w:p w:rsidR="009505AA" w:rsidRDefault="009505AA" w:rsidP="009505AA">
          <w:pPr>
            <w:pStyle w:val="Footer"/>
            <w:jc w:val="center"/>
            <w:rPr>
              <w:sz w:val="8"/>
            </w:rPr>
          </w:pPr>
        </w:p>
        <w:p w:rsidR="009505AA" w:rsidRDefault="009505AA" w:rsidP="009505AA">
          <w:pPr>
            <w:pStyle w:val="Footer"/>
            <w:jc w:val="center"/>
            <w:rPr>
              <w:sz w:val="8"/>
            </w:rPr>
          </w:pPr>
        </w:p>
        <w:p w:rsidR="00D65F19" w:rsidRDefault="004B1A24" w:rsidP="009505AA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5" name="Picture 5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D65F19" w:rsidRDefault="00D65F19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3E4B67" w:rsidRDefault="003E4B67" w:rsidP="003E4B67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D65F19" w:rsidRPr="00AE4E6F" w:rsidRDefault="003E4B67" w:rsidP="003E4B67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AE4E6F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D65F19" w:rsidRPr="00AE4E6F" w:rsidRDefault="00D65F19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D65F19" w:rsidRDefault="00D65F19" w:rsidP="003E4B67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EC.009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574325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574325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65F19" w:rsidRDefault="00D65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57E" w:rsidRDefault="002D257E">
      <w:r>
        <w:separator/>
      </w:r>
    </w:p>
  </w:footnote>
  <w:footnote w:type="continuationSeparator" w:id="0">
    <w:p w:rsidR="002D257E" w:rsidRDefault="002D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19" w:rsidRPr="005343CE" w:rsidRDefault="00D65F19" w:rsidP="005343CE">
    <w:pPr>
      <w:pStyle w:val="Header"/>
      <w:jc w:val="center"/>
      <w:rPr>
        <w:rFonts w:ascii="Arial" w:hAnsi="Arial"/>
        <w:b/>
        <w:sz w:val="28"/>
        <w:lang w:val="fr-CA"/>
      </w:rPr>
    </w:pPr>
    <w:r w:rsidRPr="005343CE">
      <w:rPr>
        <w:rFonts w:ascii="Arial" w:hAnsi="Arial"/>
        <w:b/>
        <w:sz w:val="28"/>
        <w:lang w:val="fr-CA"/>
      </w:rPr>
      <w:t>Typage des antigènes - agglutination directe et indirecte</w:t>
    </w:r>
  </w:p>
  <w:p w:rsidR="00D65F19" w:rsidRPr="00AE4E6F" w:rsidRDefault="00D65F19">
    <w:pPr>
      <w:pStyle w:val="Header"/>
      <w:rPr>
        <w:rFonts w:ascii="Arial" w:hAnsi="Arial"/>
        <w:sz w:val="18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19" w:rsidRDefault="004B1A24">
    <w:pPr>
      <w:pStyle w:val="Header"/>
      <w:tabs>
        <w:tab w:val="clear" w:pos="8640"/>
        <w:tab w:val="left" w:pos="4783"/>
      </w:tabs>
      <w:rPr>
        <w:rFonts w:ascii="Verdana" w:hAnsi="Verdana"/>
        <w:sz w:val="8"/>
      </w:rPr>
    </w:pPr>
    <w:r>
      <w:rPr>
        <w:rFonts w:ascii="Verdana" w:hAnsi="Verdana"/>
        <w:noProof/>
        <w:sz w:val="8"/>
      </w:rPr>
      <w:drawing>
        <wp:inline distT="0" distB="0" distL="0" distR="0">
          <wp:extent cx="1162050" cy="390525"/>
          <wp:effectExtent l="0" t="0" r="0" b="0"/>
          <wp:docPr id="4" name="Picture 4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E6F" w:rsidRDefault="00AE4E6F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3E4B67" w:rsidRPr="00AE4E6F" w:rsidRDefault="003E4B67" w:rsidP="003E4B67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AE4E6F">
      <w:rPr>
        <w:rFonts w:ascii="Arial" w:hAnsi="Arial" w:cs="Arial"/>
        <w:b/>
        <w:bCs/>
        <w:sz w:val="24"/>
        <w:szCs w:val="28"/>
        <w:lang w:val="fr-CA"/>
      </w:rPr>
      <w:t>Réseau régional ontarien de coordination du sang</w:t>
    </w:r>
  </w:p>
  <w:p w:rsidR="00D65F19" w:rsidRPr="00AE4E6F" w:rsidRDefault="003E4B67" w:rsidP="003E4B67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AE4E6F">
      <w:rPr>
        <w:rFonts w:ascii="Arial" w:hAnsi="Arial" w:cs="Arial"/>
        <w:b/>
        <w:bCs/>
        <w:sz w:val="24"/>
        <w:szCs w:val="28"/>
        <w:lang w:val="fr-CA"/>
      </w:rPr>
      <w:t>Manuel de ressources techniques en transfusion de l’Ontario</w:t>
    </w:r>
  </w:p>
  <w:p w:rsidR="003E4B67" w:rsidRPr="00AE4E6F" w:rsidRDefault="003E4B67" w:rsidP="003E4B67">
    <w:pPr>
      <w:pStyle w:val="Header"/>
      <w:jc w:val="center"/>
      <w:rPr>
        <w:rFonts w:ascii="Arial" w:hAnsi="Arial"/>
        <w:b/>
        <w:sz w:val="24"/>
        <w:lang w:val="fr-CA"/>
      </w:rPr>
    </w:pPr>
  </w:p>
  <w:p w:rsidR="00D65F19" w:rsidRPr="005343CE" w:rsidRDefault="00D65F19">
    <w:pPr>
      <w:pStyle w:val="Header"/>
      <w:jc w:val="center"/>
      <w:rPr>
        <w:rFonts w:ascii="Arial" w:hAnsi="Arial"/>
        <w:b/>
        <w:sz w:val="28"/>
        <w:lang w:val="fr-CA"/>
      </w:rPr>
    </w:pPr>
    <w:r w:rsidRPr="005343CE">
      <w:rPr>
        <w:rFonts w:ascii="Arial" w:hAnsi="Arial"/>
        <w:b/>
        <w:sz w:val="28"/>
        <w:lang w:val="fr-CA"/>
      </w:rPr>
      <w:t>Typage des antigènes - agglutination directe et indirecte</w:t>
    </w:r>
  </w:p>
  <w:p w:rsidR="00D65F19" w:rsidRPr="00AE4E6F" w:rsidRDefault="00D65F19">
    <w:pPr>
      <w:pStyle w:val="Header"/>
      <w:jc w:val="center"/>
      <w:rPr>
        <w:rFonts w:ascii="Arial" w:hAnsi="Arial"/>
        <w:b/>
        <w:sz w:val="24"/>
        <w:lang w:val="fr-CA"/>
      </w:rPr>
    </w:pPr>
  </w:p>
  <w:p w:rsidR="00D65F19" w:rsidRPr="00C92EF2" w:rsidRDefault="00D65F19">
    <w:pPr>
      <w:pStyle w:val="Header"/>
      <w:tabs>
        <w:tab w:val="left" w:pos="6617"/>
      </w:tabs>
      <w:jc w:val="center"/>
      <w:rPr>
        <w:rFonts w:ascii="Arial" w:hAnsi="Arial" w:cs="Arial"/>
        <w:b/>
        <w:bCs/>
        <w:lang w:val="fr-CA"/>
      </w:rPr>
    </w:pPr>
    <w:r w:rsidRPr="00C92EF2">
      <w:rPr>
        <w:rFonts w:ascii="Arial" w:hAnsi="Arial" w:cs="Arial"/>
        <w:b/>
        <w:bCs/>
        <w:lang w:val="fr-CA"/>
      </w:rPr>
      <w:tab/>
    </w:r>
    <w:r w:rsidR="004B1A24" w:rsidRPr="00C92EF2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DA27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w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v8fcBB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13"/>
      <w:gridCol w:w="4327"/>
    </w:tblGrid>
    <w:tr w:rsidR="009505AA" w:rsidRPr="00C92EF2">
      <w:tc>
        <w:tcPr>
          <w:tcW w:w="4428" w:type="dxa"/>
        </w:tcPr>
        <w:p w:rsidR="009505AA" w:rsidRPr="00A8556C" w:rsidRDefault="0065048F" w:rsidP="003E4B67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Approbation </w:t>
          </w:r>
        </w:p>
      </w:tc>
      <w:tc>
        <w:tcPr>
          <w:tcW w:w="4428" w:type="dxa"/>
        </w:tcPr>
        <w:p w:rsidR="009505AA" w:rsidRPr="00C92EF2" w:rsidRDefault="009505AA">
          <w:pPr>
            <w:pStyle w:val="Header"/>
            <w:rPr>
              <w:rFonts w:ascii="Arial" w:hAnsi="Arial" w:cs="Arial"/>
              <w:lang w:val="fr-CA"/>
            </w:rPr>
          </w:pPr>
          <w:r w:rsidRPr="00C92EF2">
            <w:rPr>
              <w:rFonts w:ascii="Arial" w:hAnsi="Arial" w:cs="Arial"/>
              <w:lang w:val="fr-CA"/>
            </w:rPr>
            <w:t>Document n</w:t>
          </w:r>
          <w:r w:rsidRPr="00C92EF2">
            <w:rPr>
              <w:rFonts w:ascii="Arial" w:hAnsi="Arial" w:cs="Arial"/>
              <w:vertAlign w:val="superscript"/>
              <w:lang w:val="fr-CA"/>
            </w:rPr>
            <w:t>o</w:t>
          </w:r>
          <w:r w:rsidRPr="00C92EF2">
            <w:rPr>
              <w:rFonts w:ascii="Arial" w:hAnsi="Arial" w:cs="Arial"/>
              <w:lang w:val="fr-CA"/>
            </w:rPr>
            <w:t xml:space="preserve"> : EC.009</w:t>
          </w:r>
        </w:p>
      </w:tc>
    </w:tr>
    <w:tr w:rsidR="00D65F19" w:rsidRPr="00C92EF2">
      <w:tc>
        <w:tcPr>
          <w:tcW w:w="4428" w:type="dxa"/>
        </w:tcPr>
        <w:p w:rsidR="00D65F19" w:rsidRPr="00C92EF2" w:rsidRDefault="00D65F19">
          <w:pPr>
            <w:pStyle w:val="Header"/>
            <w:rPr>
              <w:rFonts w:ascii="Arial" w:hAnsi="Arial" w:cs="Arial"/>
              <w:lang w:val="fr-CA"/>
            </w:rPr>
          </w:pPr>
          <w:r w:rsidRPr="00C92EF2">
            <w:rPr>
              <w:rFonts w:ascii="Arial" w:hAnsi="Arial" w:cs="Arial"/>
              <w:lang w:val="fr-CA"/>
            </w:rPr>
            <w:t xml:space="preserve">Date de </w:t>
          </w:r>
          <w:r w:rsidR="0065048F">
            <w:rPr>
              <w:rFonts w:ascii="Arial" w:hAnsi="Arial" w:cs="Arial"/>
              <w:lang w:val="fr-CA"/>
            </w:rPr>
            <w:t>publication </w:t>
          </w:r>
          <w:r w:rsidRPr="00C92EF2">
            <w:rPr>
              <w:rFonts w:ascii="Arial" w:hAnsi="Arial" w:cs="Arial"/>
              <w:lang w:val="fr-CA"/>
            </w:rPr>
            <w:t>: 2006/08/01</w:t>
          </w:r>
        </w:p>
      </w:tc>
      <w:tc>
        <w:tcPr>
          <w:tcW w:w="4428" w:type="dxa"/>
        </w:tcPr>
        <w:p w:rsidR="00D65F19" w:rsidRPr="00C92EF2" w:rsidRDefault="0065048F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Catégorie </w:t>
          </w:r>
          <w:r w:rsidR="00D65F19" w:rsidRPr="00C92EF2">
            <w:rPr>
              <w:rFonts w:ascii="Arial" w:hAnsi="Arial" w:cs="Arial"/>
              <w:lang w:val="fr-CA"/>
            </w:rPr>
            <w:t>: Épreuves complémentaires</w:t>
          </w:r>
        </w:p>
      </w:tc>
    </w:tr>
    <w:tr w:rsidR="009505AA" w:rsidRPr="00C92EF2">
      <w:tc>
        <w:tcPr>
          <w:tcW w:w="4428" w:type="dxa"/>
        </w:tcPr>
        <w:p w:rsidR="009505AA" w:rsidRPr="00A8556C" w:rsidRDefault="009505AA" w:rsidP="009729A5">
          <w:pPr>
            <w:pStyle w:val="Header"/>
            <w:rPr>
              <w:rFonts w:ascii="Arial" w:hAnsi="Arial" w:cs="Arial"/>
              <w:lang w:val="fr-CA"/>
            </w:rPr>
          </w:pPr>
          <w:r w:rsidRPr="0082137B">
            <w:rPr>
              <w:rFonts w:ascii="Arial" w:hAnsi="Arial" w:cs="Arial"/>
              <w:color w:val="000000"/>
              <w:lang w:val="fr-CA"/>
            </w:rPr>
            <w:t xml:space="preserve">Date de </w:t>
          </w:r>
          <w:r w:rsidR="0065048F">
            <w:rPr>
              <w:rFonts w:ascii="Arial" w:hAnsi="Arial" w:cs="Arial"/>
              <w:color w:val="000000"/>
              <w:lang w:val="fr-CA"/>
            </w:rPr>
            <w:t>révision </w:t>
          </w:r>
          <w:r w:rsidRPr="0082137B">
            <w:rPr>
              <w:rFonts w:ascii="Arial" w:hAnsi="Arial" w:cs="Arial"/>
              <w:color w:val="000000"/>
              <w:lang w:val="fr-CA"/>
            </w:rPr>
            <w:t>:</w:t>
          </w:r>
          <w:r>
            <w:rPr>
              <w:rFonts w:ascii="Arial" w:hAnsi="Arial" w:cs="Arial"/>
              <w:color w:val="000000"/>
              <w:lang w:val="fr-CA"/>
            </w:rPr>
            <w:t xml:space="preserve"> </w:t>
          </w:r>
          <w:r>
            <w:rPr>
              <w:rFonts w:ascii="Arial" w:hAnsi="Arial" w:cs="Arial"/>
              <w:lang w:val="fr-CA"/>
            </w:rPr>
            <w:t>2009/12/31</w:t>
          </w:r>
          <w:r w:rsidR="003E4B67">
            <w:rPr>
              <w:rFonts w:ascii="Arial" w:hAnsi="Arial" w:cs="Arial"/>
              <w:lang w:val="fr-CA"/>
            </w:rPr>
            <w:t>; 2014/03/01</w:t>
          </w:r>
        </w:p>
      </w:tc>
      <w:tc>
        <w:tcPr>
          <w:tcW w:w="4428" w:type="dxa"/>
        </w:tcPr>
        <w:p w:rsidR="009505AA" w:rsidRPr="00C92EF2" w:rsidRDefault="0065048F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Pages </w:t>
          </w:r>
          <w:r w:rsidR="009505AA" w:rsidRPr="00C92EF2">
            <w:rPr>
              <w:rFonts w:ascii="Arial" w:hAnsi="Arial" w:cs="Arial"/>
              <w:lang w:val="fr-CA"/>
            </w:rPr>
            <w:t>:</w:t>
          </w:r>
          <w:r>
            <w:rPr>
              <w:rFonts w:ascii="Arial" w:hAnsi="Arial" w:cs="Arial"/>
              <w:lang w:val="fr-CA"/>
            </w:rPr>
            <w:t xml:space="preserve"> </w:t>
          </w:r>
          <w:r w:rsidR="009505AA" w:rsidRPr="00C92EF2">
            <w:rPr>
              <w:rFonts w:ascii="Arial" w:hAnsi="Arial" w:cs="Arial"/>
              <w:lang w:val="fr-CA"/>
            </w:rPr>
            <w:fldChar w:fldCharType="begin"/>
          </w:r>
          <w:r w:rsidR="009505AA" w:rsidRPr="00C92EF2">
            <w:rPr>
              <w:rFonts w:ascii="Arial" w:hAnsi="Arial" w:cs="Arial"/>
              <w:lang w:val="fr-CA"/>
            </w:rPr>
            <w:instrText xml:space="preserve"> NUMPAGES </w:instrText>
          </w:r>
          <w:r w:rsidR="009505AA" w:rsidRPr="00C92EF2">
            <w:rPr>
              <w:rFonts w:ascii="Arial" w:hAnsi="Arial" w:cs="Arial"/>
              <w:lang w:val="fr-CA"/>
            </w:rPr>
            <w:fldChar w:fldCharType="separate"/>
          </w:r>
          <w:r w:rsidR="00574325">
            <w:rPr>
              <w:rFonts w:ascii="Arial" w:hAnsi="Arial" w:cs="Arial"/>
              <w:noProof/>
              <w:lang w:val="fr-CA"/>
            </w:rPr>
            <w:t>1</w:t>
          </w:r>
          <w:r w:rsidR="009505AA" w:rsidRPr="00C92EF2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D65F19" w:rsidRPr="00C92EF2" w:rsidRDefault="004B1A24">
    <w:pPr>
      <w:pStyle w:val="Header"/>
      <w:rPr>
        <w:lang w:val="fr-CA"/>
      </w:rPr>
    </w:pPr>
    <w:r w:rsidRPr="00C92EF2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A183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C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zNH1K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KZ3MK8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D65F19" w:rsidRPr="00C92EF2">
      <w:rPr>
        <w:rFonts w:ascii="Arial" w:hAnsi="Arial" w:cs="Arial"/>
        <w:lang w:val="fr-CA"/>
      </w:rPr>
      <w:tab/>
    </w:r>
  </w:p>
  <w:p w:rsidR="00D65F19" w:rsidRDefault="00D6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709"/>
    <w:multiLevelType w:val="multilevel"/>
    <w:tmpl w:val="803610C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DA75FC"/>
    <w:multiLevelType w:val="multilevel"/>
    <w:tmpl w:val="803610C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5844788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 w15:restartNumberingAfterBreak="0">
    <w:nsid w:val="22B64BBC"/>
    <w:multiLevelType w:val="multilevel"/>
    <w:tmpl w:val="803610C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D985190"/>
    <w:multiLevelType w:val="multilevel"/>
    <w:tmpl w:val="803610C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33B024D8"/>
    <w:multiLevelType w:val="hybridMultilevel"/>
    <w:tmpl w:val="6602F0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3700E"/>
    <w:multiLevelType w:val="hybridMultilevel"/>
    <w:tmpl w:val="13ECC0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AF3E7D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9" w15:restartNumberingAfterBreak="0">
    <w:nsid w:val="45300BFB"/>
    <w:multiLevelType w:val="hybridMultilevel"/>
    <w:tmpl w:val="C7A81B1C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F21E5D"/>
    <w:multiLevelType w:val="hybridMultilevel"/>
    <w:tmpl w:val="435ED4C2"/>
    <w:lvl w:ilvl="0" w:tplc="3AC041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F0C48"/>
    <w:multiLevelType w:val="multilevel"/>
    <w:tmpl w:val="803610C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4CE3504"/>
    <w:multiLevelType w:val="multilevel"/>
    <w:tmpl w:val="42201B9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56A6D71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4" w15:restartNumberingAfterBreak="0">
    <w:nsid w:val="7C19232A"/>
    <w:multiLevelType w:val="multilevel"/>
    <w:tmpl w:val="803610C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A1"/>
    <w:rsid w:val="00035FC6"/>
    <w:rsid w:val="000400BD"/>
    <w:rsid w:val="00047900"/>
    <w:rsid w:val="00063A89"/>
    <w:rsid w:val="00192416"/>
    <w:rsid w:val="001C2F51"/>
    <w:rsid w:val="001E322C"/>
    <w:rsid w:val="0022482C"/>
    <w:rsid w:val="0029350B"/>
    <w:rsid w:val="002A2E42"/>
    <w:rsid w:val="002C17A3"/>
    <w:rsid w:val="002D257E"/>
    <w:rsid w:val="00322640"/>
    <w:rsid w:val="0037282F"/>
    <w:rsid w:val="003B7C5B"/>
    <w:rsid w:val="003E4B67"/>
    <w:rsid w:val="004A112D"/>
    <w:rsid w:val="004B1A24"/>
    <w:rsid w:val="00527326"/>
    <w:rsid w:val="005343CE"/>
    <w:rsid w:val="005530B9"/>
    <w:rsid w:val="005715DC"/>
    <w:rsid w:val="00574325"/>
    <w:rsid w:val="005765C5"/>
    <w:rsid w:val="005F524A"/>
    <w:rsid w:val="00627D9B"/>
    <w:rsid w:val="0065048F"/>
    <w:rsid w:val="006C5B35"/>
    <w:rsid w:val="00732AD5"/>
    <w:rsid w:val="0074630A"/>
    <w:rsid w:val="007844CB"/>
    <w:rsid w:val="007B3E10"/>
    <w:rsid w:val="007C74B3"/>
    <w:rsid w:val="007D6407"/>
    <w:rsid w:val="00836891"/>
    <w:rsid w:val="008526AE"/>
    <w:rsid w:val="008B52A1"/>
    <w:rsid w:val="009505AA"/>
    <w:rsid w:val="009729A5"/>
    <w:rsid w:val="009E28AA"/>
    <w:rsid w:val="00A458D5"/>
    <w:rsid w:val="00A677BE"/>
    <w:rsid w:val="00A7274B"/>
    <w:rsid w:val="00AE4E6F"/>
    <w:rsid w:val="00BA4456"/>
    <w:rsid w:val="00BA58E1"/>
    <w:rsid w:val="00BC708F"/>
    <w:rsid w:val="00BE2AD5"/>
    <w:rsid w:val="00BE5C50"/>
    <w:rsid w:val="00C32C50"/>
    <w:rsid w:val="00C92EF2"/>
    <w:rsid w:val="00D24DBF"/>
    <w:rsid w:val="00D46159"/>
    <w:rsid w:val="00D65F19"/>
    <w:rsid w:val="00DF0130"/>
    <w:rsid w:val="00E04E4D"/>
    <w:rsid w:val="00E13A10"/>
    <w:rsid w:val="00EE60A2"/>
    <w:rsid w:val="00EF1C7B"/>
    <w:rsid w:val="00F436E9"/>
    <w:rsid w:val="00FB06F5"/>
    <w:rsid w:val="00FB32ED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991560-4B4C-4974-B084-E85FE1DA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C2F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B67"/>
    <w:pPr>
      <w:ind w:left="720"/>
      <w:contextualSpacing/>
    </w:pPr>
  </w:style>
  <w:style w:type="table" w:styleId="TableGrid">
    <w:name w:val="Table Grid"/>
    <w:basedOn w:val="TableNormal"/>
    <w:rsid w:val="003E4B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E4B6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2542-DF11-46D7-ACE5-5826E7A1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1581</Words>
  <Characters>9017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NRT.009 Antigen Typing - Direct and Indirect Agglutination</vt:lpstr>
      <vt:lpstr>NRT.009 Antigen Typing - Direct and Indirect Agglutination</vt:lpstr>
    </vt:vector>
  </TitlesOfParts>
  <Company>Microsoft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NRT.009 Antigen Typing - Direct and Indirect Agglutination</dc:title>
  <dc:subject/>
  <dc:creator>Transfusion Ontario Program Office</dc:creator>
  <cp:keywords/>
  <cp:lastModifiedBy>Nesrallah, Heather</cp:lastModifiedBy>
  <cp:revision>2</cp:revision>
  <cp:lastPrinted>2011-02-04T17:27:00Z</cp:lastPrinted>
  <dcterms:created xsi:type="dcterms:W3CDTF">2020-08-11T12:42:00Z</dcterms:created>
  <dcterms:modified xsi:type="dcterms:W3CDTF">2020-08-11T12:42:00Z</dcterms:modified>
</cp:coreProperties>
</file>