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6A3" w:rsidRPr="00C2500E" w:rsidRDefault="00A116A3" w:rsidP="00CD6568">
      <w:pPr>
        <w:rPr>
          <w:lang w:val="fr-CA"/>
        </w:rPr>
      </w:pPr>
      <w:bookmarkStart w:id="0" w:name="_GoBack"/>
      <w:bookmarkEnd w:id="0"/>
      <w:r>
        <w:rPr>
          <w:rFonts w:ascii="Arial" w:hAnsi="Arial"/>
          <w:b/>
          <w:sz w:val="28"/>
          <w:lang w:val="fr-CA"/>
        </w:rPr>
        <w:t>Liste de vérification - I</w:t>
      </w:r>
      <w:r w:rsidRPr="00766EB0">
        <w:rPr>
          <w:rFonts w:ascii="Arial" w:hAnsi="Arial"/>
          <w:b/>
          <w:sz w:val="28"/>
          <w:lang w:val="fr-CA"/>
        </w:rPr>
        <w:t xml:space="preserve">dentification d’anticorps réactifs </w:t>
      </w:r>
      <w:r w:rsidR="00574B44">
        <w:rPr>
          <w:rFonts w:ascii="Arial" w:hAnsi="Arial"/>
          <w:b/>
          <w:sz w:val="28"/>
          <w:lang w:val="fr-CA"/>
        </w:rPr>
        <w:t>chauds</w:t>
      </w:r>
    </w:p>
    <w:p w:rsidR="00A116A3" w:rsidRPr="00C2500E" w:rsidRDefault="00A116A3">
      <w:pPr>
        <w:rPr>
          <w:lang w:val="fr-CA"/>
        </w:rPr>
      </w:pPr>
    </w:p>
    <w:tbl>
      <w:tblPr>
        <w:tblW w:w="8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90"/>
        <w:gridCol w:w="900"/>
      </w:tblGrid>
      <w:tr w:rsidR="00574B44" w:rsidRPr="005213E4">
        <w:trPr>
          <w:cantSplit/>
          <w:jc w:val="center"/>
        </w:trPr>
        <w:tc>
          <w:tcPr>
            <w:tcW w:w="7290" w:type="dxa"/>
            <w:tcBorders>
              <w:top w:val="single" w:sz="4" w:space="0" w:color="auto"/>
              <w:bottom w:val="nil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574B44" w:rsidRPr="005213E4" w:rsidRDefault="00574B44" w:rsidP="002614EA">
            <w:pPr>
              <w:tabs>
                <w:tab w:val="left" w:pos="-720"/>
                <w:tab w:val="left" w:pos="0"/>
                <w:tab w:val="left" w:pos="432"/>
              </w:tabs>
              <w:suppressAutoHyphens/>
              <w:spacing w:line="228" w:lineRule="auto"/>
              <w:ind w:right="-360"/>
              <w:jc w:val="center"/>
              <w:rPr>
                <w:rFonts w:ascii="Arial" w:hAnsi="Arial"/>
                <w:b/>
                <w:sz w:val="24"/>
                <w:lang w:val="fr-CA"/>
              </w:rPr>
            </w:pPr>
            <w:r w:rsidRPr="005213E4">
              <w:rPr>
                <w:rFonts w:ascii="Arial" w:hAnsi="Arial"/>
                <w:sz w:val="24"/>
                <w:lang w:val="fr-CA"/>
              </w:rPr>
              <w:br w:type="page"/>
            </w:r>
            <w:r w:rsidR="00F4548A">
              <w:rPr>
                <w:rFonts w:ascii="Arial" w:hAnsi="Arial"/>
                <w:b/>
                <w:sz w:val="24"/>
                <w:lang w:val="fr-CA"/>
              </w:rPr>
              <w:t>Liste</w:t>
            </w:r>
            <w:r w:rsidR="00F4548A" w:rsidRPr="005213E4">
              <w:rPr>
                <w:rFonts w:ascii="Arial" w:hAnsi="Arial"/>
                <w:b/>
                <w:sz w:val="24"/>
                <w:lang w:val="fr-CA"/>
              </w:rPr>
              <w:t xml:space="preserve"> </w:t>
            </w:r>
            <w:r w:rsidRPr="005213E4">
              <w:rPr>
                <w:rFonts w:ascii="Arial" w:hAnsi="Arial"/>
                <w:b/>
                <w:sz w:val="24"/>
                <w:lang w:val="fr-CA"/>
              </w:rPr>
              <w:t>de vérification –</w:t>
            </w:r>
          </w:p>
          <w:p w:rsidR="00574B44" w:rsidRPr="005213E4" w:rsidRDefault="00574B44" w:rsidP="002614EA">
            <w:pPr>
              <w:tabs>
                <w:tab w:val="left" w:pos="-720"/>
                <w:tab w:val="left" w:pos="0"/>
                <w:tab w:val="left" w:pos="432"/>
              </w:tabs>
              <w:suppressAutoHyphens/>
              <w:spacing w:line="228" w:lineRule="auto"/>
              <w:ind w:right="-360"/>
              <w:jc w:val="center"/>
              <w:rPr>
                <w:rFonts w:ascii="Arial" w:hAnsi="Arial"/>
                <w:b/>
                <w:sz w:val="24"/>
                <w:lang w:val="fr-CA"/>
              </w:rPr>
            </w:pPr>
            <w:r w:rsidRPr="005213E4">
              <w:rPr>
                <w:rFonts w:ascii="Arial" w:hAnsi="Arial"/>
                <w:b/>
                <w:sz w:val="24"/>
                <w:lang w:val="fr-CA"/>
              </w:rPr>
              <w:t>Identification d'anticorps réactifs chauds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574B44" w:rsidRPr="005213E4" w:rsidRDefault="00574B44" w:rsidP="002614EA">
            <w:pPr>
              <w:tabs>
                <w:tab w:val="left" w:pos="-720"/>
                <w:tab w:val="left" w:pos="0"/>
                <w:tab w:val="left" w:pos="432"/>
              </w:tabs>
              <w:suppressAutoHyphens/>
              <w:spacing w:line="228" w:lineRule="auto"/>
              <w:ind w:right="-360"/>
              <w:rPr>
                <w:rFonts w:ascii="Arial" w:hAnsi="Arial"/>
                <w:sz w:val="22"/>
                <w:szCs w:val="22"/>
                <w:lang w:val="fr-CA"/>
              </w:rPr>
            </w:pPr>
            <w:r w:rsidRPr="005213E4">
              <w:rPr>
                <w:rFonts w:ascii="Arial" w:hAnsi="Arial"/>
                <w:sz w:val="22"/>
                <w:szCs w:val="22"/>
                <w:lang w:val="fr-CA"/>
              </w:rPr>
              <w:t>Cocher</w:t>
            </w:r>
          </w:p>
        </w:tc>
      </w:tr>
      <w:tr w:rsidR="00574B44" w:rsidRPr="005213E4">
        <w:trPr>
          <w:cantSplit/>
          <w:jc w:val="center"/>
        </w:trPr>
        <w:tc>
          <w:tcPr>
            <w:tcW w:w="7290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574B44" w:rsidRPr="005213E4" w:rsidRDefault="00574B44" w:rsidP="002614EA">
            <w:pPr>
              <w:pStyle w:val="List"/>
              <w:numPr>
                <w:ilvl w:val="0"/>
                <w:numId w:val="2"/>
              </w:numPr>
              <w:spacing w:line="228" w:lineRule="auto"/>
              <w:rPr>
                <w:rFonts w:ascii="Arial" w:hAnsi="Arial"/>
                <w:lang w:val="fr-CA"/>
              </w:rPr>
            </w:pPr>
            <w:r w:rsidRPr="005213E4">
              <w:rPr>
                <w:rFonts w:ascii="Arial" w:hAnsi="Arial"/>
                <w:spacing w:val="-2"/>
                <w:kern w:val="24"/>
                <w:lang w:val="fr-CA"/>
              </w:rPr>
              <w:t>On a procédé à une exclusion d’anticorps</w:t>
            </w:r>
            <w:r w:rsidRPr="005213E4">
              <w:rPr>
                <w:rFonts w:ascii="Arial" w:hAnsi="Arial"/>
                <w:lang w:val="fr-CA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574B44" w:rsidRPr="005213E4" w:rsidRDefault="00574B44" w:rsidP="002614EA">
            <w:pPr>
              <w:pStyle w:val="List"/>
              <w:spacing w:line="228" w:lineRule="auto"/>
              <w:ind w:left="0" w:firstLine="0"/>
              <w:rPr>
                <w:rFonts w:ascii="Arial" w:hAnsi="Arial"/>
                <w:lang w:val="fr-CA"/>
              </w:rPr>
            </w:pPr>
          </w:p>
        </w:tc>
      </w:tr>
      <w:tr w:rsidR="00574B44" w:rsidRPr="005213E4">
        <w:trPr>
          <w:cantSplit/>
          <w:jc w:val="center"/>
        </w:trPr>
        <w:tc>
          <w:tcPr>
            <w:tcW w:w="7290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574B44" w:rsidRPr="005213E4" w:rsidRDefault="00574B44" w:rsidP="002614EA">
            <w:pPr>
              <w:pStyle w:val="List"/>
              <w:numPr>
                <w:ilvl w:val="0"/>
                <w:numId w:val="2"/>
              </w:numPr>
              <w:spacing w:line="228" w:lineRule="auto"/>
              <w:rPr>
                <w:rFonts w:ascii="Arial" w:hAnsi="Arial"/>
                <w:spacing w:val="-2"/>
                <w:kern w:val="24"/>
                <w:lang w:val="fr-CA"/>
              </w:rPr>
            </w:pPr>
            <w:r w:rsidRPr="005213E4">
              <w:rPr>
                <w:rFonts w:ascii="Arial" w:hAnsi="Arial"/>
                <w:spacing w:val="-2"/>
                <w:kern w:val="24"/>
                <w:lang w:val="fr-CA"/>
              </w:rPr>
              <w:t>On a ajouté des cellules recouvertes d’IgG à tous les tests de TI</w:t>
            </w:r>
            <w:r w:rsidR="00CD6568">
              <w:rPr>
                <w:rFonts w:ascii="Arial" w:hAnsi="Arial"/>
                <w:spacing w:val="-2"/>
                <w:kern w:val="24"/>
                <w:lang w:val="fr-CA"/>
              </w:rPr>
              <w:t xml:space="preserve">A négatifs, </w:t>
            </w:r>
            <w:r w:rsidRPr="005213E4">
              <w:rPr>
                <w:rFonts w:ascii="Arial" w:hAnsi="Arial"/>
                <w:spacing w:val="-2"/>
                <w:kern w:val="24"/>
                <w:lang w:val="fr-CA"/>
              </w:rPr>
              <w:t>et les résultats ont été inscrits.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574B44" w:rsidRPr="005213E4" w:rsidRDefault="00574B44" w:rsidP="002614EA">
            <w:pPr>
              <w:pStyle w:val="List"/>
              <w:spacing w:line="228" w:lineRule="auto"/>
              <w:ind w:left="0" w:firstLine="0"/>
              <w:rPr>
                <w:rFonts w:ascii="Arial" w:hAnsi="Arial"/>
                <w:spacing w:val="-2"/>
                <w:lang w:val="fr-CA"/>
              </w:rPr>
            </w:pPr>
          </w:p>
        </w:tc>
      </w:tr>
      <w:tr w:rsidR="00574B44" w:rsidRPr="005213E4">
        <w:trPr>
          <w:cantSplit/>
          <w:jc w:val="center"/>
        </w:trPr>
        <w:tc>
          <w:tcPr>
            <w:tcW w:w="7290" w:type="dxa"/>
            <w:tcBorders>
              <w:top w:val="nil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574B44" w:rsidRPr="005213E4" w:rsidRDefault="00574B44" w:rsidP="002614EA">
            <w:pPr>
              <w:pStyle w:val="List"/>
              <w:spacing w:line="228" w:lineRule="auto"/>
              <w:ind w:left="0" w:firstLine="0"/>
              <w:rPr>
                <w:rFonts w:ascii="Arial" w:hAnsi="Arial"/>
                <w:spacing w:val="-2"/>
                <w:lang w:val="fr-CA"/>
              </w:rPr>
            </w:pPr>
            <w:r w:rsidRPr="005213E4">
              <w:rPr>
                <w:rFonts w:ascii="Arial" w:hAnsi="Arial"/>
                <w:spacing w:val="-2"/>
                <w:lang w:val="fr-CA"/>
              </w:rPr>
              <w:t xml:space="preserve">Vérifier les éléments suivants en se servant de feuilles de </w:t>
            </w:r>
            <w:r w:rsidRPr="005213E4">
              <w:rPr>
                <w:rFonts w:ascii="Arial" w:hAnsi="Arial"/>
                <w:b/>
                <w:spacing w:val="-2"/>
                <w:lang w:val="fr-CA"/>
              </w:rPr>
              <w:t xml:space="preserve">typage d’antigène </w:t>
            </w:r>
            <w:r w:rsidRPr="005213E4">
              <w:rPr>
                <w:rFonts w:ascii="Arial" w:hAnsi="Arial"/>
                <w:spacing w:val="-2"/>
                <w:lang w:val="fr-CA"/>
              </w:rPr>
              <w:t>(</w:t>
            </w:r>
            <w:r w:rsidR="00CD6568">
              <w:rPr>
                <w:rFonts w:ascii="Arial" w:hAnsi="Arial"/>
                <w:spacing w:val="-2"/>
                <w:lang w:val="fr-CA"/>
              </w:rPr>
              <w:t xml:space="preserve">ou </w:t>
            </w:r>
            <w:r w:rsidRPr="005213E4">
              <w:rPr>
                <w:rFonts w:ascii="Arial" w:hAnsi="Arial"/>
                <w:spacing w:val="-2"/>
                <w:lang w:val="fr-CA"/>
              </w:rPr>
              <w:t>des résultats à l’ordinateur) :</w:t>
            </w:r>
          </w:p>
        </w:tc>
        <w:tc>
          <w:tcPr>
            <w:tcW w:w="900" w:type="dxa"/>
            <w:tcBorders>
              <w:top w:val="nil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574B44" w:rsidRPr="005213E4" w:rsidRDefault="00574B44" w:rsidP="002614EA">
            <w:pPr>
              <w:pStyle w:val="List"/>
              <w:spacing w:line="228" w:lineRule="auto"/>
              <w:ind w:left="0" w:firstLine="0"/>
              <w:rPr>
                <w:rFonts w:ascii="Arial" w:hAnsi="Arial"/>
                <w:spacing w:val="-2"/>
                <w:lang w:val="fr-CA"/>
              </w:rPr>
            </w:pPr>
          </w:p>
        </w:tc>
      </w:tr>
      <w:tr w:rsidR="00574B44" w:rsidRPr="005213E4">
        <w:trPr>
          <w:cantSplit/>
          <w:jc w:val="center"/>
        </w:trPr>
        <w:tc>
          <w:tcPr>
            <w:tcW w:w="729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574B44" w:rsidRPr="005213E4" w:rsidRDefault="00574B44" w:rsidP="002614EA">
            <w:pPr>
              <w:pStyle w:val="List"/>
              <w:numPr>
                <w:ilvl w:val="0"/>
                <w:numId w:val="2"/>
              </w:numPr>
              <w:spacing w:line="228" w:lineRule="auto"/>
              <w:rPr>
                <w:rFonts w:ascii="Arial" w:hAnsi="Arial"/>
                <w:spacing w:val="-2"/>
                <w:lang w:val="fr-CA"/>
              </w:rPr>
            </w:pPr>
            <w:r w:rsidRPr="005213E4">
              <w:rPr>
                <w:rFonts w:ascii="Arial" w:hAnsi="Arial"/>
                <w:lang w:val="fr-CA"/>
              </w:rPr>
              <w:t>Si le patient n’a pas reçu de transfusion au cours des 3 derniers mois, on a procédé à un phénotypage pour l’antigène correspondant qui s’est révélé négatif pour cet antigène</w:t>
            </w:r>
          </w:p>
        </w:tc>
        <w:tc>
          <w:tcPr>
            <w:tcW w:w="9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574B44" w:rsidRPr="005213E4" w:rsidRDefault="00574B44" w:rsidP="002614EA">
            <w:pPr>
              <w:pStyle w:val="List"/>
              <w:spacing w:line="228" w:lineRule="auto"/>
              <w:ind w:left="0" w:firstLine="0"/>
              <w:rPr>
                <w:rFonts w:ascii="Arial" w:hAnsi="Arial"/>
                <w:spacing w:val="-2"/>
                <w:lang w:val="fr-CA"/>
              </w:rPr>
            </w:pPr>
          </w:p>
        </w:tc>
      </w:tr>
      <w:tr w:rsidR="00574B44" w:rsidRPr="005213E4">
        <w:trPr>
          <w:cantSplit/>
          <w:jc w:val="center"/>
        </w:trPr>
        <w:tc>
          <w:tcPr>
            <w:tcW w:w="729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574B44" w:rsidRPr="005213E4" w:rsidRDefault="00574B44" w:rsidP="002614EA">
            <w:pPr>
              <w:pStyle w:val="List"/>
              <w:numPr>
                <w:ilvl w:val="0"/>
                <w:numId w:val="2"/>
              </w:numPr>
              <w:spacing w:line="228" w:lineRule="auto"/>
              <w:rPr>
                <w:rFonts w:ascii="Arial" w:hAnsi="Arial"/>
                <w:spacing w:val="-2"/>
                <w:lang w:val="fr-CA"/>
              </w:rPr>
            </w:pPr>
            <w:r w:rsidRPr="005213E4">
              <w:rPr>
                <w:rFonts w:ascii="Arial" w:hAnsi="Arial"/>
                <w:spacing w:val="-2"/>
                <w:kern w:val="24"/>
                <w:lang w:val="fr-CA"/>
              </w:rPr>
              <w:t xml:space="preserve">On a choisi des cellules appropriées pour les témoins positif et négatif (la cellule choisie pour le témoin positif </w:t>
            </w:r>
            <w:proofErr w:type="spellStart"/>
            <w:r w:rsidRPr="005213E4">
              <w:rPr>
                <w:rFonts w:ascii="Arial" w:hAnsi="Arial"/>
                <w:spacing w:val="-2"/>
                <w:kern w:val="24"/>
                <w:lang w:val="fr-CA"/>
              </w:rPr>
              <w:t>a</w:t>
            </w:r>
            <w:proofErr w:type="spellEnd"/>
            <w:r w:rsidRPr="005213E4">
              <w:rPr>
                <w:rFonts w:ascii="Arial" w:hAnsi="Arial"/>
                <w:spacing w:val="-2"/>
                <w:kern w:val="24"/>
                <w:lang w:val="fr-CA"/>
              </w:rPr>
              <w:t xml:space="preserve"> l’expression la plus faible de l’</w:t>
            </w:r>
            <w:r w:rsidRPr="005213E4">
              <w:rPr>
                <w:rFonts w:ascii="Arial" w:hAnsi="Arial"/>
                <w:spacing w:val="-2"/>
                <w:lang w:val="fr-CA"/>
              </w:rPr>
              <w:t>antigène).</w:t>
            </w:r>
          </w:p>
        </w:tc>
        <w:tc>
          <w:tcPr>
            <w:tcW w:w="9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574B44" w:rsidRPr="005213E4" w:rsidRDefault="00574B44" w:rsidP="002614EA">
            <w:pPr>
              <w:pStyle w:val="List"/>
              <w:spacing w:line="228" w:lineRule="auto"/>
              <w:ind w:left="0" w:firstLine="0"/>
              <w:rPr>
                <w:rFonts w:ascii="Arial" w:hAnsi="Arial"/>
                <w:spacing w:val="-2"/>
                <w:lang w:val="fr-CA"/>
              </w:rPr>
            </w:pPr>
          </w:p>
        </w:tc>
      </w:tr>
      <w:tr w:rsidR="00574B44" w:rsidRPr="005213E4">
        <w:trPr>
          <w:cantSplit/>
          <w:jc w:val="center"/>
        </w:trPr>
        <w:tc>
          <w:tcPr>
            <w:tcW w:w="729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574B44" w:rsidRPr="005213E4" w:rsidRDefault="00574B44" w:rsidP="002614EA">
            <w:pPr>
              <w:pStyle w:val="List"/>
              <w:numPr>
                <w:ilvl w:val="0"/>
                <w:numId w:val="2"/>
              </w:numPr>
              <w:spacing w:line="228" w:lineRule="auto"/>
              <w:rPr>
                <w:rFonts w:ascii="Arial" w:hAnsi="Arial"/>
                <w:spacing w:val="-2"/>
                <w:lang w:val="fr-CA"/>
              </w:rPr>
            </w:pPr>
            <w:r w:rsidRPr="005213E4">
              <w:rPr>
                <w:rFonts w:ascii="Arial" w:hAnsi="Arial"/>
                <w:spacing w:val="-2"/>
                <w:lang w:val="fr-CA"/>
              </w:rPr>
              <w:t>Si on s’est servi d’antisérum Rh (humain), on a préparé un témoin et inscrit les résultats.</w:t>
            </w:r>
          </w:p>
        </w:tc>
        <w:tc>
          <w:tcPr>
            <w:tcW w:w="9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574B44" w:rsidRPr="005213E4" w:rsidRDefault="00574B44" w:rsidP="002614EA">
            <w:pPr>
              <w:pStyle w:val="List"/>
              <w:spacing w:line="228" w:lineRule="auto"/>
              <w:ind w:left="0" w:firstLine="0"/>
              <w:rPr>
                <w:rFonts w:ascii="Arial" w:hAnsi="Arial"/>
                <w:spacing w:val="-2"/>
                <w:lang w:val="fr-CA"/>
              </w:rPr>
            </w:pPr>
          </w:p>
        </w:tc>
      </w:tr>
      <w:tr w:rsidR="00574B44" w:rsidRPr="005213E4">
        <w:trPr>
          <w:cantSplit/>
          <w:jc w:val="center"/>
        </w:trPr>
        <w:tc>
          <w:tcPr>
            <w:tcW w:w="729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574B44" w:rsidRPr="005213E4" w:rsidRDefault="00574B44" w:rsidP="002614EA">
            <w:pPr>
              <w:pStyle w:val="List"/>
              <w:numPr>
                <w:ilvl w:val="0"/>
                <w:numId w:val="2"/>
              </w:numPr>
              <w:spacing w:line="228" w:lineRule="auto"/>
              <w:rPr>
                <w:rFonts w:ascii="Arial" w:hAnsi="Arial"/>
                <w:spacing w:val="-2"/>
                <w:lang w:val="fr-CA"/>
              </w:rPr>
            </w:pPr>
            <w:r w:rsidRPr="005213E4">
              <w:rPr>
                <w:rFonts w:ascii="Arial" w:hAnsi="Arial"/>
                <w:spacing w:val="-2"/>
                <w:lang w:val="fr-CA"/>
              </w:rPr>
              <w:t xml:space="preserve">Si un phénotype rare ou inhabituel a été identifié, le typage </w:t>
            </w:r>
            <w:r w:rsidR="00F4548A">
              <w:rPr>
                <w:rFonts w:ascii="Arial" w:hAnsi="Arial"/>
                <w:spacing w:val="-2"/>
                <w:lang w:val="fr-CA"/>
              </w:rPr>
              <w:t xml:space="preserve">de l’antigène </w:t>
            </w:r>
            <w:r w:rsidRPr="005213E4">
              <w:rPr>
                <w:rFonts w:ascii="Arial" w:hAnsi="Arial"/>
                <w:spacing w:val="-2"/>
                <w:lang w:val="fr-CA"/>
              </w:rPr>
              <w:t>a été répété.</w:t>
            </w:r>
          </w:p>
        </w:tc>
        <w:tc>
          <w:tcPr>
            <w:tcW w:w="9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574B44" w:rsidRPr="005213E4" w:rsidRDefault="00574B44" w:rsidP="002614EA">
            <w:pPr>
              <w:pStyle w:val="List"/>
              <w:spacing w:line="228" w:lineRule="auto"/>
              <w:ind w:left="0" w:firstLine="0"/>
              <w:rPr>
                <w:rFonts w:ascii="Arial" w:hAnsi="Arial"/>
                <w:spacing w:val="-2"/>
                <w:lang w:val="fr-CA"/>
              </w:rPr>
            </w:pPr>
          </w:p>
        </w:tc>
      </w:tr>
      <w:tr w:rsidR="00574B44" w:rsidRPr="005213E4">
        <w:trPr>
          <w:cantSplit/>
          <w:jc w:val="center"/>
        </w:trPr>
        <w:tc>
          <w:tcPr>
            <w:tcW w:w="729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574B44" w:rsidRPr="005213E4" w:rsidRDefault="00574B44" w:rsidP="002614EA">
            <w:pPr>
              <w:pStyle w:val="List"/>
              <w:numPr>
                <w:ilvl w:val="0"/>
                <w:numId w:val="2"/>
              </w:numPr>
              <w:spacing w:line="228" w:lineRule="auto"/>
              <w:rPr>
                <w:rFonts w:ascii="Arial" w:hAnsi="Arial"/>
                <w:spacing w:val="-2"/>
                <w:lang w:val="fr-CA"/>
              </w:rPr>
            </w:pPr>
            <w:r w:rsidRPr="005213E4">
              <w:rPr>
                <w:rFonts w:ascii="Arial" w:hAnsi="Arial"/>
                <w:spacing w:val="-2"/>
                <w:lang w:val="fr-CA"/>
              </w:rPr>
              <w:t xml:space="preserve">Au typage d’antigène par TIA, le TDA ou l’autocontrôle était négatif. </w:t>
            </w:r>
          </w:p>
        </w:tc>
        <w:tc>
          <w:tcPr>
            <w:tcW w:w="9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574B44" w:rsidRPr="005213E4" w:rsidRDefault="00574B44" w:rsidP="002614EA">
            <w:pPr>
              <w:pStyle w:val="List"/>
              <w:spacing w:line="228" w:lineRule="auto"/>
              <w:ind w:left="0" w:firstLine="0"/>
              <w:rPr>
                <w:rFonts w:ascii="Arial" w:hAnsi="Arial"/>
                <w:spacing w:val="-2"/>
                <w:lang w:val="fr-CA"/>
              </w:rPr>
            </w:pPr>
          </w:p>
        </w:tc>
      </w:tr>
      <w:tr w:rsidR="00574B44" w:rsidRPr="005213E4">
        <w:trPr>
          <w:cantSplit/>
          <w:jc w:val="center"/>
        </w:trPr>
        <w:tc>
          <w:tcPr>
            <w:tcW w:w="729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574B44" w:rsidRPr="005213E4" w:rsidRDefault="00574B44" w:rsidP="002614EA">
            <w:pPr>
              <w:pStyle w:val="List"/>
              <w:numPr>
                <w:ilvl w:val="0"/>
                <w:numId w:val="2"/>
              </w:numPr>
              <w:spacing w:line="228" w:lineRule="auto"/>
              <w:rPr>
                <w:rFonts w:ascii="Arial" w:hAnsi="Arial"/>
                <w:spacing w:val="-2"/>
                <w:lang w:val="fr-CA"/>
              </w:rPr>
            </w:pPr>
            <w:r w:rsidRPr="005213E4">
              <w:rPr>
                <w:rFonts w:ascii="Arial" w:hAnsi="Arial"/>
                <w:spacing w:val="-2"/>
                <w:lang w:val="fr-CA"/>
              </w:rPr>
              <w:t xml:space="preserve">Si le patient aura besoin d’un soutien transfusionnel à long terme, un phénotypage complet des globules rouges a été exécuté. </w:t>
            </w:r>
          </w:p>
        </w:tc>
        <w:tc>
          <w:tcPr>
            <w:tcW w:w="9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574B44" w:rsidRPr="005213E4" w:rsidRDefault="00574B44" w:rsidP="002614EA">
            <w:pPr>
              <w:pStyle w:val="List"/>
              <w:spacing w:line="228" w:lineRule="auto"/>
              <w:ind w:left="0" w:firstLine="0"/>
              <w:rPr>
                <w:rFonts w:ascii="Arial" w:hAnsi="Arial"/>
                <w:spacing w:val="-2"/>
                <w:lang w:val="fr-CA"/>
              </w:rPr>
            </w:pPr>
          </w:p>
        </w:tc>
      </w:tr>
      <w:tr w:rsidR="00574B44" w:rsidRPr="005213E4">
        <w:trPr>
          <w:cantSplit/>
          <w:jc w:val="center"/>
        </w:trPr>
        <w:tc>
          <w:tcPr>
            <w:tcW w:w="729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574B44" w:rsidRPr="005213E4" w:rsidRDefault="00574B44" w:rsidP="002614EA">
            <w:pPr>
              <w:pStyle w:val="List"/>
              <w:numPr>
                <w:ilvl w:val="0"/>
                <w:numId w:val="2"/>
              </w:numPr>
              <w:spacing w:line="228" w:lineRule="auto"/>
              <w:rPr>
                <w:rFonts w:ascii="Arial" w:hAnsi="Arial"/>
                <w:spacing w:val="-2"/>
                <w:lang w:val="fr-CA"/>
              </w:rPr>
            </w:pPr>
            <w:r w:rsidRPr="005213E4">
              <w:rPr>
                <w:rFonts w:ascii="Arial" w:hAnsi="Arial"/>
                <w:spacing w:val="-2"/>
                <w:lang w:val="fr-CA"/>
              </w:rPr>
              <w:t>On a documenté les données suivantes :</w:t>
            </w:r>
          </w:p>
          <w:p w:rsidR="00574B44" w:rsidRPr="005213E4" w:rsidRDefault="00574B44" w:rsidP="00574B44">
            <w:pPr>
              <w:pStyle w:val="List"/>
              <w:numPr>
                <w:ilvl w:val="0"/>
                <w:numId w:val="4"/>
              </w:numPr>
              <w:tabs>
                <w:tab w:val="clear" w:pos="360"/>
              </w:tabs>
              <w:spacing w:line="228" w:lineRule="auto"/>
              <w:ind w:left="747"/>
              <w:rPr>
                <w:rFonts w:ascii="Arial" w:hAnsi="Arial"/>
                <w:spacing w:val="-2"/>
                <w:lang w:val="fr-CA"/>
              </w:rPr>
            </w:pPr>
            <w:proofErr w:type="gramStart"/>
            <w:r w:rsidRPr="005213E4">
              <w:rPr>
                <w:rFonts w:ascii="Arial" w:hAnsi="Arial"/>
                <w:spacing w:val="-2"/>
                <w:lang w:val="fr-CA"/>
              </w:rPr>
              <w:t>numéro</w:t>
            </w:r>
            <w:proofErr w:type="gramEnd"/>
            <w:r w:rsidRPr="005213E4">
              <w:rPr>
                <w:rFonts w:ascii="Arial" w:hAnsi="Arial"/>
                <w:spacing w:val="-2"/>
                <w:lang w:val="fr-CA"/>
              </w:rPr>
              <w:t xml:space="preserve"> de lot et date de péremption de l’antisérum </w:t>
            </w:r>
          </w:p>
          <w:p w:rsidR="00574B44" w:rsidRPr="005213E4" w:rsidRDefault="00574B44" w:rsidP="00574B44">
            <w:pPr>
              <w:pStyle w:val="List"/>
              <w:numPr>
                <w:ilvl w:val="0"/>
                <w:numId w:val="3"/>
              </w:numPr>
              <w:tabs>
                <w:tab w:val="clear" w:pos="360"/>
              </w:tabs>
              <w:spacing w:line="228" w:lineRule="auto"/>
              <w:ind w:left="747"/>
              <w:rPr>
                <w:rFonts w:ascii="Arial" w:hAnsi="Arial"/>
                <w:spacing w:val="-2"/>
                <w:lang w:val="fr-CA"/>
              </w:rPr>
            </w:pPr>
            <w:proofErr w:type="gramStart"/>
            <w:r w:rsidRPr="005213E4">
              <w:rPr>
                <w:rFonts w:ascii="Arial" w:hAnsi="Arial"/>
                <w:spacing w:val="-2"/>
                <w:lang w:val="fr-CA"/>
              </w:rPr>
              <w:t>initiales</w:t>
            </w:r>
            <w:proofErr w:type="gramEnd"/>
            <w:r w:rsidRPr="005213E4">
              <w:rPr>
                <w:rFonts w:ascii="Arial" w:hAnsi="Arial"/>
                <w:spacing w:val="-2"/>
                <w:lang w:val="fr-CA"/>
              </w:rPr>
              <w:t xml:space="preserve"> du technologue</w:t>
            </w:r>
          </w:p>
          <w:p w:rsidR="00574B44" w:rsidRPr="005213E4" w:rsidRDefault="00574B44" w:rsidP="00574B44">
            <w:pPr>
              <w:pStyle w:val="List"/>
              <w:numPr>
                <w:ilvl w:val="0"/>
                <w:numId w:val="3"/>
              </w:numPr>
              <w:tabs>
                <w:tab w:val="clear" w:pos="360"/>
              </w:tabs>
              <w:spacing w:line="228" w:lineRule="auto"/>
              <w:ind w:left="747"/>
              <w:rPr>
                <w:rFonts w:ascii="Arial" w:hAnsi="Arial"/>
                <w:spacing w:val="-2"/>
                <w:lang w:val="fr-CA"/>
              </w:rPr>
            </w:pPr>
            <w:proofErr w:type="gramStart"/>
            <w:r w:rsidRPr="005213E4">
              <w:rPr>
                <w:rFonts w:ascii="Arial" w:hAnsi="Arial"/>
                <w:spacing w:val="-2"/>
                <w:lang w:val="fr-CA"/>
              </w:rPr>
              <w:t>température</w:t>
            </w:r>
            <w:proofErr w:type="gramEnd"/>
            <w:r w:rsidRPr="005213E4">
              <w:rPr>
                <w:rFonts w:ascii="Arial" w:hAnsi="Arial"/>
                <w:spacing w:val="-2"/>
                <w:lang w:val="fr-CA"/>
              </w:rPr>
              <w:t xml:space="preserve"> et méthode utilisée, date (y compris l’année) du travail d’identification</w:t>
            </w:r>
          </w:p>
        </w:tc>
        <w:tc>
          <w:tcPr>
            <w:tcW w:w="9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574B44" w:rsidRPr="005213E4" w:rsidRDefault="00574B44" w:rsidP="002614EA">
            <w:pPr>
              <w:pStyle w:val="List"/>
              <w:spacing w:line="228" w:lineRule="auto"/>
              <w:ind w:left="0" w:firstLine="0"/>
              <w:rPr>
                <w:rFonts w:ascii="Arial" w:hAnsi="Arial"/>
                <w:spacing w:val="-2"/>
                <w:lang w:val="fr-CA"/>
              </w:rPr>
            </w:pPr>
          </w:p>
        </w:tc>
      </w:tr>
      <w:tr w:rsidR="00574B44" w:rsidRPr="005213E4">
        <w:trPr>
          <w:cantSplit/>
          <w:jc w:val="center"/>
        </w:trPr>
        <w:tc>
          <w:tcPr>
            <w:tcW w:w="729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574B44" w:rsidRPr="005213E4" w:rsidRDefault="00574B44" w:rsidP="002614EA">
            <w:pPr>
              <w:pStyle w:val="List"/>
              <w:spacing w:line="228" w:lineRule="auto"/>
              <w:ind w:left="0" w:firstLine="0"/>
              <w:rPr>
                <w:rFonts w:ascii="Arial" w:hAnsi="Arial"/>
                <w:spacing w:val="-2"/>
                <w:lang w:val="fr-CA"/>
              </w:rPr>
            </w:pPr>
            <w:r w:rsidRPr="005213E4">
              <w:rPr>
                <w:rFonts w:ascii="Arial" w:hAnsi="Arial"/>
                <w:spacing w:val="-2"/>
                <w:lang w:val="fr-CA"/>
              </w:rPr>
              <w:t xml:space="preserve">Vérifier les éléments suivants en se servant du </w:t>
            </w:r>
            <w:r w:rsidRPr="005213E4">
              <w:rPr>
                <w:rFonts w:ascii="Arial" w:hAnsi="Arial"/>
                <w:b/>
                <w:spacing w:val="-2"/>
                <w:lang w:val="fr-CA"/>
              </w:rPr>
              <w:t>formulaire de demande</w:t>
            </w:r>
            <w:r w:rsidRPr="005213E4">
              <w:rPr>
                <w:rFonts w:ascii="Arial" w:hAnsi="Arial"/>
                <w:spacing w:val="-2"/>
                <w:lang w:val="fr-CA"/>
              </w:rPr>
              <w:t xml:space="preserve"> (ou des résultats à l’ordinateur) :</w:t>
            </w:r>
          </w:p>
        </w:tc>
        <w:tc>
          <w:tcPr>
            <w:tcW w:w="9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574B44" w:rsidRPr="005213E4" w:rsidRDefault="00574B44" w:rsidP="002614EA">
            <w:pPr>
              <w:pStyle w:val="List"/>
              <w:spacing w:line="228" w:lineRule="auto"/>
              <w:ind w:left="0" w:firstLine="0"/>
              <w:rPr>
                <w:rFonts w:ascii="Arial" w:hAnsi="Arial"/>
                <w:spacing w:val="-2"/>
                <w:lang w:val="fr-CA"/>
              </w:rPr>
            </w:pPr>
          </w:p>
        </w:tc>
      </w:tr>
      <w:tr w:rsidR="00574B44" w:rsidRPr="005213E4">
        <w:trPr>
          <w:cantSplit/>
          <w:jc w:val="center"/>
        </w:trPr>
        <w:tc>
          <w:tcPr>
            <w:tcW w:w="729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574B44" w:rsidRPr="005213E4" w:rsidRDefault="00574B44" w:rsidP="002614EA">
            <w:pPr>
              <w:pStyle w:val="List"/>
              <w:numPr>
                <w:ilvl w:val="0"/>
                <w:numId w:val="2"/>
              </w:numPr>
              <w:spacing w:line="228" w:lineRule="auto"/>
              <w:rPr>
                <w:rFonts w:ascii="Arial" w:hAnsi="Arial"/>
                <w:spacing w:val="-2"/>
                <w:lang w:val="fr-CA"/>
              </w:rPr>
            </w:pPr>
            <w:r w:rsidRPr="005213E4">
              <w:rPr>
                <w:rFonts w:ascii="Arial" w:hAnsi="Arial"/>
                <w:spacing w:val="-2"/>
                <w:lang w:val="fr-CA"/>
              </w:rPr>
              <w:t>Les unités de donneur et les cellules de dépistage pertinentes réagissent conformément aux anticorps identifiés.</w:t>
            </w:r>
          </w:p>
        </w:tc>
        <w:tc>
          <w:tcPr>
            <w:tcW w:w="9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574B44" w:rsidRPr="005213E4" w:rsidRDefault="00574B44" w:rsidP="002614EA">
            <w:pPr>
              <w:pStyle w:val="List"/>
              <w:spacing w:line="228" w:lineRule="auto"/>
              <w:ind w:left="0" w:firstLine="0"/>
              <w:rPr>
                <w:rFonts w:ascii="Arial" w:hAnsi="Arial"/>
                <w:spacing w:val="-2"/>
                <w:lang w:val="fr-CA"/>
              </w:rPr>
            </w:pPr>
          </w:p>
        </w:tc>
      </w:tr>
      <w:tr w:rsidR="00574B44" w:rsidRPr="005213E4">
        <w:trPr>
          <w:cantSplit/>
          <w:jc w:val="center"/>
        </w:trPr>
        <w:tc>
          <w:tcPr>
            <w:tcW w:w="729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574B44" w:rsidRPr="005213E4" w:rsidRDefault="00574B44" w:rsidP="002614EA">
            <w:pPr>
              <w:pStyle w:val="List"/>
              <w:numPr>
                <w:ilvl w:val="0"/>
                <w:numId w:val="2"/>
              </w:numPr>
              <w:spacing w:line="228" w:lineRule="auto"/>
              <w:rPr>
                <w:rFonts w:ascii="Arial" w:hAnsi="Arial"/>
                <w:lang w:val="fr-CA"/>
              </w:rPr>
            </w:pPr>
            <w:r w:rsidRPr="005213E4">
              <w:rPr>
                <w:rFonts w:ascii="Arial" w:hAnsi="Arial"/>
                <w:spacing w:val="-2"/>
                <w:lang w:val="fr-CA"/>
              </w:rPr>
              <w:t>Les typages d’antigène des unités sont inscrits.</w:t>
            </w:r>
          </w:p>
        </w:tc>
        <w:tc>
          <w:tcPr>
            <w:tcW w:w="9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574B44" w:rsidRPr="005213E4" w:rsidRDefault="00574B44" w:rsidP="002614EA">
            <w:pPr>
              <w:pStyle w:val="List"/>
              <w:spacing w:line="228" w:lineRule="auto"/>
              <w:ind w:left="0" w:firstLine="0"/>
              <w:rPr>
                <w:rFonts w:ascii="Arial" w:hAnsi="Arial"/>
                <w:spacing w:val="-2"/>
                <w:lang w:val="fr-CA"/>
              </w:rPr>
            </w:pPr>
          </w:p>
        </w:tc>
      </w:tr>
      <w:tr w:rsidR="00574B44" w:rsidRPr="005213E4">
        <w:trPr>
          <w:cantSplit/>
          <w:jc w:val="center"/>
        </w:trPr>
        <w:tc>
          <w:tcPr>
            <w:tcW w:w="729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574B44" w:rsidRPr="005213E4" w:rsidRDefault="00574B44" w:rsidP="002614EA">
            <w:pPr>
              <w:pStyle w:val="List"/>
              <w:numPr>
                <w:ilvl w:val="0"/>
                <w:numId w:val="2"/>
              </w:numPr>
              <w:spacing w:line="228" w:lineRule="auto"/>
              <w:rPr>
                <w:rFonts w:ascii="Arial" w:hAnsi="Arial"/>
                <w:lang w:val="fr-CA"/>
              </w:rPr>
            </w:pPr>
            <w:r w:rsidRPr="005213E4">
              <w:rPr>
                <w:rFonts w:ascii="Arial" w:hAnsi="Arial"/>
                <w:spacing w:val="-2"/>
                <w:lang w:val="fr-CA"/>
              </w:rPr>
              <w:t xml:space="preserve">Des unités de donneurs exemptes </w:t>
            </w:r>
            <w:r w:rsidR="00F4548A">
              <w:rPr>
                <w:rFonts w:ascii="Arial" w:hAnsi="Arial"/>
                <w:spacing w:val="-2"/>
                <w:lang w:val="fr-CA"/>
              </w:rPr>
              <w:t xml:space="preserve">d’un ou des </w:t>
            </w:r>
            <w:r w:rsidR="00F4548A" w:rsidRPr="005213E4">
              <w:rPr>
                <w:rFonts w:ascii="Arial" w:hAnsi="Arial"/>
                <w:spacing w:val="-2"/>
                <w:lang w:val="fr-CA"/>
              </w:rPr>
              <w:t>antigène</w:t>
            </w:r>
            <w:r w:rsidR="00F4548A">
              <w:rPr>
                <w:rFonts w:ascii="Arial" w:hAnsi="Arial"/>
                <w:spacing w:val="-2"/>
                <w:lang w:val="fr-CA"/>
              </w:rPr>
              <w:t>s</w:t>
            </w:r>
            <w:r w:rsidRPr="005213E4">
              <w:rPr>
                <w:rFonts w:ascii="Arial" w:hAnsi="Arial"/>
                <w:spacing w:val="-2"/>
                <w:lang w:val="fr-CA"/>
              </w:rPr>
              <w:t xml:space="preserve"> ont été réservées pour la mise en circulation (à un ou des anticorps cliniquement significatifs).</w:t>
            </w:r>
          </w:p>
        </w:tc>
        <w:tc>
          <w:tcPr>
            <w:tcW w:w="9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574B44" w:rsidRPr="005213E4" w:rsidRDefault="00574B44" w:rsidP="002614EA">
            <w:pPr>
              <w:pStyle w:val="List"/>
              <w:spacing w:line="228" w:lineRule="auto"/>
              <w:ind w:left="0" w:firstLine="0"/>
              <w:rPr>
                <w:rFonts w:ascii="Arial" w:hAnsi="Arial"/>
                <w:spacing w:val="-2"/>
                <w:lang w:val="fr-CA"/>
              </w:rPr>
            </w:pPr>
          </w:p>
        </w:tc>
      </w:tr>
    </w:tbl>
    <w:p w:rsidR="00AF1845" w:rsidRPr="00C2500E" w:rsidRDefault="00AF1845">
      <w:pPr>
        <w:rPr>
          <w:lang w:val="fr-CA"/>
        </w:rPr>
      </w:pPr>
    </w:p>
    <w:sectPr w:rsidR="00AF1845" w:rsidRPr="00C2500E" w:rsidSect="0019288B">
      <w:headerReference w:type="default" r:id="rId7"/>
      <w:footerReference w:type="default" r:id="rId8"/>
      <w:pgSz w:w="12240" w:h="15840"/>
      <w:pgMar w:top="1440" w:right="1800" w:bottom="1440" w:left="1800" w:header="720" w:footer="4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6EF1" w:rsidRDefault="001F6EF1">
      <w:r>
        <w:separator/>
      </w:r>
    </w:p>
  </w:endnote>
  <w:endnote w:type="continuationSeparator" w:id="0">
    <w:p w:rsidR="001F6EF1" w:rsidRDefault="001F6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68"/>
      <w:gridCol w:w="5670"/>
      <w:gridCol w:w="1800"/>
    </w:tblGrid>
    <w:tr w:rsidR="00574B44">
      <w:trPr>
        <w:trHeight w:val="720"/>
      </w:trPr>
      <w:tc>
        <w:tcPr>
          <w:tcW w:w="1368" w:type="dxa"/>
          <w:tcBorders>
            <w:top w:val="nil"/>
          </w:tcBorders>
        </w:tcPr>
        <w:p w:rsidR="00574B44" w:rsidRDefault="00574B44" w:rsidP="002614EA">
          <w:pPr>
            <w:pStyle w:val="Footer"/>
            <w:jc w:val="center"/>
            <w:rPr>
              <w:rFonts w:ascii="Arial" w:hAnsi="Arial"/>
              <w:sz w:val="8"/>
            </w:rPr>
          </w:pPr>
        </w:p>
        <w:p w:rsidR="00574B44" w:rsidRDefault="0063623F" w:rsidP="002614EA">
          <w:pPr>
            <w:pStyle w:val="Footer"/>
            <w:jc w:val="center"/>
            <w:rPr>
              <w:rFonts w:ascii="Arial" w:hAnsi="Arial"/>
              <w:sz w:val="8"/>
            </w:rPr>
          </w:pPr>
          <w:r w:rsidRPr="003A3736">
            <w:rPr>
              <w:rFonts w:ascii="Verdana" w:hAnsi="Verdana"/>
              <w:noProof/>
              <w:sz w:val="8"/>
            </w:rPr>
            <w:drawing>
              <wp:inline distT="0" distB="0" distL="0" distR="0">
                <wp:extent cx="704850" cy="552450"/>
                <wp:effectExtent l="0" t="0" r="0" b="0"/>
                <wp:docPr id="1" name="Picture 1" descr="RROC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ROC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tcBorders>
            <w:top w:val="nil"/>
          </w:tcBorders>
        </w:tcPr>
        <w:p w:rsidR="00574B44" w:rsidRDefault="00574B44" w:rsidP="002614EA">
          <w:pPr>
            <w:pStyle w:val="Footer"/>
            <w:jc w:val="center"/>
            <w:rPr>
              <w:rFonts w:ascii="Arial" w:hAnsi="Arial"/>
              <w:sz w:val="8"/>
            </w:rPr>
          </w:pPr>
        </w:p>
        <w:p w:rsidR="00CD6568" w:rsidRDefault="00CD6568" w:rsidP="00CD6568">
          <w:pPr>
            <w:pStyle w:val="Footer"/>
            <w:jc w:val="center"/>
            <w:rPr>
              <w:rFonts w:ascii="Arial" w:hAnsi="Arial"/>
              <w:sz w:val="18"/>
              <w:lang w:val="fr-CA"/>
            </w:rPr>
          </w:pPr>
          <w:r w:rsidRPr="00D52543">
            <w:rPr>
              <w:rFonts w:ascii="Arial" w:hAnsi="Arial"/>
              <w:sz w:val="18"/>
              <w:lang w:val="fr-CA"/>
            </w:rPr>
            <w:t>Réseau r</w:t>
          </w:r>
          <w:r>
            <w:rPr>
              <w:rFonts w:ascii="Arial" w:hAnsi="Arial"/>
              <w:sz w:val="18"/>
              <w:lang w:val="fr-CA"/>
            </w:rPr>
            <w:t>é</w:t>
          </w:r>
          <w:r w:rsidRPr="00D52543">
            <w:rPr>
              <w:rFonts w:ascii="Arial" w:hAnsi="Arial"/>
              <w:sz w:val="18"/>
              <w:lang w:val="fr-CA"/>
            </w:rPr>
            <w:t xml:space="preserve">gional ontarien de coordination du sang </w:t>
          </w:r>
        </w:p>
        <w:p w:rsidR="00CD6568" w:rsidRPr="00D52543" w:rsidRDefault="00CD6568" w:rsidP="00CD6568">
          <w:pPr>
            <w:pStyle w:val="Footer"/>
            <w:jc w:val="center"/>
            <w:rPr>
              <w:rFonts w:ascii="Arial" w:hAnsi="Arial"/>
              <w:sz w:val="18"/>
              <w:lang w:val="fr-CA"/>
            </w:rPr>
          </w:pPr>
          <w:r>
            <w:rPr>
              <w:rFonts w:ascii="Arial" w:hAnsi="Arial"/>
              <w:sz w:val="18"/>
              <w:lang w:val="fr-CA"/>
            </w:rPr>
            <w:t>Manuel de ressources techniques en transfusion de l’Ontario</w:t>
          </w:r>
        </w:p>
        <w:p w:rsidR="00CD6568" w:rsidRDefault="00CD6568" w:rsidP="00CD6568">
          <w:pPr>
            <w:pStyle w:val="Footer"/>
            <w:jc w:val="center"/>
            <w:rPr>
              <w:rFonts w:ascii="Arial" w:hAnsi="Arial"/>
              <w:sz w:val="18"/>
              <w:lang w:val="fr-CA"/>
            </w:rPr>
          </w:pPr>
        </w:p>
        <w:p w:rsidR="00EA59CF" w:rsidRDefault="00EA59CF" w:rsidP="00CD6568">
          <w:pPr>
            <w:pStyle w:val="Footer"/>
            <w:rPr>
              <w:rFonts w:ascii="Arial" w:hAnsi="Arial"/>
              <w:sz w:val="18"/>
              <w:lang w:val="fr-CA"/>
            </w:rPr>
          </w:pPr>
        </w:p>
        <w:p w:rsidR="00EA59CF" w:rsidRPr="00D52543" w:rsidRDefault="00EA59CF" w:rsidP="00EA59CF">
          <w:pPr>
            <w:pStyle w:val="Footer"/>
            <w:jc w:val="center"/>
            <w:rPr>
              <w:rFonts w:ascii="Arial" w:hAnsi="Arial"/>
              <w:sz w:val="18"/>
              <w:lang w:val="fr-CA"/>
            </w:rPr>
          </w:pPr>
        </w:p>
        <w:p w:rsidR="00574B44" w:rsidRPr="00C2500E" w:rsidRDefault="00574B44" w:rsidP="00EA59CF">
          <w:pPr>
            <w:pStyle w:val="Footer"/>
            <w:jc w:val="center"/>
            <w:rPr>
              <w:rFonts w:ascii="Arial" w:hAnsi="Arial"/>
              <w:sz w:val="18"/>
              <w:lang w:val="fr-CA"/>
            </w:rPr>
          </w:pPr>
        </w:p>
      </w:tc>
      <w:tc>
        <w:tcPr>
          <w:tcW w:w="1800" w:type="dxa"/>
          <w:tcBorders>
            <w:top w:val="nil"/>
          </w:tcBorders>
        </w:tcPr>
        <w:p w:rsidR="00574B44" w:rsidRPr="00C2500E" w:rsidRDefault="00574B44" w:rsidP="002614EA">
          <w:pPr>
            <w:pStyle w:val="Footer"/>
            <w:jc w:val="right"/>
            <w:rPr>
              <w:rFonts w:ascii="Arial" w:hAnsi="Arial"/>
              <w:sz w:val="8"/>
              <w:lang w:val="fr-CA"/>
            </w:rPr>
          </w:pPr>
        </w:p>
        <w:p w:rsidR="00574B44" w:rsidRPr="00CD6568" w:rsidRDefault="00574B44" w:rsidP="00CD6568">
          <w:pPr>
            <w:pStyle w:val="Footer"/>
            <w:jc w:val="right"/>
            <w:rPr>
              <w:rFonts w:ascii="Arial" w:hAnsi="Arial"/>
              <w:sz w:val="17"/>
              <w:szCs w:val="17"/>
            </w:rPr>
          </w:pPr>
          <w:r>
            <w:rPr>
              <w:rFonts w:ascii="Arial" w:hAnsi="Arial"/>
              <w:sz w:val="17"/>
              <w:szCs w:val="17"/>
            </w:rPr>
            <w:t>EC</w:t>
          </w:r>
          <w:r w:rsidRPr="00092C6B">
            <w:rPr>
              <w:rFonts w:ascii="Arial" w:hAnsi="Arial"/>
              <w:sz w:val="17"/>
              <w:szCs w:val="17"/>
            </w:rPr>
            <w:t>.00</w:t>
          </w:r>
          <w:r>
            <w:rPr>
              <w:rFonts w:ascii="Arial" w:hAnsi="Arial"/>
              <w:sz w:val="17"/>
              <w:szCs w:val="17"/>
            </w:rPr>
            <w:t>7</w:t>
          </w:r>
          <w:r w:rsidR="00CE5E55">
            <w:rPr>
              <w:rFonts w:ascii="Arial" w:hAnsi="Arial"/>
              <w:sz w:val="17"/>
              <w:szCs w:val="17"/>
            </w:rPr>
            <w:t>F</w:t>
          </w:r>
          <w:r w:rsidRPr="00092C6B">
            <w:rPr>
              <w:rFonts w:ascii="Arial" w:hAnsi="Arial"/>
              <w:sz w:val="17"/>
              <w:szCs w:val="17"/>
            </w:rPr>
            <w:br/>
          </w:r>
          <w:r w:rsidRPr="00687EFC">
            <w:rPr>
              <w:rFonts w:ascii="Arial" w:hAnsi="Arial" w:cs="Arial"/>
              <w:sz w:val="17"/>
              <w:szCs w:val="17"/>
            </w:rPr>
            <w:t xml:space="preserve">Page </w:t>
          </w:r>
          <w:r w:rsidRPr="00687EFC">
            <w:rPr>
              <w:rStyle w:val="PageNumber"/>
              <w:rFonts w:ascii="Arial" w:hAnsi="Arial" w:cs="Arial"/>
              <w:sz w:val="17"/>
              <w:szCs w:val="17"/>
            </w:rPr>
            <w:fldChar w:fldCharType="begin"/>
          </w:r>
          <w:r w:rsidRPr="00687EFC">
            <w:rPr>
              <w:rStyle w:val="PageNumber"/>
              <w:rFonts w:ascii="Arial" w:hAnsi="Arial" w:cs="Arial"/>
              <w:sz w:val="17"/>
              <w:szCs w:val="17"/>
            </w:rPr>
            <w:instrText xml:space="preserve"> PAGE </w:instrText>
          </w:r>
          <w:r w:rsidRPr="00687EFC">
            <w:rPr>
              <w:rStyle w:val="PageNumber"/>
              <w:rFonts w:ascii="Arial" w:hAnsi="Arial" w:cs="Arial"/>
              <w:sz w:val="17"/>
              <w:szCs w:val="17"/>
            </w:rPr>
            <w:fldChar w:fldCharType="separate"/>
          </w:r>
          <w:r w:rsidR="00090A36">
            <w:rPr>
              <w:rStyle w:val="PageNumber"/>
              <w:rFonts w:ascii="Arial" w:hAnsi="Arial" w:cs="Arial"/>
              <w:noProof/>
              <w:sz w:val="17"/>
              <w:szCs w:val="17"/>
            </w:rPr>
            <w:t>1</w:t>
          </w:r>
          <w:r w:rsidRPr="00687EFC">
            <w:rPr>
              <w:rStyle w:val="PageNumber"/>
              <w:rFonts w:ascii="Arial" w:hAnsi="Arial" w:cs="Arial"/>
              <w:sz w:val="17"/>
              <w:szCs w:val="17"/>
            </w:rPr>
            <w:fldChar w:fldCharType="end"/>
          </w:r>
          <w:r w:rsidRPr="00687EFC">
            <w:rPr>
              <w:rFonts w:ascii="Arial" w:hAnsi="Arial" w:cs="Arial"/>
              <w:sz w:val="17"/>
              <w:szCs w:val="17"/>
            </w:rPr>
            <w:t xml:space="preserve"> de </w:t>
          </w:r>
          <w:r w:rsidRPr="00687EFC">
            <w:rPr>
              <w:rStyle w:val="PageNumber"/>
              <w:rFonts w:ascii="Arial" w:hAnsi="Arial" w:cs="Arial"/>
              <w:sz w:val="17"/>
              <w:szCs w:val="17"/>
            </w:rPr>
            <w:fldChar w:fldCharType="begin"/>
          </w:r>
          <w:r w:rsidRPr="00687EFC">
            <w:rPr>
              <w:rStyle w:val="PageNumber"/>
              <w:rFonts w:ascii="Arial" w:hAnsi="Arial" w:cs="Arial"/>
              <w:sz w:val="17"/>
              <w:szCs w:val="17"/>
            </w:rPr>
            <w:instrText xml:space="preserve"> NUMPAGES </w:instrText>
          </w:r>
          <w:r w:rsidRPr="00687EFC">
            <w:rPr>
              <w:rStyle w:val="PageNumber"/>
              <w:rFonts w:ascii="Arial" w:hAnsi="Arial" w:cs="Arial"/>
              <w:sz w:val="17"/>
              <w:szCs w:val="17"/>
            </w:rPr>
            <w:fldChar w:fldCharType="separate"/>
          </w:r>
          <w:r w:rsidR="00090A36">
            <w:rPr>
              <w:rStyle w:val="PageNumber"/>
              <w:rFonts w:ascii="Arial" w:hAnsi="Arial" w:cs="Arial"/>
              <w:noProof/>
              <w:sz w:val="17"/>
              <w:szCs w:val="17"/>
            </w:rPr>
            <w:t>1</w:t>
          </w:r>
          <w:r w:rsidRPr="00687EFC">
            <w:rPr>
              <w:rStyle w:val="PageNumber"/>
              <w:rFonts w:ascii="Arial" w:hAnsi="Arial" w:cs="Arial"/>
              <w:sz w:val="17"/>
              <w:szCs w:val="17"/>
            </w:rPr>
            <w:fldChar w:fldCharType="end"/>
          </w:r>
        </w:p>
        <w:p w:rsidR="00574B44" w:rsidRDefault="00574B44" w:rsidP="002614EA">
          <w:pPr>
            <w:pStyle w:val="Footer"/>
            <w:jc w:val="right"/>
            <w:rPr>
              <w:rFonts w:ascii="Arial" w:hAnsi="Arial"/>
              <w:sz w:val="18"/>
            </w:rPr>
          </w:pPr>
        </w:p>
      </w:tc>
    </w:tr>
  </w:tbl>
  <w:p w:rsidR="00574B44" w:rsidRDefault="00574B44" w:rsidP="00574B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6EF1" w:rsidRDefault="001F6EF1">
      <w:r>
        <w:separator/>
      </w:r>
    </w:p>
  </w:footnote>
  <w:footnote w:type="continuationSeparator" w:id="0">
    <w:p w:rsidR="001F6EF1" w:rsidRDefault="001F6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16A3" w:rsidRPr="00766EB0" w:rsidRDefault="00A116A3" w:rsidP="00092C6B">
    <w:pPr>
      <w:pStyle w:val="Header"/>
      <w:jc w:val="center"/>
      <w:rPr>
        <w:rFonts w:ascii="Arial" w:hAnsi="Arial"/>
        <w:b/>
        <w:sz w:val="28"/>
        <w:lang w:val="fr-CA"/>
      </w:rPr>
    </w:pPr>
    <w:r w:rsidRPr="00766EB0">
      <w:rPr>
        <w:rFonts w:ascii="Arial" w:hAnsi="Arial"/>
        <w:b/>
        <w:sz w:val="28"/>
        <w:lang w:val="fr-CA"/>
      </w:rPr>
      <w:t xml:space="preserve">Identification d’anticorps réactifs </w:t>
    </w:r>
    <w:r w:rsidR="00574B44">
      <w:rPr>
        <w:rFonts w:ascii="Arial" w:hAnsi="Arial"/>
        <w:b/>
        <w:sz w:val="28"/>
        <w:lang w:val="fr-CA"/>
      </w:rPr>
      <w:t>chauds</w:t>
    </w:r>
  </w:p>
  <w:p w:rsidR="00A116A3" w:rsidRDefault="00A116A3" w:rsidP="00174D1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7C4D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97581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F99365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4F55CB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C06"/>
    <w:rsid w:val="00002156"/>
    <w:rsid w:val="00005C57"/>
    <w:rsid w:val="0000702A"/>
    <w:rsid w:val="0002475F"/>
    <w:rsid w:val="000537D2"/>
    <w:rsid w:val="0007064F"/>
    <w:rsid w:val="00090A36"/>
    <w:rsid w:val="00092C6B"/>
    <w:rsid w:val="000B4A01"/>
    <w:rsid w:val="000C6A07"/>
    <w:rsid w:val="00114EC0"/>
    <w:rsid w:val="00125D1D"/>
    <w:rsid w:val="001279C0"/>
    <w:rsid w:val="00141130"/>
    <w:rsid w:val="00141E76"/>
    <w:rsid w:val="00144185"/>
    <w:rsid w:val="00172CE4"/>
    <w:rsid w:val="00174013"/>
    <w:rsid w:val="0017475F"/>
    <w:rsid w:val="00174D16"/>
    <w:rsid w:val="0019288B"/>
    <w:rsid w:val="001A5D71"/>
    <w:rsid w:val="001A6877"/>
    <w:rsid w:val="001B568B"/>
    <w:rsid w:val="001B7E3C"/>
    <w:rsid w:val="001D1F8B"/>
    <w:rsid w:val="001F6EF1"/>
    <w:rsid w:val="0021360F"/>
    <w:rsid w:val="00216E2C"/>
    <w:rsid w:val="002225F1"/>
    <w:rsid w:val="00225FD4"/>
    <w:rsid w:val="002332F6"/>
    <w:rsid w:val="002363A6"/>
    <w:rsid w:val="002405C1"/>
    <w:rsid w:val="00243692"/>
    <w:rsid w:val="0024530E"/>
    <w:rsid w:val="002614EA"/>
    <w:rsid w:val="00275D42"/>
    <w:rsid w:val="0028248C"/>
    <w:rsid w:val="002A4921"/>
    <w:rsid w:val="002A4EA3"/>
    <w:rsid w:val="002A5EFD"/>
    <w:rsid w:val="002B5819"/>
    <w:rsid w:val="002C75BE"/>
    <w:rsid w:val="003016A6"/>
    <w:rsid w:val="00306EE4"/>
    <w:rsid w:val="00307B06"/>
    <w:rsid w:val="003330D7"/>
    <w:rsid w:val="00336210"/>
    <w:rsid w:val="00374E72"/>
    <w:rsid w:val="003F100E"/>
    <w:rsid w:val="00417E3A"/>
    <w:rsid w:val="0043021E"/>
    <w:rsid w:val="00430AB7"/>
    <w:rsid w:val="00435B2A"/>
    <w:rsid w:val="00440254"/>
    <w:rsid w:val="004408D6"/>
    <w:rsid w:val="00440DB0"/>
    <w:rsid w:val="00441C34"/>
    <w:rsid w:val="00446178"/>
    <w:rsid w:val="0045605E"/>
    <w:rsid w:val="0046666B"/>
    <w:rsid w:val="0047499C"/>
    <w:rsid w:val="00490978"/>
    <w:rsid w:val="0049534C"/>
    <w:rsid w:val="004A2828"/>
    <w:rsid w:val="004A2C1E"/>
    <w:rsid w:val="004B0FF0"/>
    <w:rsid w:val="004B679F"/>
    <w:rsid w:val="004C7AD0"/>
    <w:rsid w:val="004C7E80"/>
    <w:rsid w:val="004D26C3"/>
    <w:rsid w:val="004E6599"/>
    <w:rsid w:val="00521720"/>
    <w:rsid w:val="00533FF3"/>
    <w:rsid w:val="005375ED"/>
    <w:rsid w:val="00564CD0"/>
    <w:rsid w:val="005703AE"/>
    <w:rsid w:val="00574B44"/>
    <w:rsid w:val="00574D02"/>
    <w:rsid w:val="00583E23"/>
    <w:rsid w:val="0059267B"/>
    <w:rsid w:val="005C52F0"/>
    <w:rsid w:val="005C5584"/>
    <w:rsid w:val="00605E2F"/>
    <w:rsid w:val="006305E0"/>
    <w:rsid w:val="00635193"/>
    <w:rsid w:val="0063623F"/>
    <w:rsid w:val="00640AAB"/>
    <w:rsid w:val="00641A93"/>
    <w:rsid w:val="006513AE"/>
    <w:rsid w:val="006807E4"/>
    <w:rsid w:val="00681D53"/>
    <w:rsid w:val="006C387D"/>
    <w:rsid w:val="006C3D94"/>
    <w:rsid w:val="006E0A14"/>
    <w:rsid w:val="007004FF"/>
    <w:rsid w:val="007321F5"/>
    <w:rsid w:val="00756030"/>
    <w:rsid w:val="00757EF0"/>
    <w:rsid w:val="00761810"/>
    <w:rsid w:val="00764D41"/>
    <w:rsid w:val="00766EB0"/>
    <w:rsid w:val="0077583F"/>
    <w:rsid w:val="007829AC"/>
    <w:rsid w:val="0078513D"/>
    <w:rsid w:val="007851AF"/>
    <w:rsid w:val="0079003C"/>
    <w:rsid w:val="007A124F"/>
    <w:rsid w:val="007A28D6"/>
    <w:rsid w:val="007A40F2"/>
    <w:rsid w:val="007D4E60"/>
    <w:rsid w:val="008528BD"/>
    <w:rsid w:val="008530EE"/>
    <w:rsid w:val="008B7C10"/>
    <w:rsid w:val="008C2695"/>
    <w:rsid w:val="008C6D81"/>
    <w:rsid w:val="008C71C5"/>
    <w:rsid w:val="008D6036"/>
    <w:rsid w:val="008F108A"/>
    <w:rsid w:val="00967B1B"/>
    <w:rsid w:val="00975E03"/>
    <w:rsid w:val="00981E5A"/>
    <w:rsid w:val="009A18AD"/>
    <w:rsid w:val="009E5588"/>
    <w:rsid w:val="009F7FD5"/>
    <w:rsid w:val="00A010BF"/>
    <w:rsid w:val="00A116A3"/>
    <w:rsid w:val="00A21A3E"/>
    <w:rsid w:val="00A45F57"/>
    <w:rsid w:val="00A46F75"/>
    <w:rsid w:val="00A52F86"/>
    <w:rsid w:val="00A84982"/>
    <w:rsid w:val="00A86418"/>
    <w:rsid w:val="00AB2C76"/>
    <w:rsid w:val="00AB4F2B"/>
    <w:rsid w:val="00AE6C06"/>
    <w:rsid w:val="00AE7518"/>
    <w:rsid w:val="00AF1845"/>
    <w:rsid w:val="00AF1875"/>
    <w:rsid w:val="00B1339D"/>
    <w:rsid w:val="00B17412"/>
    <w:rsid w:val="00B34594"/>
    <w:rsid w:val="00B447F6"/>
    <w:rsid w:val="00BA03D5"/>
    <w:rsid w:val="00BA5F97"/>
    <w:rsid w:val="00BD5782"/>
    <w:rsid w:val="00BE6F1D"/>
    <w:rsid w:val="00C156CB"/>
    <w:rsid w:val="00C2500E"/>
    <w:rsid w:val="00C5570F"/>
    <w:rsid w:val="00C7750A"/>
    <w:rsid w:val="00C91745"/>
    <w:rsid w:val="00C96665"/>
    <w:rsid w:val="00CD6568"/>
    <w:rsid w:val="00CD750F"/>
    <w:rsid w:val="00CE3FDE"/>
    <w:rsid w:val="00CE5E55"/>
    <w:rsid w:val="00CE77D2"/>
    <w:rsid w:val="00CF2EF8"/>
    <w:rsid w:val="00D0058E"/>
    <w:rsid w:val="00D04AEC"/>
    <w:rsid w:val="00D209F9"/>
    <w:rsid w:val="00D81EDD"/>
    <w:rsid w:val="00D9345E"/>
    <w:rsid w:val="00DC167C"/>
    <w:rsid w:val="00DE169E"/>
    <w:rsid w:val="00DF01B6"/>
    <w:rsid w:val="00E0768C"/>
    <w:rsid w:val="00E16CCE"/>
    <w:rsid w:val="00E36FAA"/>
    <w:rsid w:val="00E400ED"/>
    <w:rsid w:val="00E52B2F"/>
    <w:rsid w:val="00E56E3C"/>
    <w:rsid w:val="00E71EA4"/>
    <w:rsid w:val="00EA59CF"/>
    <w:rsid w:val="00EB20E2"/>
    <w:rsid w:val="00EC556F"/>
    <w:rsid w:val="00ED0A30"/>
    <w:rsid w:val="00F11795"/>
    <w:rsid w:val="00F24B9A"/>
    <w:rsid w:val="00F26235"/>
    <w:rsid w:val="00F35C4E"/>
    <w:rsid w:val="00F4548A"/>
    <w:rsid w:val="00F518A7"/>
    <w:rsid w:val="00F60CFC"/>
    <w:rsid w:val="00F743C6"/>
    <w:rsid w:val="00F82849"/>
    <w:rsid w:val="00F858F8"/>
    <w:rsid w:val="00F87A9F"/>
    <w:rsid w:val="00FC246C"/>
    <w:rsid w:val="00FC5C35"/>
    <w:rsid w:val="00FE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1C3E0B-BE6B-44BC-BC2D-B94B3166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9">
    <w:name w:val="heading 9"/>
    <w:basedOn w:val="Normal"/>
    <w:next w:val="Normal"/>
    <w:qFormat/>
    <w:rsid w:val="00FC246C"/>
    <w:pPr>
      <w:keepNext/>
      <w:jc w:val="center"/>
      <w:outlineLvl w:val="8"/>
    </w:pPr>
    <w:rPr>
      <w:rFonts w:ascii="Arial" w:hAnsi="Arial"/>
      <w:b/>
      <w:kern w:val="24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19288B"/>
    <w:rPr>
      <w:rFonts w:ascii="Tahoma" w:hAnsi="Tahoma" w:cs="Tahoma"/>
      <w:sz w:val="16"/>
      <w:szCs w:val="16"/>
    </w:rPr>
  </w:style>
  <w:style w:type="paragraph" w:styleId="List">
    <w:name w:val="List"/>
    <w:basedOn w:val="Normal"/>
    <w:rsid w:val="00FC246C"/>
    <w:pPr>
      <w:widowControl w:val="0"/>
      <w:ind w:left="360" w:hanging="360"/>
    </w:pPr>
    <w:rPr>
      <w:rFonts w:ascii="CG Times" w:hAnsi="CG Times"/>
      <w:sz w:val="24"/>
    </w:rPr>
  </w:style>
  <w:style w:type="paragraph" w:styleId="BodyTextIndent3">
    <w:name w:val="Body Text Indent 3"/>
    <w:basedOn w:val="Normal"/>
    <w:rsid w:val="00FC246C"/>
    <w:pPr>
      <w:ind w:left="981" w:hanging="283"/>
    </w:pPr>
    <w:rPr>
      <w:rFonts w:ascii="Georgia" w:hAnsi="Georgia"/>
      <w:spacing w:val="-2"/>
      <w:kern w:val="24"/>
      <w:sz w:val="24"/>
      <w:lang w:val="en-GB"/>
    </w:rPr>
  </w:style>
  <w:style w:type="character" w:styleId="CommentReference">
    <w:name w:val="annotation reference"/>
    <w:semiHidden/>
    <w:rsid w:val="00F4548A"/>
    <w:rPr>
      <w:sz w:val="16"/>
      <w:szCs w:val="16"/>
    </w:rPr>
  </w:style>
  <w:style w:type="paragraph" w:styleId="CommentText">
    <w:name w:val="annotation text"/>
    <w:basedOn w:val="Normal"/>
    <w:semiHidden/>
    <w:rsid w:val="00F4548A"/>
  </w:style>
  <w:style w:type="paragraph" w:styleId="CommentSubject">
    <w:name w:val="annotation subject"/>
    <w:basedOn w:val="CommentText"/>
    <w:next w:val="CommentText"/>
    <w:semiHidden/>
    <w:rsid w:val="00F454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BMT.003WA DAT</vt:lpstr>
      <vt:lpstr>BMT.003WA DAT</vt:lpstr>
    </vt:vector>
  </TitlesOfParts>
  <Company>The Ottawa Hospital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BMT.003WA DAT</dc:title>
  <dc:subject/>
  <dc:creator>Transfusion Ontario Program Office</dc:creator>
  <cp:keywords/>
  <cp:lastModifiedBy>Nesrallah, Heather</cp:lastModifiedBy>
  <cp:revision>2</cp:revision>
  <cp:lastPrinted>2011-02-04T16:43:00Z</cp:lastPrinted>
  <dcterms:created xsi:type="dcterms:W3CDTF">2020-08-11T12:41:00Z</dcterms:created>
  <dcterms:modified xsi:type="dcterms:W3CDTF">2020-08-11T12:41:00Z</dcterms:modified>
</cp:coreProperties>
</file>