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26" w:rsidRPr="001610E6" w:rsidRDefault="007D5826">
      <w:pPr>
        <w:numPr>
          <w:ilvl w:val="0"/>
          <w:numId w:val="1"/>
        </w:numPr>
        <w:rPr>
          <w:rFonts w:ascii="Arial" w:hAnsi="Arial"/>
          <w:b/>
          <w:sz w:val="28"/>
          <w:lang w:val="fr-CA"/>
        </w:rPr>
      </w:pPr>
      <w:bookmarkStart w:id="0" w:name="_GoBack"/>
      <w:bookmarkEnd w:id="0"/>
      <w:r w:rsidRPr="001610E6">
        <w:rPr>
          <w:rFonts w:ascii="Arial" w:hAnsi="Arial"/>
          <w:b/>
          <w:sz w:val="28"/>
          <w:lang w:val="fr-CA"/>
        </w:rPr>
        <w:t>Principe</w:t>
      </w:r>
    </w:p>
    <w:p w:rsidR="007D5826" w:rsidRPr="001610E6" w:rsidRDefault="007D5826">
      <w:pPr>
        <w:rPr>
          <w:rFonts w:ascii="Arial" w:hAnsi="Arial"/>
          <w:sz w:val="24"/>
          <w:lang w:val="fr-CA"/>
        </w:rPr>
      </w:pPr>
    </w:p>
    <w:p w:rsidR="007D5826" w:rsidRPr="001610E6" w:rsidRDefault="002F17AB">
      <w:pPr>
        <w:ind w:left="720"/>
        <w:rPr>
          <w:rFonts w:ascii="Arial" w:hAnsi="Arial"/>
          <w:sz w:val="24"/>
          <w:lang w:val="fr-CA"/>
        </w:rPr>
      </w:pPr>
      <w:r w:rsidRPr="001610E6">
        <w:rPr>
          <w:rFonts w:ascii="Arial" w:hAnsi="Arial"/>
          <w:sz w:val="24"/>
          <w:lang w:val="fr-CA"/>
        </w:rPr>
        <w:t>Pour identifier les anticorps irréguliers dépistés lors de la recherche d’anticorps</w:t>
      </w:r>
      <w:r w:rsidR="00055D7C" w:rsidRPr="001610E6">
        <w:rPr>
          <w:rFonts w:ascii="Arial" w:hAnsi="Arial"/>
          <w:sz w:val="24"/>
          <w:lang w:val="fr-CA"/>
        </w:rPr>
        <w:t>.</w:t>
      </w:r>
    </w:p>
    <w:p w:rsidR="007D5826" w:rsidRPr="001610E6" w:rsidRDefault="00336F1A" w:rsidP="00336F1A">
      <w:pPr>
        <w:tabs>
          <w:tab w:val="left" w:pos="2076"/>
        </w:tabs>
        <w:ind w:left="720"/>
        <w:rPr>
          <w:rFonts w:ascii="Arial" w:hAnsi="Arial"/>
          <w:sz w:val="24"/>
          <w:lang w:val="fr-CA"/>
        </w:rPr>
      </w:pPr>
      <w:r>
        <w:rPr>
          <w:rFonts w:ascii="Arial" w:hAnsi="Arial"/>
          <w:sz w:val="24"/>
          <w:lang w:val="fr-CA"/>
        </w:rPr>
        <w:tab/>
      </w:r>
    </w:p>
    <w:p w:rsidR="008F5092" w:rsidRPr="001610E6" w:rsidRDefault="008F5092" w:rsidP="008F5092">
      <w:pPr>
        <w:ind w:left="720"/>
        <w:rPr>
          <w:rFonts w:ascii="Arial" w:hAnsi="Arial"/>
          <w:sz w:val="24"/>
          <w:lang w:val="fr-CA"/>
        </w:rPr>
      </w:pPr>
      <w:r w:rsidRPr="001610E6">
        <w:rPr>
          <w:rFonts w:ascii="Arial" w:hAnsi="Arial"/>
          <w:sz w:val="24"/>
          <w:lang w:val="fr-CA"/>
        </w:rPr>
        <w:t xml:space="preserve">Le plasma est habituellement mis à l’épreuve contre un panel de huit cellules de groupe O ou plus dont la composition antigénique est connue, </w:t>
      </w:r>
      <w:r w:rsidR="004503D6" w:rsidRPr="001610E6">
        <w:rPr>
          <w:rFonts w:ascii="Arial" w:hAnsi="Arial"/>
          <w:sz w:val="24"/>
          <w:lang w:val="fr-CA"/>
        </w:rPr>
        <w:t xml:space="preserve">en utilisant la technique </w:t>
      </w:r>
      <w:r w:rsidRPr="001610E6">
        <w:rPr>
          <w:rFonts w:ascii="Arial" w:hAnsi="Arial"/>
          <w:sz w:val="24"/>
          <w:lang w:val="fr-CA"/>
        </w:rPr>
        <w:t xml:space="preserve">par laquelle l’anticorps a d’abord été dépisté. Les réactions positives sont comparées </w:t>
      </w:r>
      <w:r w:rsidR="00055D7C" w:rsidRPr="001610E6">
        <w:rPr>
          <w:rFonts w:ascii="Arial" w:hAnsi="Arial"/>
          <w:sz w:val="24"/>
          <w:lang w:val="fr-CA"/>
        </w:rPr>
        <w:t>au schéma de réactions</w:t>
      </w:r>
      <w:r w:rsidRPr="001610E6">
        <w:rPr>
          <w:rFonts w:ascii="Arial" w:hAnsi="Arial"/>
          <w:sz w:val="24"/>
          <w:lang w:val="fr-CA"/>
        </w:rPr>
        <w:t xml:space="preserve"> </w:t>
      </w:r>
      <w:r w:rsidR="00055D7C" w:rsidRPr="001610E6">
        <w:rPr>
          <w:rFonts w:ascii="Arial" w:hAnsi="Arial"/>
          <w:sz w:val="24"/>
          <w:lang w:val="fr-CA"/>
        </w:rPr>
        <w:t xml:space="preserve">des </w:t>
      </w:r>
      <w:r w:rsidRPr="001610E6">
        <w:rPr>
          <w:rFonts w:ascii="Arial" w:hAnsi="Arial"/>
          <w:sz w:val="24"/>
          <w:lang w:val="fr-CA"/>
        </w:rPr>
        <w:t>antigènes présents sur les cellules du panel. Ces réactions sont étudiées pour identifier le ou les anticorps présents.</w:t>
      </w:r>
    </w:p>
    <w:p w:rsidR="007D5826" w:rsidRPr="001610E6" w:rsidRDefault="007D5826">
      <w:pPr>
        <w:ind w:left="720"/>
        <w:rPr>
          <w:rFonts w:ascii="Arial" w:hAnsi="Arial"/>
          <w:sz w:val="24"/>
          <w:lang w:val="fr-CA"/>
        </w:rPr>
      </w:pPr>
    </w:p>
    <w:p w:rsidR="007D5826" w:rsidRPr="001610E6" w:rsidRDefault="002F17AB">
      <w:pPr>
        <w:numPr>
          <w:ilvl w:val="0"/>
          <w:numId w:val="1"/>
        </w:numPr>
        <w:rPr>
          <w:rFonts w:ascii="Arial" w:hAnsi="Arial"/>
          <w:b/>
          <w:sz w:val="28"/>
          <w:lang w:val="fr-CA"/>
        </w:rPr>
      </w:pPr>
      <w:r w:rsidRPr="001610E6">
        <w:rPr>
          <w:rFonts w:ascii="Arial" w:hAnsi="Arial"/>
          <w:b/>
          <w:sz w:val="28"/>
          <w:lang w:val="fr-CA"/>
        </w:rPr>
        <w:t>Portée et politiques connexes</w:t>
      </w:r>
    </w:p>
    <w:p w:rsidR="007D5826" w:rsidRPr="001610E6" w:rsidRDefault="007D5826">
      <w:pPr>
        <w:rPr>
          <w:rFonts w:ascii="Arial" w:hAnsi="Arial"/>
          <w:sz w:val="24"/>
          <w:lang w:val="fr-CA"/>
        </w:rPr>
      </w:pPr>
    </w:p>
    <w:p w:rsidR="007D5826" w:rsidRPr="001610E6" w:rsidRDefault="002F17AB">
      <w:pPr>
        <w:numPr>
          <w:ilvl w:val="1"/>
          <w:numId w:val="1"/>
        </w:numPr>
        <w:rPr>
          <w:rFonts w:ascii="Arial" w:hAnsi="Arial"/>
          <w:sz w:val="24"/>
          <w:lang w:val="fr-CA"/>
        </w:rPr>
      </w:pPr>
      <w:r w:rsidRPr="001610E6">
        <w:rPr>
          <w:rFonts w:ascii="Arial" w:hAnsi="Arial"/>
          <w:sz w:val="24"/>
          <w:lang w:val="fr-CA"/>
        </w:rPr>
        <w:t>On teste un panel de cellules quand le dépistage d'anticorps initial est positif.</w:t>
      </w:r>
    </w:p>
    <w:p w:rsidR="007D5826" w:rsidRPr="001610E6" w:rsidRDefault="007D5826">
      <w:pPr>
        <w:ind w:left="720"/>
        <w:rPr>
          <w:rFonts w:ascii="Arial" w:hAnsi="Arial"/>
          <w:sz w:val="24"/>
          <w:lang w:val="fr-CA"/>
        </w:rPr>
      </w:pPr>
    </w:p>
    <w:p w:rsidR="007D5826" w:rsidRPr="001610E6" w:rsidRDefault="002F17AB">
      <w:pPr>
        <w:numPr>
          <w:ilvl w:val="1"/>
          <w:numId w:val="1"/>
        </w:numPr>
        <w:rPr>
          <w:rFonts w:ascii="Arial" w:hAnsi="Arial"/>
          <w:sz w:val="24"/>
          <w:lang w:val="fr-CA"/>
        </w:rPr>
      </w:pPr>
      <w:r w:rsidRPr="001610E6">
        <w:rPr>
          <w:rFonts w:ascii="Arial" w:hAnsi="Arial"/>
          <w:sz w:val="24"/>
          <w:lang w:val="fr-CA"/>
        </w:rPr>
        <w:t xml:space="preserve">Lorsqu'un patient a un anticorps cliniquement significatif ou des antécédents d'anticorps cliniquement significatifs, les globules rouges dénués de l'antigène correspondant devraient être mis à l'épreuve à l'aide d'une technique </w:t>
      </w:r>
      <w:r w:rsidR="00055D7C" w:rsidRPr="001610E6">
        <w:rPr>
          <w:rFonts w:ascii="Arial" w:hAnsi="Arial"/>
          <w:sz w:val="24"/>
          <w:lang w:val="fr-CA"/>
        </w:rPr>
        <w:t xml:space="preserve">à l’antiglobuline (ou </w:t>
      </w:r>
      <w:r w:rsidRPr="001610E6">
        <w:rPr>
          <w:rFonts w:ascii="Arial" w:hAnsi="Arial"/>
          <w:sz w:val="24"/>
          <w:lang w:val="fr-CA"/>
        </w:rPr>
        <w:t>comparable</w:t>
      </w:r>
      <w:r w:rsidR="00055D7C" w:rsidRPr="001610E6">
        <w:rPr>
          <w:rFonts w:ascii="Arial" w:hAnsi="Arial"/>
          <w:sz w:val="24"/>
          <w:lang w:val="fr-CA"/>
        </w:rPr>
        <w:t>)</w:t>
      </w:r>
      <w:r w:rsidRPr="001610E6">
        <w:rPr>
          <w:rFonts w:ascii="Arial" w:hAnsi="Arial"/>
          <w:sz w:val="24"/>
          <w:vertAlign w:val="superscript"/>
          <w:lang w:val="fr-CA"/>
        </w:rPr>
        <w:t>9.1</w:t>
      </w:r>
      <w:r w:rsidRPr="001610E6">
        <w:rPr>
          <w:rFonts w:ascii="Arial" w:hAnsi="Arial"/>
          <w:sz w:val="24"/>
          <w:lang w:val="fr-CA"/>
        </w:rPr>
        <w:t>.</w:t>
      </w:r>
    </w:p>
    <w:p w:rsidR="007D5826" w:rsidRPr="001610E6" w:rsidRDefault="007D5826">
      <w:pPr>
        <w:ind w:left="720"/>
        <w:rPr>
          <w:rFonts w:ascii="Arial" w:hAnsi="Arial"/>
          <w:sz w:val="24"/>
          <w:lang w:val="fr-CA"/>
        </w:rPr>
      </w:pPr>
    </w:p>
    <w:p w:rsidR="007D5826" w:rsidRPr="001610E6" w:rsidRDefault="002F17AB">
      <w:pPr>
        <w:numPr>
          <w:ilvl w:val="1"/>
          <w:numId w:val="1"/>
        </w:numPr>
        <w:rPr>
          <w:rFonts w:ascii="Arial" w:hAnsi="Arial"/>
          <w:sz w:val="24"/>
          <w:lang w:val="fr-CA"/>
        </w:rPr>
      </w:pPr>
      <w:r w:rsidRPr="001610E6">
        <w:rPr>
          <w:rFonts w:ascii="Arial" w:hAnsi="Arial"/>
          <w:sz w:val="24"/>
          <w:lang w:val="fr-CA"/>
        </w:rPr>
        <w:t>Des « cellules choisies » provenant d'un panel sont testées pour exclure la présence d'autres anticorps cliniquement significatifs dans les circonstances suivantes :</w:t>
      </w:r>
    </w:p>
    <w:p w:rsidR="007D5826" w:rsidRPr="001610E6" w:rsidRDefault="008F1EAF" w:rsidP="00063CB6">
      <w:pPr>
        <w:numPr>
          <w:ilvl w:val="0"/>
          <w:numId w:val="8"/>
        </w:numPr>
        <w:rPr>
          <w:rFonts w:ascii="Arial" w:hAnsi="Arial"/>
          <w:sz w:val="24"/>
          <w:lang w:val="fr-CA"/>
        </w:rPr>
      </w:pPr>
      <w:r>
        <w:rPr>
          <w:rFonts w:ascii="Arial" w:hAnsi="Arial"/>
          <w:sz w:val="24"/>
          <w:lang w:val="fr-CA"/>
        </w:rPr>
        <w:t>u</w:t>
      </w:r>
      <w:r w:rsidR="002F17AB" w:rsidRPr="001610E6">
        <w:rPr>
          <w:rFonts w:ascii="Arial" w:hAnsi="Arial"/>
          <w:sz w:val="24"/>
          <w:lang w:val="fr-CA"/>
        </w:rPr>
        <w:t>n anticorps déjà identifié réagit avec les cellules de dépistage.</w:t>
      </w:r>
    </w:p>
    <w:p w:rsidR="007D5826" w:rsidRPr="001610E6" w:rsidRDefault="008F1EAF" w:rsidP="00063CB6">
      <w:pPr>
        <w:numPr>
          <w:ilvl w:val="0"/>
          <w:numId w:val="8"/>
        </w:numPr>
        <w:rPr>
          <w:rFonts w:ascii="Arial" w:hAnsi="Arial"/>
          <w:sz w:val="24"/>
          <w:lang w:val="fr-CA"/>
        </w:rPr>
      </w:pPr>
      <w:r>
        <w:rPr>
          <w:rFonts w:ascii="Arial" w:hAnsi="Arial"/>
          <w:sz w:val="24"/>
          <w:lang w:val="fr-CA"/>
        </w:rPr>
        <w:t>d</w:t>
      </w:r>
      <w:r w:rsidR="002F17AB" w:rsidRPr="001610E6">
        <w:rPr>
          <w:rFonts w:ascii="Arial" w:hAnsi="Arial"/>
          <w:sz w:val="24"/>
          <w:lang w:val="fr-CA"/>
        </w:rPr>
        <w:t>es cellules supplémentaires sont nécessaires pour exclure un anticorps (c</w:t>
      </w:r>
      <w:r w:rsidR="00336F1A">
        <w:rPr>
          <w:rFonts w:ascii="Arial" w:hAnsi="Arial"/>
          <w:sz w:val="24"/>
          <w:lang w:val="fr-CA"/>
        </w:rPr>
        <w:t>.-à-d.</w:t>
      </w:r>
      <w:r w:rsidR="002F17AB" w:rsidRPr="001610E6">
        <w:rPr>
          <w:rFonts w:ascii="Arial" w:hAnsi="Arial"/>
          <w:sz w:val="24"/>
          <w:lang w:val="fr-CA"/>
        </w:rPr>
        <w:t xml:space="preserve"> après une procédure d'exclusion sur un panel d'anticorps initial).</w:t>
      </w:r>
    </w:p>
    <w:p w:rsidR="007D5826" w:rsidRDefault="007D5826">
      <w:pPr>
        <w:ind w:left="1440"/>
        <w:rPr>
          <w:rFonts w:ascii="Arial" w:hAnsi="Arial"/>
          <w:sz w:val="24"/>
          <w:lang w:val="fr-CA"/>
        </w:rPr>
      </w:pPr>
    </w:p>
    <w:p w:rsidR="00EF324E" w:rsidRDefault="00EF324E">
      <w:pPr>
        <w:ind w:left="1440"/>
        <w:rPr>
          <w:rFonts w:ascii="Arial" w:hAnsi="Arial"/>
          <w:sz w:val="24"/>
          <w:lang w:val="fr-CA"/>
        </w:rPr>
      </w:pPr>
    </w:p>
    <w:p w:rsidR="00EF324E" w:rsidRPr="001610E6" w:rsidRDefault="00EF324E">
      <w:pPr>
        <w:ind w:left="1440"/>
        <w:rPr>
          <w:rFonts w:ascii="Arial" w:hAnsi="Arial"/>
          <w:sz w:val="24"/>
          <w:lang w:val="fr-CA"/>
        </w:rPr>
      </w:pPr>
    </w:p>
    <w:p w:rsidR="007D5826" w:rsidRPr="001610E6" w:rsidRDefault="002F17AB">
      <w:pPr>
        <w:numPr>
          <w:ilvl w:val="0"/>
          <w:numId w:val="1"/>
        </w:numPr>
        <w:rPr>
          <w:rFonts w:ascii="Arial" w:hAnsi="Arial"/>
          <w:b/>
          <w:sz w:val="28"/>
          <w:lang w:val="fr-CA"/>
        </w:rPr>
      </w:pPr>
      <w:r w:rsidRPr="001610E6">
        <w:rPr>
          <w:rFonts w:ascii="Arial" w:hAnsi="Arial"/>
          <w:b/>
          <w:sz w:val="28"/>
          <w:lang w:val="fr-CA"/>
        </w:rPr>
        <w:lastRenderedPageBreak/>
        <w:t>Échantillons</w:t>
      </w:r>
    </w:p>
    <w:p w:rsidR="007D5826" w:rsidRPr="001610E6" w:rsidRDefault="007D5826">
      <w:pPr>
        <w:rPr>
          <w:rFonts w:ascii="Arial" w:hAnsi="Arial"/>
          <w:sz w:val="24"/>
          <w:lang w:val="fr-CA"/>
        </w:rPr>
      </w:pPr>
    </w:p>
    <w:p w:rsidR="007D5826" w:rsidRPr="001610E6" w:rsidRDefault="002F17AB">
      <w:pPr>
        <w:ind w:left="720"/>
        <w:rPr>
          <w:rFonts w:ascii="Arial" w:hAnsi="Arial"/>
          <w:sz w:val="24"/>
          <w:lang w:val="fr-CA"/>
        </w:rPr>
      </w:pPr>
      <w:r w:rsidRPr="001610E6">
        <w:rPr>
          <w:rFonts w:ascii="Arial" w:hAnsi="Arial"/>
          <w:sz w:val="24"/>
          <w:lang w:val="fr-CA"/>
        </w:rPr>
        <w:t>Sang total anticoagulé - tube EDTA</w:t>
      </w:r>
    </w:p>
    <w:p w:rsidR="007D5826" w:rsidRPr="001610E6" w:rsidRDefault="007D5826">
      <w:pPr>
        <w:ind w:left="720"/>
        <w:rPr>
          <w:rFonts w:ascii="Arial" w:hAnsi="Arial"/>
          <w:sz w:val="24"/>
          <w:lang w:val="fr-CA"/>
        </w:rPr>
      </w:pPr>
    </w:p>
    <w:p w:rsidR="007D5826" w:rsidRPr="001610E6" w:rsidRDefault="002F17AB">
      <w:pPr>
        <w:numPr>
          <w:ilvl w:val="0"/>
          <w:numId w:val="1"/>
        </w:numPr>
        <w:rPr>
          <w:rFonts w:ascii="Arial" w:hAnsi="Arial"/>
          <w:b/>
          <w:sz w:val="28"/>
          <w:lang w:val="fr-CA"/>
        </w:rPr>
      </w:pPr>
      <w:r w:rsidRPr="001610E6">
        <w:rPr>
          <w:rFonts w:ascii="Arial" w:hAnsi="Arial"/>
          <w:b/>
          <w:sz w:val="28"/>
          <w:lang w:val="fr-CA"/>
        </w:rPr>
        <w:t>Matériel</w:t>
      </w:r>
    </w:p>
    <w:p w:rsidR="007D5826" w:rsidRPr="001610E6" w:rsidRDefault="007D5826">
      <w:pPr>
        <w:rPr>
          <w:rFonts w:ascii="Arial" w:hAnsi="Arial"/>
          <w:sz w:val="24"/>
          <w:lang w:val="fr-CA"/>
        </w:rPr>
      </w:pPr>
    </w:p>
    <w:p w:rsidR="007D5826" w:rsidRPr="001610E6" w:rsidRDefault="002F17AB" w:rsidP="001A649F">
      <w:pPr>
        <w:ind w:left="2880" w:hanging="1890"/>
        <w:rPr>
          <w:rFonts w:ascii="Arial" w:hAnsi="Arial"/>
          <w:sz w:val="24"/>
          <w:lang w:val="fr-CA"/>
        </w:rPr>
      </w:pPr>
      <w:r w:rsidRPr="001610E6">
        <w:rPr>
          <w:rFonts w:ascii="Arial" w:hAnsi="Arial"/>
          <w:b/>
          <w:sz w:val="24"/>
          <w:lang w:val="fr-CA"/>
        </w:rPr>
        <w:t>Équipement</w:t>
      </w:r>
      <w:r w:rsidRPr="001610E6">
        <w:rPr>
          <w:rFonts w:ascii="Arial" w:hAnsi="Arial"/>
          <w:sz w:val="24"/>
          <w:lang w:val="fr-CA"/>
        </w:rPr>
        <w:t> :</w:t>
      </w:r>
      <w:r w:rsidR="00D76B11" w:rsidRPr="001610E6">
        <w:rPr>
          <w:rFonts w:ascii="Arial" w:hAnsi="Arial"/>
          <w:sz w:val="24"/>
          <w:lang w:val="fr-CA"/>
        </w:rPr>
        <w:t xml:space="preserve"> </w:t>
      </w:r>
      <w:r w:rsidR="001A649F" w:rsidRPr="001610E6">
        <w:rPr>
          <w:rFonts w:ascii="Arial" w:hAnsi="Arial"/>
          <w:sz w:val="24"/>
          <w:lang w:val="fr-CA"/>
        </w:rPr>
        <w:tab/>
      </w:r>
      <w:r w:rsidRPr="001610E6">
        <w:rPr>
          <w:rFonts w:ascii="Arial" w:hAnsi="Arial"/>
          <w:sz w:val="24"/>
          <w:lang w:val="fr-CA"/>
        </w:rPr>
        <w:t>centrifugeuse sérologique</w:t>
      </w:r>
    </w:p>
    <w:p w:rsidR="007D5826" w:rsidRPr="001610E6" w:rsidRDefault="007D5826" w:rsidP="001A649F">
      <w:pPr>
        <w:ind w:left="2880" w:hanging="1890"/>
        <w:rPr>
          <w:rFonts w:ascii="Arial" w:hAnsi="Arial"/>
          <w:sz w:val="24"/>
          <w:lang w:val="fr-CA"/>
        </w:rPr>
      </w:pPr>
      <w:r w:rsidRPr="001610E6">
        <w:rPr>
          <w:rFonts w:ascii="Arial" w:hAnsi="Arial"/>
          <w:sz w:val="24"/>
          <w:lang w:val="fr-CA"/>
        </w:rPr>
        <w:tab/>
      </w:r>
      <w:r w:rsidR="002F17AB" w:rsidRPr="001610E6">
        <w:rPr>
          <w:rFonts w:ascii="Arial" w:hAnsi="Arial"/>
          <w:sz w:val="24"/>
          <w:lang w:val="fr-CA"/>
        </w:rPr>
        <w:t>laveur de cellules</w:t>
      </w:r>
    </w:p>
    <w:p w:rsidR="007D5826" w:rsidRPr="001610E6" w:rsidRDefault="007D5826" w:rsidP="001A649F">
      <w:pPr>
        <w:ind w:left="2880" w:hanging="1890"/>
        <w:rPr>
          <w:rFonts w:ascii="Arial" w:hAnsi="Arial"/>
          <w:sz w:val="24"/>
          <w:lang w:val="fr-CA"/>
        </w:rPr>
      </w:pPr>
      <w:r w:rsidRPr="001610E6">
        <w:rPr>
          <w:rFonts w:ascii="Arial" w:hAnsi="Arial"/>
          <w:sz w:val="24"/>
          <w:lang w:val="fr-CA"/>
        </w:rPr>
        <w:tab/>
      </w:r>
      <w:r w:rsidR="002F17AB" w:rsidRPr="001610E6">
        <w:rPr>
          <w:rFonts w:ascii="Arial" w:hAnsi="Arial"/>
          <w:sz w:val="24"/>
          <w:lang w:val="fr-CA"/>
        </w:rPr>
        <w:t>support à tubes</w:t>
      </w:r>
    </w:p>
    <w:p w:rsidR="007D5826" w:rsidRPr="001610E6" w:rsidRDefault="007D5826" w:rsidP="001A649F">
      <w:pPr>
        <w:ind w:left="2880" w:hanging="1890"/>
        <w:rPr>
          <w:rFonts w:ascii="Arial" w:hAnsi="Arial"/>
          <w:sz w:val="24"/>
          <w:lang w:val="fr-CA"/>
        </w:rPr>
      </w:pPr>
      <w:r w:rsidRPr="001610E6">
        <w:rPr>
          <w:rFonts w:ascii="Arial" w:hAnsi="Arial"/>
          <w:sz w:val="24"/>
          <w:lang w:val="fr-CA"/>
        </w:rPr>
        <w:tab/>
      </w:r>
      <w:r w:rsidR="002F17AB" w:rsidRPr="001610E6">
        <w:rPr>
          <w:rFonts w:ascii="Arial" w:hAnsi="Arial"/>
          <w:sz w:val="24"/>
          <w:lang w:val="fr-CA"/>
        </w:rPr>
        <w:t>bain-marie/bloc chauffant à 37°C</w:t>
      </w:r>
    </w:p>
    <w:p w:rsidR="007D5826" w:rsidRPr="001610E6" w:rsidRDefault="007D5826" w:rsidP="001A649F">
      <w:pPr>
        <w:ind w:left="2880" w:hanging="1890"/>
        <w:rPr>
          <w:rFonts w:ascii="Arial" w:hAnsi="Arial"/>
          <w:sz w:val="24"/>
          <w:lang w:val="fr-CA"/>
        </w:rPr>
      </w:pPr>
      <w:r w:rsidRPr="001610E6">
        <w:rPr>
          <w:rFonts w:ascii="Arial" w:hAnsi="Arial"/>
          <w:sz w:val="24"/>
          <w:lang w:val="fr-CA"/>
        </w:rPr>
        <w:tab/>
      </w:r>
      <w:r w:rsidR="002F17AB" w:rsidRPr="001610E6">
        <w:rPr>
          <w:rFonts w:ascii="Arial" w:hAnsi="Arial"/>
          <w:sz w:val="24"/>
          <w:lang w:val="fr-CA"/>
        </w:rPr>
        <w:t>microscope</w:t>
      </w:r>
    </w:p>
    <w:p w:rsidR="007D5826" w:rsidRPr="001610E6" w:rsidRDefault="007D5826" w:rsidP="00D76B11">
      <w:pPr>
        <w:ind w:left="2520" w:hanging="1530"/>
        <w:rPr>
          <w:rFonts w:ascii="Arial" w:hAnsi="Arial"/>
          <w:sz w:val="24"/>
          <w:lang w:val="fr-CA"/>
        </w:rPr>
      </w:pPr>
    </w:p>
    <w:p w:rsidR="007D5826" w:rsidRPr="001610E6" w:rsidRDefault="002F17AB" w:rsidP="00D76B11">
      <w:pPr>
        <w:ind w:left="2520" w:hanging="1530"/>
        <w:rPr>
          <w:rFonts w:ascii="Arial" w:hAnsi="Arial"/>
          <w:sz w:val="24"/>
          <w:lang w:val="fr-CA"/>
        </w:rPr>
      </w:pPr>
      <w:r w:rsidRPr="001610E6">
        <w:rPr>
          <w:rFonts w:ascii="Arial" w:hAnsi="Arial"/>
          <w:b/>
          <w:sz w:val="24"/>
          <w:lang w:val="fr-CA"/>
        </w:rPr>
        <w:t>Fournitures</w:t>
      </w:r>
      <w:r w:rsidRPr="001610E6">
        <w:rPr>
          <w:rFonts w:ascii="Arial" w:hAnsi="Arial"/>
          <w:sz w:val="24"/>
          <w:lang w:val="fr-CA"/>
        </w:rPr>
        <w:t xml:space="preserve"> : </w:t>
      </w:r>
      <w:r w:rsidR="00D76B11" w:rsidRPr="001610E6">
        <w:rPr>
          <w:rFonts w:ascii="Arial" w:hAnsi="Arial"/>
          <w:sz w:val="24"/>
          <w:lang w:val="fr-CA"/>
        </w:rPr>
        <w:tab/>
      </w:r>
      <w:r w:rsidRPr="001610E6">
        <w:rPr>
          <w:rFonts w:ascii="Arial" w:hAnsi="Arial"/>
          <w:sz w:val="24"/>
          <w:lang w:val="fr-CA"/>
        </w:rPr>
        <w:t>tubes 10 x 75 mm</w:t>
      </w:r>
    </w:p>
    <w:p w:rsidR="007D5826" w:rsidRPr="001610E6" w:rsidRDefault="007D5826" w:rsidP="00D76B11">
      <w:pPr>
        <w:ind w:left="2520" w:hanging="1530"/>
        <w:rPr>
          <w:rFonts w:ascii="Arial" w:hAnsi="Arial"/>
          <w:sz w:val="24"/>
          <w:lang w:val="fr-CA"/>
        </w:rPr>
      </w:pPr>
      <w:r w:rsidRPr="001610E6">
        <w:rPr>
          <w:rFonts w:ascii="Arial" w:hAnsi="Arial"/>
          <w:sz w:val="24"/>
          <w:lang w:val="fr-CA"/>
        </w:rPr>
        <w:tab/>
      </w:r>
      <w:r w:rsidRPr="001610E6">
        <w:rPr>
          <w:rFonts w:ascii="Arial" w:hAnsi="Arial"/>
          <w:sz w:val="24"/>
          <w:lang w:val="fr-CA"/>
        </w:rPr>
        <w:tab/>
      </w:r>
      <w:r w:rsidR="002F17AB" w:rsidRPr="001610E6">
        <w:rPr>
          <w:rFonts w:ascii="Arial" w:hAnsi="Arial"/>
          <w:sz w:val="24"/>
          <w:lang w:val="fr-CA"/>
        </w:rPr>
        <w:t>pipettes sérologiques</w:t>
      </w:r>
    </w:p>
    <w:p w:rsidR="007D5826" w:rsidRPr="001610E6" w:rsidRDefault="007D5826" w:rsidP="00D76B11">
      <w:pPr>
        <w:ind w:left="2520" w:hanging="1530"/>
        <w:rPr>
          <w:rFonts w:ascii="Arial" w:hAnsi="Arial"/>
          <w:sz w:val="24"/>
          <w:lang w:val="fr-CA"/>
        </w:rPr>
      </w:pPr>
    </w:p>
    <w:p w:rsidR="007D5826" w:rsidRPr="001610E6" w:rsidRDefault="007D5826" w:rsidP="00D76B11">
      <w:pPr>
        <w:ind w:left="2520" w:hanging="1530"/>
        <w:rPr>
          <w:rFonts w:ascii="Arial" w:hAnsi="Arial"/>
          <w:sz w:val="24"/>
          <w:lang w:val="fr-CA"/>
        </w:rPr>
      </w:pPr>
      <w:r w:rsidRPr="001610E6">
        <w:rPr>
          <w:rFonts w:ascii="Arial" w:hAnsi="Arial"/>
          <w:b/>
          <w:sz w:val="24"/>
          <w:lang w:val="fr-CA"/>
        </w:rPr>
        <w:t>R</w:t>
      </w:r>
      <w:r w:rsidR="001610E6">
        <w:rPr>
          <w:rFonts w:ascii="Arial" w:hAnsi="Arial"/>
          <w:b/>
          <w:sz w:val="24"/>
          <w:lang w:val="fr-CA"/>
        </w:rPr>
        <w:t xml:space="preserve">éactifs </w:t>
      </w:r>
      <w:r w:rsidRPr="001610E6">
        <w:rPr>
          <w:rFonts w:ascii="Arial" w:hAnsi="Arial"/>
          <w:b/>
          <w:sz w:val="24"/>
          <w:lang w:val="fr-CA"/>
        </w:rPr>
        <w:t>:</w:t>
      </w:r>
      <w:r w:rsidRPr="001610E6">
        <w:rPr>
          <w:rFonts w:ascii="Arial" w:hAnsi="Arial"/>
          <w:sz w:val="24"/>
          <w:lang w:val="fr-CA"/>
        </w:rPr>
        <w:tab/>
      </w:r>
      <w:r w:rsidR="00D76B11" w:rsidRPr="001610E6">
        <w:rPr>
          <w:rFonts w:ascii="Arial" w:hAnsi="Arial"/>
          <w:sz w:val="24"/>
          <w:lang w:val="fr-CA"/>
        </w:rPr>
        <w:t>p</w:t>
      </w:r>
      <w:r w:rsidRPr="001610E6">
        <w:rPr>
          <w:rFonts w:ascii="Arial" w:hAnsi="Arial"/>
          <w:sz w:val="24"/>
          <w:lang w:val="fr-CA"/>
        </w:rPr>
        <w:t xml:space="preserve">anel </w:t>
      </w:r>
      <w:r w:rsidR="00D76B11" w:rsidRPr="001610E6">
        <w:rPr>
          <w:rFonts w:ascii="Arial" w:hAnsi="Arial"/>
          <w:sz w:val="24"/>
          <w:lang w:val="fr-CA"/>
        </w:rPr>
        <w:t>de cellules avec la feuille d’a</w:t>
      </w:r>
      <w:r w:rsidRPr="001610E6">
        <w:rPr>
          <w:rFonts w:ascii="Arial" w:hAnsi="Arial"/>
          <w:sz w:val="24"/>
          <w:lang w:val="fr-CA"/>
        </w:rPr>
        <w:t>ntigram</w:t>
      </w:r>
      <w:r w:rsidR="00D76B11" w:rsidRPr="001610E6">
        <w:rPr>
          <w:rFonts w:ascii="Arial" w:hAnsi="Arial"/>
          <w:sz w:val="24"/>
          <w:lang w:val="fr-CA"/>
        </w:rPr>
        <w:t>me correspondante</w:t>
      </w:r>
    </w:p>
    <w:p w:rsidR="007D5826" w:rsidRPr="001610E6" w:rsidRDefault="007D5826" w:rsidP="00D76B11">
      <w:pPr>
        <w:ind w:left="2520" w:hanging="1530"/>
        <w:rPr>
          <w:rFonts w:ascii="Arial" w:hAnsi="Arial"/>
          <w:sz w:val="24"/>
          <w:lang w:val="fr-CA"/>
        </w:rPr>
      </w:pPr>
      <w:r w:rsidRPr="001610E6">
        <w:rPr>
          <w:rFonts w:ascii="Arial" w:hAnsi="Arial"/>
          <w:sz w:val="24"/>
          <w:lang w:val="fr-CA"/>
        </w:rPr>
        <w:tab/>
      </w:r>
      <w:r w:rsidR="002F17AB" w:rsidRPr="001610E6">
        <w:rPr>
          <w:rFonts w:ascii="Arial" w:hAnsi="Arial"/>
          <w:sz w:val="24"/>
          <w:lang w:val="fr-CA"/>
        </w:rPr>
        <w:t>Anti-IgG</w:t>
      </w:r>
    </w:p>
    <w:p w:rsidR="007D5826" w:rsidRPr="001610E6" w:rsidRDefault="007D5826" w:rsidP="00D76B11">
      <w:pPr>
        <w:ind w:left="2520" w:hanging="1530"/>
        <w:rPr>
          <w:rFonts w:ascii="Arial" w:hAnsi="Arial"/>
          <w:sz w:val="24"/>
          <w:lang w:val="fr-CA"/>
        </w:rPr>
      </w:pPr>
      <w:r w:rsidRPr="001610E6">
        <w:rPr>
          <w:rFonts w:ascii="Arial" w:hAnsi="Arial"/>
          <w:sz w:val="24"/>
          <w:lang w:val="fr-CA"/>
        </w:rPr>
        <w:tab/>
      </w:r>
      <w:r w:rsidR="00D76B11" w:rsidRPr="001610E6">
        <w:rPr>
          <w:rFonts w:ascii="Arial" w:hAnsi="Arial"/>
          <w:sz w:val="24"/>
          <w:lang w:val="fr-CA"/>
        </w:rPr>
        <w:t>c</w:t>
      </w:r>
      <w:r w:rsidR="002F17AB" w:rsidRPr="001610E6">
        <w:rPr>
          <w:rFonts w:ascii="Arial" w:hAnsi="Arial"/>
          <w:sz w:val="24"/>
          <w:lang w:val="fr-CA"/>
        </w:rPr>
        <w:t>ellules recouvertes d'IgG</w:t>
      </w:r>
    </w:p>
    <w:p w:rsidR="007D5826" w:rsidRPr="001610E6" w:rsidRDefault="007D5826" w:rsidP="00D76B11">
      <w:pPr>
        <w:ind w:left="2520" w:hanging="1530"/>
        <w:rPr>
          <w:rFonts w:ascii="Arial" w:hAnsi="Arial"/>
          <w:sz w:val="24"/>
          <w:lang w:val="fr-CA"/>
        </w:rPr>
      </w:pPr>
      <w:r w:rsidRPr="001610E6">
        <w:rPr>
          <w:rFonts w:ascii="Arial" w:hAnsi="Arial"/>
          <w:sz w:val="24"/>
          <w:lang w:val="fr-CA"/>
        </w:rPr>
        <w:tab/>
      </w:r>
      <w:r w:rsidR="002F17AB" w:rsidRPr="001610E6">
        <w:rPr>
          <w:rFonts w:ascii="Arial" w:hAnsi="Arial"/>
          <w:sz w:val="24"/>
          <w:lang w:val="fr-CA"/>
        </w:rPr>
        <w:t>solution saline</w:t>
      </w:r>
      <w:r w:rsidR="0043779B">
        <w:rPr>
          <w:rFonts w:ascii="Arial" w:hAnsi="Arial"/>
          <w:sz w:val="24"/>
          <w:lang w:val="fr-CA"/>
        </w:rPr>
        <w:t xml:space="preserve"> normale</w:t>
      </w:r>
    </w:p>
    <w:p w:rsidR="007D5826" w:rsidRPr="001610E6" w:rsidRDefault="007D5826" w:rsidP="00D76B11">
      <w:pPr>
        <w:ind w:left="2520" w:hanging="1530"/>
        <w:rPr>
          <w:rFonts w:ascii="Arial" w:hAnsi="Arial"/>
          <w:sz w:val="24"/>
          <w:lang w:val="fr-CA"/>
        </w:rPr>
      </w:pPr>
      <w:r w:rsidRPr="001610E6">
        <w:rPr>
          <w:rFonts w:ascii="Arial" w:hAnsi="Arial"/>
          <w:sz w:val="24"/>
          <w:lang w:val="fr-CA"/>
        </w:rPr>
        <w:tab/>
      </w:r>
      <w:r w:rsidR="00D76B11" w:rsidRPr="001610E6">
        <w:rPr>
          <w:rFonts w:ascii="Arial" w:hAnsi="Arial"/>
          <w:sz w:val="24"/>
          <w:lang w:val="fr-CA"/>
        </w:rPr>
        <w:t>r</w:t>
      </w:r>
      <w:r w:rsidR="002F17AB" w:rsidRPr="001610E6">
        <w:rPr>
          <w:rFonts w:ascii="Arial" w:hAnsi="Arial"/>
          <w:sz w:val="24"/>
          <w:lang w:val="fr-CA"/>
        </w:rPr>
        <w:t>éactifs de potentialisation, le cas échéant :</w:t>
      </w:r>
    </w:p>
    <w:p w:rsidR="007D5826" w:rsidRPr="001610E6" w:rsidRDefault="00D76B11" w:rsidP="00063CB6">
      <w:pPr>
        <w:numPr>
          <w:ilvl w:val="0"/>
          <w:numId w:val="5"/>
        </w:numPr>
        <w:tabs>
          <w:tab w:val="clear" w:pos="360"/>
          <w:tab w:val="num" w:pos="3240"/>
        </w:tabs>
        <w:ind w:left="3240"/>
        <w:rPr>
          <w:rFonts w:ascii="Arial" w:hAnsi="Arial"/>
          <w:sz w:val="24"/>
          <w:lang w:val="fr-CA"/>
        </w:rPr>
      </w:pPr>
      <w:r w:rsidRPr="001610E6">
        <w:rPr>
          <w:rFonts w:ascii="Arial" w:hAnsi="Arial"/>
          <w:sz w:val="24"/>
          <w:lang w:val="fr-CA"/>
        </w:rPr>
        <w:t>po</w:t>
      </w:r>
      <w:r w:rsidR="002F17AB" w:rsidRPr="001610E6">
        <w:rPr>
          <w:rFonts w:ascii="Arial" w:hAnsi="Arial"/>
          <w:sz w:val="24"/>
          <w:lang w:val="fr-CA"/>
        </w:rPr>
        <w:t>lyéthylène glycol (</w:t>
      </w:r>
      <w:r w:rsidRPr="001610E6">
        <w:rPr>
          <w:rFonts w:ascii="Arial" w:hAnsi="Arial"/>
          <w:sz w:val="24"/>
          <w:lang w:val="fr-CA"/>
        </w:rPr>
        <w:t>PEG</w:t>
      </w:r>
      <w:r w:rsidR="002F17AB" w:rsidRPr="001610E6">
        <w:rPr>
          <w:rFonts w:ascii="Arial" w:hAnsi="Arial"/>
          <w:sz w:val="24"/>
          <w:lang w:val="fr-CA"/>
        </w:rPr>
        <w:t>)</w:t>
      </w:r>
    </w:p>
    <w:p w:rsidR="001A649F" w:rsidRPr="001610E6" w:rsidRDefault="001A649F" w:rsidP="00063CB6">
      <w:pPr>
        <w:numPr>
          <w:ilvl w:val="0"/>
          <w:numId w:val="5"/>
        </w:numPr>
        <w:tabs>
          <w:tab w:val="clear" w:pos="360"/>
          <w:tab w:val="num" w:pos="3240"/>
        </w:tabs>
        <w:ind w:left="3240"/>
        <w:rPr>
          <w:rFonts w:ascii="Arial" w:hAnsi="Arial"/>
          <w:sz w:val="24"/>
          <w:lang w:val="fr-CA"/>
        </w:rPr>
      </w:pPr>
      <w:r w:rsidRPr="001610E6">
        <w:rPr>
          <w:rFonts w:ascii="Arial" w:hAnsi="Arial"/>
          <w:sz w:val="24"/>
          <w:lang w:val="fr-CA"/>
        </w:rPr>
        <w:t>solution à faible concentration ionique - (SFCI)</w:t>
      </w:r>
    </w:p>
    <w:p w:rsidR="001A649F" w:rsidRPr="001610E6" w:rsidRDefault="001A649F" w:rsidP="001A649F">
      <w:pPr>
        <w:ind w:left="2520" w:hanging="1080"/>
        <w:rPr>
          <w:rFonts w:ascii="Arial" w:hAnsi="Arial"/>
          <w:sz w:val="24"/>
          <w:lang w:val="fr-CA"/>
        </w:rPr>
      </w:pPr>
    </w:p>
    <w:p w:rsidR="007D5826" w:rsidRPr="001610E6" w:rsidRDefault="002F17AB">
      <w:pPr>
        <w:numPr>
          <w:ilvl w:val="0"/>
          <w:numId w:val="1"/>
        </w:numPr>
        <w:rPr>
          <w:rFonts w:ascii="Arial" w:hAnsi="Arial"/>
          <w:b/>
          <w:sz w:val="28"/>
          <w:lang w:val="fr-CA"/>
        </w:rPr>
      </w:pPr>
      <w:r w:rsidRPr="001610E6">
        <w:rPr>
          <w:rFonts w:ascii="Arial" w:hAnsi="Arial"/>
          <w:b/>
          <w:sz w:val="28"/>
          <w:lang w:val="fr-CA"/>
        </w:rPr>
        <w:t>Contrôle de la qualité</w:t>
      </w:r>
    </w:p>
    <w:p w:rsidR="007D5826" w:rsidRPr="001610E6" w:rsidRDefault="007D5826">
      <w:pPr>
        <w:rPr>
          <w:rFonts w:ascii="Arial" w:hAnsi="Arial"/>
          <w:sz w:val="24"/>
          <w:lang w:val="fr-CA"/>
        </w:rPr>
      </w:pPr>
    </w:p>
    <w:p w:rsidR="007D5826" w:rsidRPr="001610E6" w:rsidRDefault="002808A6">
      <w:pPr>
        <w:numPr>
          <w:ilvl w:val="1"/>
          <w:numId w:val="1"/>
        </w:numPr>
        <w:rPr>
          <w:rFonts w:ascii="Arial" w:hAnsi="Arial"/>
          <w:sz w:val="24"/>
          <w:lang w:val="fr-CA"/>
        </w:rPr>
      </w:pPr>
      <w:r w:rsidRPr="001610E6">
        <w:rPr>
          <w:rFonts w:ascii="Arial" w:hAnsi="Arial"/>
          <w:sz w:val="24"/>
          <w:lang w:val="fr-CA"/>
        </w:rPr>
        <w:t>Faire un autocontrôle en parallèle au panel pour aider à déterminer si les anticorps dépistés sont des alloanticorps ou des autoanticorps</w:t>
      </w:r>
      <w:r w:rsidR="008F1EAF">
        <w:rPr>
          <w:rFonts w:ascii="Arial" w:hAnsi="Arial"/>
          <w:sz w:val="24"/>
          <w:vertAlign w:val="superscript"/>
          <w:lang w:val="fr-CA"/>
        </w:rPr>
        <w:t>9.2</w:t>
      </w:r>
      <w:r w:rsidRPr="001610E6">
        <w:rPr>
          <w:rFonts w:ascii="Arial" w:hAnsi="Arial"/>
          <w:sz w:val="24"/>
          <w:lang w:val="fr-CA"/>
        </w:rPr>
        <w:t>.</w:t>
      </w:r>
    </w:p>
    <w:p w:rsidR="007D5826" w:rsidRPr="001610E6" w:rsidRDefault="007D5826">
      <w:pPr>
        <w:ind w:left="720"/>
        <w:rPr>
          <w:rFonts w:ascii="Arial" w:hAnsi="Arial"/>
          <w:sz w:val="24"/>
          <w:lang w:val="fr-CA"/>
        </w:rPr>
      </w:pPr>
    </w:p>
    <w:p w:rsidR="007D5826" w:rsidRPr="001610E6" w:rsidRDefault="002F17AB">
      <w:pPr>
        <w:numPr>
          <w:ilvl w:val="1"/>
          <w:numId w:val="1"/>
        </w:numPr>
        <w:rPr>
          <w:rFonts w:ascii="Arial" w:hAnsi="Arial"/>
          <w:sz w:val="24"/>
          <w:lang w:val="fr-CA"/>
        </w:rPr>
      </w:pPr>
      <w:r w:rsidRPr="001610E6">
        <w:rPr>
          <w:rFonts w:ascii="Arial" w:hAnsi="Arial"/>
          <w:sz w:val="24"/>
          <w:lang w:val="fr-CA"/>
        </w:rPr>
        <w:t>Voir CAQ.001 - Contrôle de la qualité des globules rouges et des antisérums commerciaux.</w:t>
      </w:r>
    </w:p>
    <w:p w:rsidR="007D5826" w:rsidRPr="001610E6" w:rsidRDefault="007D5826">
      <w:pPr>
        <w:ind w:left="720"/>
        <w:rPr>
          <w:rFonts w:ascii="Arial" w:hAnsi="Arial"/>
          <w:sz w:val="24"/>
          <w:lang w:val="fr-CA"/>
        </w:rPr>
      </w:pPr>
    </w:p>
    <w:p w:rsidR="007D5826" w:rsidRPr="001610E6" w:rsidRDefault="002F17AB">
      <w:pPr>
        <w:numPr>
          <w:ilvl w:val="0"/>
          <w:numId w:val="1"/>
        </w:numPr>
        <w:rPr>
          <w:rFonts w:ascii="Arial" w:hAnsi="Arial"/>
          <w:b/>
          <w:sz w:val="28"/>
          <w:lang w:val="fr-CA"/>
        </w:rPr>
      </w:pPr>
      <w:r w:rsidRPr="001610E6">
        <w:rPr>
          <w:rFonts w:ascii="Arial" w:hAnsi="Arial"/>
          <w:b/>
          <w:sz w:val="28"/>
          <w:lang w:val="fr-CA"/>
        </w:rPr>
        <w:t>Procédure</w:t>
      </w:r>
    </w:p>
    <w:p w:rsidR="007D5826" w:rsidRPr="001610E6" w:rsidRDefault="007D5826">
      <w:pPr>
        <w:rPr>
          <w:rFonts w:ascii="Arial" w:hAnsi="Arial"/>
          <w:sz w:val="24"/>
          <w:lang w:val="fr-CA"/>
        </w:rPr>
      </w:pPr>
    </w:p>
    <w:p w:rsidR="007D5826" w:rsidRPr="001610E6" w:rsidRDefault="002F17AB">
      <w:pPr>
        <w:numPr>
          <w:ilvl w:val="1"/>
          <w:numId w:val="1"/>
        </w:numPr>
        <w:rPr>
          <w:rFonts w:ascii="Arial" w:hAnsi="Arial"/>
          <w:sz w:val="24"/>
          <w:lang w:val="fr-CA"/>
        </w:rPr>
      </w:pPr>
      <w:r w:rsidRPr="001610E6">
        <w:rPr>
          <w:rFonts w:ascii="Arial" w:hAnsi="Arial"/>
          <w:sz w:val="24"/>
          <w:lang w:val="fr-CA"/>
        </w:rPr>
        <w:t>Vérifier l'acceptabilité des échantillons.</w:t>
      </w:r>
      <w:r w:rsidR="001610E6">
        <w:rPr>
          <w:rFonts w:ascii="Arial" w:hAnsi="Arial"/>
          <w:sz w:val="24"/>
          <w:lang w:val="fr-CA"/>
        </w:rPr>
        <w:t xml:space="preserve"> </w:t>
      </w:r>
      <w:r w:rsidRPr="001610E6">
        <w:rPr>
          <w:rFonts w:ascii="Arial" w:hAnsi="Arial"/>
          <w:sz w:val="24"/>
          <w:lang w:val="fr-CA"/>
        </w:rPr>
        <w:t>Voir PA.002 - Acceptation ou rejet des échantillons.</w:t>
      </w:r>
    </w:p>
    <w:p w:rsidR="007D5826" w:rsidRPr="001610E6" w:rsidRDefault="007D5826">
      <w:pPr>
        <w:ind w:left="720"/>
        <w:rPr>
          <w:rFonts w:ascii="Arial" w:hAnsi="Arial"/>
          <w:sz w:val="24"/>
          <w:lang w:val="fr-CA"/>
        </w:rPr>
      </w:pPr>
    </w:p>
    <w:p w:rsidR="002808A6" w:rsidRPr="001610E6" w:rsidRDefault="001A649F" w:rsidP="002808A6">
      <w:pPr>
        <w:numPr>
          <w:ilvl w:val="1"/>
          <w:numId w:val="1"/>
        </w:numPr>
        <w:rPr>
          <w:rFonts w:ascii="Arial" w:hAnsi="Arial"/>
          <w:sz w:val="24"/>
          <w:lang w:val="fr-CA"/>
        </w:rPr>
      </w:pPr>
      <w:r w:rsidRPr="001610E6">
        <w:rPr>
          <w:rFonts w:ascii="Arial" w:hAnsi="Arial"/>
          <w:sz w:val="24"/>
          <w:lang w:val="fr-CA"/>
        </w:rPr>
        <w:t>I</w:t>
      </w:r>
      <w:r w:rsidR="002808A6" w:rsidRPr="001610E6">
        <w:rPr>
          <w:rFonts w:ascii="Arial" w:hAnsi="Arial"/>
          <w:sz w:val="24"/>
          <w:lang w:val="fr-CA"/>
        </w:rPr>
        <w:t>nscrire les données suivantes sur la feuille d’antigramme :</w:t>
      </w:r>
    </w:p>
    <w:p w:rsidR="002808A6" w:rsidRPr="001610E6" w:rsidRDefault="002808A6" w:rsidP="002808A6">
      <w:pPr>
        <w:ind w:left="720"/>
        <w:rPr>
          <w:rFonts w:ascii="Arial" w:hAnsi="Arial"/>
          <w:sz w:val="24"/>
          <w:lang w:val="fr-CA"/>
        </w:rPr>
      </w:pPr>
    </w:p>
    <w:p w:rsidR="007D5826" w:rsidRPr="0043779B" w:rsidRDefault="007D5826" w:rsidP="002808A6">
      <w:pPr>
        <w:numPr>
          <w:ilvl w:val="2"/>
          <w:numId w:val="1"/>
        </w:numPr>
        <w:rPr>
          <w:rFonts w:ascii="Arial" w:hAnsi="Arial"/>
          <w:sz w:val="24"/>
          <w:lang w:val="fr-CA"/>
        </w:rPr>
      </w:pPr>
      <w:r w:rsidRPr="001610E6">
        <w:rPr>
          <w:rFonts w:ascii="Arial" w:hAnsi="Arial"/>
          <w:sz w:val="24"/>
          <w:lang w:val="fr-CA"/>
        </w:rPr>
        <w:t>Transcri</w:t>
      </w:r>
      <w:r w:rsidR="002808A6" w:rsidRPr="001610E6">
        <w:rPr>
          <w:rFonts w:ascii="Arial" w:hAnsi="Arial"/>
          <w:sz w:val="24"/>
          <w:lang w:val="fr-CA"/>
        </w:rPr>
        <w:t xml:space="preserve">re les données suivantes à partir de </w:t>
      </w:r>
      <w:r w:rsidR="002808A6" w:rsidRPr="0043779B">
        <w:rPr>
          <w:rFonts w:ascii="Arial" w:hAnsi="Arial"/>
          <w:sz w:val="24"/>
          <w:lang w:val="fr-CA"/>
        </w:rPr>
        <w:t>l’étiquette de l’</w:t>
      </w:r>
      <w:r w:rsidR="00526D00">
        <w:rPr>
          <w:rFonts w:ascii="Arial" w:hAnsi="Arial"/>
          <w:sz w:val="24"/>
          <w:lang w:val="fr-CA"/>
        </w:rPr>
        <w:t>échantillon </w:t>
      </w:r>
      <w:r w:rsidRPr="0043779B">
        <w:rPr>
          <w:rFonts w:ascii="Arial" w:hAnsi="Arial"/>
          <w:sz w:val="24"/>
          <w:lang w:val="fr-CA"/>
        </w:rPr>
        <w:t>:</w:t>
      </w:r>
    </w:p>
    <w:p w:rsidR="007D5826" w:rsidRPr="001610E6" w:rsidRDefault="002808A6">
      <w:pPr>
        <w:numPr>
          <w:ilvl w:val="0"/>
          <w:numId w:val="2"/>
        </w:numPr>
        <w:tabs>
          <w:tab w:val="clear" w:pos="360"/>
          <w:tab w:val="num" w:pos="2520"/>
        </w:tabs>
        <w:ind w:left="2520"/>
        <w:rPr>
          <w:rFonts w:ascii="Arial" w:hAnsi="Arial"/>
          <w:sz w:val="24"/>
          <w:lang w:val="fr-CA"/>
        </w:rPr>
      </w:pPr>
      <w:r w:rsidRPr="001610E6">
        <w:rPr>
          <w:rFonts w:ascii="Arial" w:hAnsi="Arial"/>
          <w:sz w:val="24"/>
          <w:lang w:val="fr-CA"/>
        </w:rPr>
        <w:t>nom de famille et prénom du p</w:t>
      </w:r>
      <w:r w:rsidR="007D5826" w:rsidRPr="001610E6">
        <w:rPr>
          <w:rFonts w:ascii="Arial" w:hAnsi="Arial"/>
          <w:sz w:val="24"/>
          <w:lang w:val="fr-CA"/>
        </w:rPr>
        <w:t>atient</w:t>
      </w:r>
    </w:p>
    <w:p w:rsidR="007D5826" w:rsidRPr="001610E6" w:rsidRDefault="002F17AB">
      <w:pPr>
        <w:numPr>
          <w:ilvl w:val="0"/>
          <w:numId w:val="2"/>
        </w:numPr>
        <w:tabs>
          <w:tab w:val="clear" w:pos="360"/>
          <w:tab w:val="num" w:pos="2520"/>
        </w:tabs>
        <w:ind w:left="2520"/>
        <w:rPr>
          <w:rFonts w:ascii="Arial" w:hAnsi="Arial"/>
          <w:sz w:val="24"/>
          <w:lang w:val="fr-CA"/>
        </w:rPr>
      </w:pPr>
      <w:r w:rsidRPr="001610E6">
        <w:rPr>
          <w:rFonts w:ascii="Arial" w:hAnsi="Arial"/>
          <w:sz w:val="24"/>
          <w:lang w:val="fr-CA"/>
        </w:rPr>
        <w:t>numéro d'identification du patient</w:t>
      </w:r>
    </w:p>
    <w:p w:rsidR="007D5826" w:rsidRPr="001610E6" w:rsidRDefault="002808A6">
      <w:pPr>
        <w:numPr>
          <w:ilvl w:val="0"/>
          <w:numId w:val="2"/>
        </w:numPr>
        <w:tabs>
          <w:tab w:val="clear" w:pos="360"/>
          <w:tab w:val="num" w:pos="2520"/>
        </w:tabs>
        <w:ind w:left="2520"/>
        <w:rPr>
          <w:rFonts w:ascii="Arial" w:hAnsi="Arial"/>
          <w:sz w:val="24"/>
          <w:lang w:val="fr-CA"/>
        </w:rPr>
      </w:pPr>
      <w:r w:rsidRPr="001610E6">
        <w:rPr>
          <w:rFonts w:ascii="Arial" w:hAnsi="Arial"/>
          <w:sz w:val="24"/>
          <w:lang w:val="fr-CA"/>
        </w:rPr>
        <w:t>d</w:t>
      </w:r>
      <w:r w:rsidR="007D5826" w:rsidRPr="001610E6">
        <w:rPr>
          <w:rFonts w:ascii="Arial" w:hAnsi="Arial"/>
          <w:sz w:val="24"/>
          <w:lang w:val="fr-CA"/>
        </w:rPr>
        <w:t xml:space="preserve">ate </w:t>
      </w:r>
      <w:r w:rsidRPr="001610E6">
        <w:rPr>
          <w:rFonts w:ascii="Arial" w:hAnsi="Arial"/>
          <w:sz w:val="24"/>
          <w:lang w:val="fr-CA"/>
        </w:rPr>
        <w:t>du prélèvement</w:t>
      </w:r>
      <w:r w:rsidR="007D5826" w:rsidRPr="001610E6">
        <w:rPr>
          <w:rFonts w:ascii="Arial" w:hAnsi="Arial"/>
          <w:sz w:val="24"/>
          <w:lang w:val="fr-CA"/>
        </w:rPr>
        <w:t xml:space="preserve"> (</w:t>
      </w:r>
      <w:r w:rsidRPr="001610E6">
        <w:rPr>
          <w:rFonts w:ascii="Arial" w:hAnsi="Arial"/>
          <w:sz w:val="24"/>
          <w:lang w:val="fr-CA"/>
        </w:rPr>
        <w:t>heure facultative</w:t>
      </w:r>
      <w:r w:rsidR="007D5826" w:rsidRPr="001610E6">
        <w:rPr>
          <w:rFonts w:ascii="Arial" w:hAnsi="Arial"/>
          <w:sz w:val="24"/>
          <w:lang w:val="fr-CA"/>
        </w:rPr>
        <w:t>)</w:t>
      </w:r>
    </w:p>
    <w:p w:rsidR="007D5826" w:rsidRPr="001610E6" w:rsidRDefault="002808A6" w:rsidP="00336F1A">
      <w:pPr>
        <w:ind w:left="2160"/>
        <w:rPr>
          <w:rFonts w:ascii="Arial" w:hAnsi="Arial"/>
          <w:sz w:val="24"/>
          <w:lang w:val="fr-CA"/>
        </w:rPr>
      </w:pPr>
      <w:r w:rsidRPr="001610E6">
        <w:rPr>
          <w:rFonts w:ascii="Arial" w:hAnsi="Arial"/>
          <w:sz w:val="24"/>
          <w:lang w:val="fr-CA"/>
        </w:rPr>
        <w:t>ou mettre une étiquette informatisée</w:t>
      </w:r>
      <w:r w:rsidR="007D5826" w:rsidRPr="001610E6">
        <w:rPr>
          <w:rFonts w:ascii="Arial" w:hAnsi="Arial"/>
          <w:sz w:val="24"/>
          <w:lang w:val="fr-CA"/>
        </w:rPr>
        <w:t>.</w:t>
      </w:r>
    </w:p>
    <w:p w:rsidR="007D5826" w:rsidRPr="001610E6" w:rsidRDefault="002808A6" w:rsidP="002808A6">
      <w:pPr>
        <w:numPr>
          <w:ilvl w:val="2"/>
          <w:numId w:val="1"/>
        </w:numPr>
        <w:rPr>
          <w:rFonts w:ascii="Arial" w:hAnsi="Arial"/>
          <w:sz w:val="24"/>
          <w:lang w:val="fr-CA"/>
        </w:rPr>
      </w:pPr>
      <w:r w:rsidRPr="001610E6">
        <w:rPr>
          <w:rFonts w:ascii="Arial" w:hAnsi="Arial"/>
          <w:sz w:val="24"/>
          <w:lang w:val="fr-CA"/>
        </w:rPr>
        <w:t xml:space="preserve">Date du jour de l’épreuve </w:t>
      </w:r>
    </w:p>
    <w:p w:rsidR="002808A6" w:rsidRPr="001610E6" w:rsidRDefault="002808A6" w:rsidP="002808A6">
      <w:pPr>
        <w:numPr>
          <w:ilvl w:val="2"/>
          <w:numId w:val="1"/>
        </w:numPr>
        <w:rPr>
          <w:rFonts w:ascii="Arial" w:hAnsi="Arial"/>
          <w:sz w:val="24"/>
          <w:lang w:val="fr-CA"/>
        </w:rPr>
      </w:pPr>
      <w:r w:rsidRPr="001610E6">
        <w:rPr>
          <w:rFonts w:ascii="Arial" w:hAnsi="Arial"/>
          <w:sz w:val="24"/>
          <w:lang w:val="fr-CA"/>
        </w:rPr>
        <w:t>Méthode utilisée pour faire le test (p. ex. SIAT). Ce renseignement est habituellement écrit au-dessus de la colonne dans laquelle les résultats seront inscrits.</w:t>
      </w:r>
      <w:r w:rsidR="006303B3" w:rsidRPr="001610E6">
        <w:rPr>
          <w:rFonts w:ascii="Arial" w:hAnsi="Arial"/>
          <w:sz w:val="24"/>
          <w:lang w:val="fr-CA"/>
        </w:rPr>
        <w:br/>
      </w:r>
    </w:p>
    <w:p w:rsidR="007D5826" w:rsidRPr="001610E6" w:rsidRDefault="007D5826" w:rsidP="006303B3">
      <w:pPr>
        <w:numPr>
          <w:ilvl w:val="1"/>
          <w:numId w:val="1"/>
        </w:numPr>
        <w:rPr>
          <w:rFonts w:ascii="Arial" w:hAnsi="Arial"/>
          <w:sz w:val="24"/>
          <w:lang w:val="fr-CA"/>
        </w:rPr>
      </w:pPr>
      <w:r w:rsidRPr="001610E6">
        <w:rPr>
          <w:rFonts w:ascii="Arial" w:hAnsi="Arial"/>
          <w:sz w:val="24"/>
          <w:lang w:val="fr-CA"/>
        </w:rPr>
        <w:t>Centrifuge</w:t>
      </w:r>
      <w:r w:rsidR="006303B3" w:rsidRPr="001610E6">
        <w:rPr>
          <w:rFonts w:ascii="Arial" w:hAnsi="Arial"/>
          <w:sz w:val="24"/>
          <w:lang w:val="fr-CA"/>
        </w:rPr>
        <w:t>r le ou les échantillons</w:t>
      </w:r>
      <w:r w:rsidR="00AB2E23">
        <w:rPr>
          <w:rFonts w:ascii="Arial" w:hAnsi="Arial"/>
          <w:sz w:val="24"/>
          <w:lang w:val="fr-CA"/>
        </w:rPr>
        <w:t xml:space="preserve"> 5 minutes à 3500 rpm ou l’équivalent</w:t>
      </w:r>
      <w:r w:rsidR="00AB2E23" w:rsidRPr="001610E6">
        <w:rPr>
          <w:rFonts w:ascii="Arial" w:hAnsi="Arial"/>
          <w:sz w:val="24"/>
          <w:lang w:val="fr-CA"/>
        </w:rPr>
        <w:t>.</w:t>
      </w:r>
    </w:p>
    <w:p w:rsidR="007D5826" w:rsidRPr="001610E6" w:rsidRDefault="007D5826">
      <w:pPr>
        <w:ind w:left="720"/>
        <w:rPr>
          <w:rFonts w:ascii="Arial" w:hAnsi="Arial"/>
          <w:sz w:val="24"/>
          <w:lang w:val="fr-CA"/>
        </w:rPr>
      </w:pPr>
    </w:p>
    <w:p w:rsidR="007D5826" w:rsidRPr="001610E6" w:rsidRDefault="006303B3" w:rsidP="006303B3">
      <w:pPr>
        <w:numPr>
          <w:ilvl w:val="1"/>
          <w:numId w:val="1"/>
        </w:numPr>
        <w:rPr>
          <w:rFonts w:ascii="Arial" w:hAnsi="Arial"/>
          <w:sz w:val="24"/>
          <w:lang w:val="fr-CA"/>
        </w:rPr>
      </w:pPr>
      <w:r w:rsidRPr="001610E6">
        <w:rPr>
          <w:rFonts w:ascii="Arial" w:hAnsi="Arial"/>
          <w:sz w:val="24"/>
          <w:lang w:val="fr-CA"/>
        </w:rPr>
        <w:t>S’assurer que la feuille d’antigramme correspond au panel de cellules en comparant le numéro de lot sur la feuille d’antigramme et sur les flacons de cellules</w:t>
      </w:r>
      <w:r w:rsidR="00055D7C" w:rsidRPr="001610E6">
        <w:rPr>
          <w:rFonts w:ascii="Arial" w:hAnsi="Arial"/>
          <w:sz w:val="24"/>
          <w:lang w:val="fr-CA"/>
        </w:rPr>
        <w:t xml:space="preserve"> du panel</w:t>
      </w:r>
      <w:r w:rsidRPr="001610E6">
        <w:rPr>
          <w:rFonts w:ascii="Arial" w:hAnsi="Arial"/>
          <w:sz w:val="24"/>
          <w:lang w:val="fr-CA"/>
        </w:rPr>
        <w:t>.</w:t>
      </w:r>
      <w:r w:rsidR="00336F1A">
        <w:rPr>
          <w:rFonts w:ascii="Arial" w:hAnsi="Arial"/>
          <w:sz w:val="24"/>
          <w:lang w:val="fr-CA"/>
        </w:rPr>
        <w:t xml:space="preserve"> Vérifier la date de péremption des cellules.</w:t>
      </w:r>
    </w:p>
    <w:p w:rsidR="006303B3" w:rsidRPr="001610E6" w:rsidRDefault="006303B3" w:rsidP="006303B3">
      <w:pPr>
        <w:ind w:left="1440" w:hanging="720"/>
        <w:rPr>
          <w:rFonts w:ascii="Arial" w:hAnsi="Arial"/>
          <w:sz w:val="24"/>
          <w:lang w:val="fr-CA"/>
        </w:rPr>
      </w:pPr>
    </w:p>
    <w:p w:rsidR="007D5826" w:rsidRPr="001610E6" w:rsidRDefault="007D5826" w:rsidP="006303B3">
      <w:pPr>
        <w:numPr>
          <w:ilvl w:val="1"/>
          <w:numId w:val="1"/>
        </w:numPr>
        <w:rPr>
          <w:rFonts w:ascii="Arial" w:hAnsi="Arial"/>
          <w:sz w:val="24"/>
          <w:lang w:val="fr-CA"/>
        </w:rPr>
      </w:pPr>
      <w:r w:rsidRPr="001610E6">
        <w:rPr>
          <w:rFonts w:ascii="Arial" w:hAnsi="Arial"/>
          <w:sz w:val="24"/>
          <w:lang w:val="fr-CA"/>
        </w:rPr>
        <w:t>Pr</w:t>
      </w:r>
      <w:r w:rsidR="006303B3" w:rsidRPr="001610E6">
        <w:rPr>
          <w:rFonts w:ascii="Arial" w:hAnsi="Arial"/>
          <w:sz w:val="24"/>
          <w:lang w:val="fr-CA"/>
        </w:rPr>
        <w:t>éparer une suspension à 3 % de cellules du</w:t>
      </w:r>
      <w:r w:rsidRPr="001610E6">
        <w:rPr>
          <w:rFonts w:ascii="Arial" w:hAnsi="Arial"/>
          <w:sz w:val="24"/>
          <w:lang w:val="fr-CA"/>
        </w:rPr>
        <w:t xml:space="preserve"> patient.</w:t>
      </w:r>
    </w:p>
    <w:p w:rsidR="007D5826" w:rsidRPr="001610E6" w:rsidRDefault="007D5826">
      <w:pPr>
        <w:ind w:left="720"/>
        <w:rPr>
          <w:rFonts w:ascii="Arial" w:hAnsi="Arial"/>
          <w:sz w:val="24"/>
          <w:lang w:val="fr-CA"/>
        </w:rPr>
      </w:pPr>
    </w:p>
    <w:p w:rsidR="007D5826" w:rsidRPr="001610E6" w:rsidRDefault="002F17AB" w:rsidP="006303B3">
      <w:pPr>
        <w:numPr>
          <w:ilvl w:val="2"/>
          <w:numId w:val="1"/>
        </w:numPr>
        <w:rPr>
          <w:rFonts w:ascii="Arial" w:hAnsi="Arial"/>
          <w:sz w:val="24"/>
          <w:lang w:val="fr-CA"/>
        </w:rPr>
      </w:pPr>
      <w:r w:rsidRPr="001610E6">
        <w:rPr>
          <w:rFonts w:ascii="Arial" w:hAnsi="Arial"/>
          <w:sz w:val="24"/>
          <w:lang w:val="fr-CA"/>
        </w:rPr>
        <w:t xml:space="preserve">Inscrire le nom de famille </w:t>
      </w:r>
      <w:r w:rsidRPr="00336F1A">
        <w:rPr>
          <w:rFonts w:ascii="Arial" w:hAnsi="Arial"/>
          <w:sz w:val="24"/>
          <w:lang w:val="fr-CA"/>
        </w:rPr>
        <w:t>complet</w:t>
      </w:r>
      <w:r w:rsidRPr="001610E6">
        <w:rPr>
          <w:rFonts w:ascii="Arial" w:hAnsi="Arial"/>
          <w:sz w:val="24"/>
          <w:lang w:val="fr-CA"/>
        </w:rPr>
        <w:t xml:space="preserve"> du patient sur le tube; copier les renseignements </w:t>
      </w:r>
      <w:r w:rsidRPr="00336F1A">
        <w:rPr>
          <w:rFonts w:ascii="Arial" w:hAnsi="Arial"/>
          <w:sz w:val="24"/>
          <w:lang w:val="fr-CA"/>
        </w:rPr>
        <w:t>à</w:t>
      </w:r>
      <w:r w:rsidRPr="001610E6">
        <w:rPr>
          <w:rFonts w:ascii="Arial" w:hAnsi="Arial"/>
          <w:b/>
          <w:sz w:val="24"/>
          <w:lang w:val="fr-CA"/>
        </w:rPr>
        <w:t xml:space="preserve"> </w:t>
      </w:r>
      <w:r w:rsidRPr="00336F1A">
        <w:rPr>
          <w:rFonts w:ascii="Arial" w:hAnsi="Arial"/>
          <w:sz w:val="24"/>
          <w:lang w:val="fr-CA"/>
        </w:rPr>
        <w:t>partir de l'échantillon</w:t>
      </w:r>
      <w:r w:rsidRPr="001610E6">
        <w:rPr>
          <w:rFonts w:ascii="Arial" w:hAnsi="Arial"/>
          <w:sz w:val="24"/>
          <w:lang w:val="fr-CA"/>
        </w:rPr>
        <w:t xml:space="preserve"> et non du formulaire de demande.</w:t>
      </w:r>
      <w:r w:rsidR="007D5826" w:rsidRPr="001610E6">
        <w:rPr>
          <w:rFonts w:ascii="Arial" w:hAnsi="Arial"/>
          <w:sz w:val="24"/>
          <w:lang w:val="fr-CA"/>
        </w:rPr>
        <w:t xml:space="preserve"> </w:t>
      </w:r>
      <w:r w:rsidR="006303B3" w:rsidRPr="001610E6">
        <w:rPr>
          <w:rFonts w:ascii="Arial" w:hAnsi="Arial"/>
          <w:sz w:val="24"/>
          <w:lang w:val="fr-CA"/>
        </w:rPr>
        <w:t xml:space="preserve">On peut se servir d’une étiquette </w:t>
      </w:r>
      <w:r w:rsidR="00526D00">
        <w:rPr>
          <w:rFonts w:ascii="Arial" w:hAnsi="Arial"/>
          <w:sz w:val="24"/>
          <w:lang w:val="fr-CA"/>
        </w:rPr>
        <w:t>préimprimée</w:t>
      </w:r>
      <w:r w:rsidR="006303B3" w:rsidRPr="001610E6">
        <w:rPr>
          <w:rFonts w:ascii="Arial" w:hAnsi="Arial"/>
          <w:sz w:val="24"/>
          <w:lang w:val="fr-CA"/>
        </w:rPr>
        <w:t xml:space="preserve"> (s’assurer que les données sont identiques à celles du formulaire de demande</w:t>
      </w:r>
      <w:r w:rsidR="007D5826" w:rsidRPr="001610E6">
        <w:rPr>
          <w:rFonts w:ascii="Arial" w:hAnsi="Arial"/>
          <w:sz w:val="24"/>
          <w:lang w:val="fr-CA"/>
        </w:rPr>
        <w:t>).</w:t>
      </w:r>
    </w:p>
    <w:p w:rsidR="007D5826" w:rsidRPr="001610E6" w:rsidRDefault="002F17AB" w:rsidP="006303B3">
      <w:pPr>
        <w:numPr>
          <w:ilvl w:val="2"/>
          <w:numId w:val="1"/>
        </w:numPr>
        <w:rPr>
          <w:rFonts w:ascii="Arial" w:hAnsi="Arial"/>
          <w:sz w:val="24"/>
          <w:lang w:val="fr-CA"/>
        </w:rPr>
      </w:pPr>
      <w:r w:rsidRPr="001610E6">
        <w:rPr>
          <w:rFonts w:ascii="Arial" w:hAnsi="Arial"/>
          <w:sz w:val="24"/>
          <w:lang w:val="fr-CA"/>
        </w:rPr>
        <w:t>Placer 2 gouttes de sang total (ou l'équivalent : 1 goutte de culot globulaire) dans le tube étiqueté.</w:t>
      </w:r>
    </w:p>
    <w:p w:rsidR="007D5826" w:rsidRPr="001610E6" w:rsidRDefault="002F17AB" w:rsidP="006303B3">
      <w:pPr>
        <w:numPr>
          <w:ilvl w:val="2"/>
          <w:numId w:val="1"/>
        </w:numPr>
        <w:rPr>
          <w:rFonts w:ascii="Arial" w:hAnsi="Arial"/>
          <w:sz w:val="24"/>
          <w:lang w:val="fr-CA"/>
        </w:rPr>
      </w:pPr>
      <w:r w:rsidRPr="001610E6">
        <w:rPr>
          <w:rFonts w:ascii="Arial" w:hAnsi="Arial"/>
          <w:sz w:val="24"/>
          <w:lang w:val="fr-CA"/>
        </w:rPr>
        <w:t xml:space="preserve">Ajouter 0,5 à 1,0 ml de solution saline </w:t>
      </w:r>
      <w:r w:rsidR="0043779B">
        <w:rPr>
          <w:rFonts w:ascii="Arial" w:hAnsi="Arial"/>
          <w:sz w:val="24"/>
          <w:lang w:val="fr-CA"/>
        </w:rPr>
        <w:t xml:space="preserve">normale </w:t>
      </w:r>
      <w:r w:rsidRPr="001610E6">
        <w:rPr>
          <w:rFonts w:ascii="Arial" w:hAnsi="Arial"/>
          <w:sz w:val="24"/>
          <w:lang w:val="fr-CA"/>
        </w:rPr>
        <w:t>et mélanger pour remettre en suspension à 3 %.</w:t>
      </w:r>
    </w:p>
    <w:p w:rsidR="007D5826" w:rsidRPr="001610E6" w:rsidRDefault="002F17AB" w:rsidP="006303B3">
      <w:pPr>
        <w:numPr>
          <w:ilvl w:val="2"/>
          <w:numId w:val="1"/>
        </w:numPr>
        <w:rPr>
          <w:rFonts w:ascii="Arial" w:hAnsi="Arial"/>
          <w:sz w:val="24"/>
          <w:lang w:val="fr-CA"/>
        </w:rPr>
      </w:pPr>
      <w:r w:rsidRPr="001610E6">
        <w:rPr>
          <w:rFonts w:ascii="Arial" w:hAnsi="Arial"/>
          <w:sz w:val="24"/>
          <w:lang w:val="fr-CA"/>
        </w:rPr>
        <w:t>Comparer à une suspension cellulaire commerciale à 3 % et ajuster au besoin la concentration de la suspension.</w:t>
      </w:r>
    </w:p>
    <w:p w:rsidR="007D5826" w:rsidRPr="001610E6" w:rsidRDefault="007D5826">
      <w:pPr>
        <w:ind w:left="1440"/>
        <w:rPr>
          <w:rFonts w:ascii="Arial" w:hAnsi="Arial"/>
          <w:sz w:val="24"/>
          <w:lang w:val="fr-CA"/>
        </w:rPr>
      </w:pPr>
    </w:p>
    <w:p w:rsidR="007D5826" w:rsidRPr="001610E6" w:rsidRDefault="006303B3" w:rsidP="001A649F">
      <w:pPr>
        <w:numPr>
          <w:ilvl w:val="1"/>
          <w:numId w:val="1"/>
        </w:numPr>
        <w:rPr>
          <w:rFonts w:ascii="Arial" w:hAnsi="Arial"/>
          <w:sz w:val="24"/>
          <w:lang w:val="fr-CA"/>
        </w:rPr>
      </w:pPr>
      <w:r w:rsidRPr="001610E6">
        <w:rPr>
          <w:rFonts w:ascii="Arial" w:hAnsi="Arial"/>
          <w:sz w:val="24"/>
          <w:lang w:val="fr-CA"/>
        </w:rPr>
        <w:t>Étiqueter le nombre nécessaire de tubes à préparer en y inscrivant le nom de famille et le numéro de cellule du panel. Raccourcir au besoin le nom de famille aux trois premières lettres. Placer les tubes en ordre numérique dans le support.</w:t>
      </w:r>
    </w:p>
    <w:p w:rsidR="007D5826" w:rsidRPr="001610E6" w:rsidRDefault="007D5826">
      <w:pPr>
        <w:ind w:left="720"/>
        <w:rPr>
          <w:rFonts w:ascii="Arial" w:hAnsi="Arial"/>
          <w:sz w:val="24"/>
          <w:lang w:val="fr-CA"/>
        </w:rPr>
      </w:pPr>
    </w:p>
    <w:p w:rsidR="006303B3" w:rsidRPr="001610E6" w:rsidRDefault="006303B3" w:rsidP="006303B3">
      <w:pPr>
        <w:numPr>
          <w:ilvl w:val="1"/>
          <w:numId w:val="1"/>
        </w:numPr>
        <w:rPr>
          <w:rFonts w:ascii="Arial" w:hAnsi="Arial"/>
          <w:sz w:val="24"/>
          <w:lang w:val="fr-CA"/>
        </w:rPr>
      </w:pPr>
      <w:r w:rsidRPr="001610E6">
        <w:rPr>
          <w:rFonts w:ascii="Arial" w:hAnsi="Arial"/>
          <w:sz w:val="24"/>
          <w:lang w:val="fr-CA"/>
        </w:rPr>
        <w:t>Étiqueter un tube en y mettant le nom de famille et « auto ». Placer le tube dans le support.</w:t>
      </w:r>
    </w:p>
    <w:p w:rsidR="00CC046E" w:rsidRPr="001610E6" w:rsidRDefault="00CC046E" w:rsidP="006303B3">
      <w:pPr>
        <w:ind w:left="1440" w:hanging="720"/>
        <w:rPr>
          <w:rFonts w:ascii="Arial" w:hAnsi="Arial"/>
          <w:sz w:val="24"/>
          <w:lang w:val="fr-CA"/>
        </w:rPr>
      </w:pPr>
    </w:p>
    <w:p w:rsidR="007D5826" w:rsidRPr="001610E6" w:rsidRDefault="007D5826" w:rsidP="006303B3">
      <w:pPr>
        <w:numPr>
          <w:ilvl w:val="1"/>
          <w:numId w:val="1"/>
        </w:numPr>
        <w:rPr>
          <w:rFonts w:ascii="Arial" w:hAnsi="Arial"/>
          <w:sz w:val="24"/>
          <w:lang w:val="fr-CA"/>
        </w:rPr>
      </w:pPr>
      <w:r w:rsidRPr="001610E6">
        <w:rPr>
          <w:rFonts w:ascii="Arial" w:hAnsi="Arial"/>
          <w:sz w:val="24"/>
          <w:lang w:val="fr-CA"/>
        </w:rPr>
        <w:t>Compare</w:t>
      </w:r>
      <w:r w:rsidR="006303B3" w:rsidRPr="001610E6">
        <w:rPr>
          <w:rFonts w:ascii="Arial" w:hAnsi="Arial"/>
          <w:sz w:val="24"/>
          <w:lang w:val="fr-CA"/>
        </w:rPr>
        <w:t>r</w:t>
      </w:r>
      <w:r w:rsidRPr="001610E6">
        <w:rPr>
          <w:rFonts w:ascii="Arial" w:hAnsi="Arial"/>
          <w:sz w:val="24"/>
          <w:lang w:val="fr-CA"/>
        </w:rPr>
        <w:t xml:space="preserve"> </w:t>
      </w:r>
      <w:r w:rsidR="006303B3" w:rsidRPr="001610E6">
        <w:rPr>
          <w:rFonts w:ascii="Arial" w:hAnsi="Arial"/>
          <w:sz w:val="24"/>
          <w:lang w:val="fr-CA"/>
        </w:rPr>
        <w:t>le nom et le numéro d’identification de l’échantillon aux données correspondantes sur la feuille d’antigramme</w:t>
      </w:r>
      <w:r w:rsidRPr="001610E6">
        <w:rPr>
          <w:rFonts w:ascii="Arial" w:hAnsi="Arial"/>
          <w:sz w:val="24"/>
          <w:lang w:val="fr-CA"/>
        </w:rPr>
        <w:t>.</w:t>
      </w:r>
    </w:p>
    <w:p w:rsidR="007D5826" w:rsidRPr="001610E6" w:rsidRDefault="007D5826">
      <w:pPr>
        <w:ind w:left="720"/>
        <w:rPr>
          <w:rFonts w:ascii="Arial" w:hAnsi="Arial"/>
          <w:sz w:val="24"/>
          <w:lang w:val="fr-CA"/>
        </w:rPr>
      </w:pPr>
    </w:p>
    <w:p w:rsidR="00304B44" w:rsidRPr="001610E6" w:rsidRDefault="00CC046E" w:rsidP="00CC046E">
      <w:pPr>
        <w:numPr>
          <w:ilvl w:val="1"/>
          <w:numId w:val="1"/>
        </w:numPr>
        <w:rPr>
          <w:rFonts w:ascii="Arial" w:hAnsi="Arial"/>
          <w:sz w:val="24"/>
          <w:lang w:val="fr-CA"/>
        </w:rPr>
      </w:pPr>
      <w:r w:rsidRPr="0043779B">
        <w:rPr>
          <w:rFonts w:ascii="Arial" w:hAnsi="Arial"/>
          <w:sz w:val="24"/>
          <w:lang w:val="fr-CA"/>
        </w:rPr>
        <w:t xml:space="preserve">Pipetter </w:t>
      </w:r>
      <w:r w:rsidR="00AB2E23">
        <w:rPr>
          <w:rFonts w:ascii="Arial" w:hAnsi="Arial"/>
          <w:sz w:val="24"/>
          <w:lang w:val="fr-CA"/>
        </w:rPr>
        <w:t>3</w:t>
      </w:r>
      <w:r w:rsidRPr="0043779B">
        <w:rPr>
          <w:rFonts w:ascii="Arial" w:hAnsi="Arial"/>
          <w:sz w:val="24"/>
          <w:lang w:val="fr-CA"/>
        </w:rPr>
        <w:t xml:space="preserve"> gouttes</w:t>
      </w:r>
      <w:r w:rsidR="00AB2E23">
        <w:rPr>
          <w:rFonts w:ascii="Arial" w:hAnsi="Arial"/>
          <w:sz w:val="24"/>
          <w:vertAlign w:val="superscript"/>
          <w:lang w:val="fr-CA"/>
        </w:rPr>
        <w:t>9.3</w:t>
      </w:r>
      <w:r w:rsidRPr="001610E6">
        <w:rPr>
          <w:rFonts w:ascii="Arial" w:hAnsi="Arial"/>
          <w:sz w:val="24"/>
          <w:lang w:val="fr-CA"/>
        </w:rPr>
        <w:t xml:space="preserve"> de plasma dans chaque tube étiqueté. Si une solution de potentialisation est utilisée, ajouter 2 gouttes de </w:t>
      </w:r>
      <w:r w:rsidR="004503D6" w:rsidRPr="001610E6">
        <w:rPr>
          <w:rFonts w:ascii="Arial" w:hAnsi="Arial"/>
          <w:sz w:val="24"/>
          <w:lang w:val="fr-CA"/>
        </w:rPr>
        <w:t>plasma</w:t>
      </w:r>
      <w:r w:rsidR="00AB2E23">
        <w:rPr>
          <w:rFonts w:ascii="Arial" w:hAnsi="Arial"/>
          <w:sz w:val="24"/>
          <w:lang w:val="fr-CA"/>
        </w:rPr>
        <w:t>.</w:t>
      </w:r>
    </w:p>
    <w:p w:rsidR="007D5826" w:rsidRPr="001610E6" w:rsidRDefault="007D5826">
      <w:pPr>
        <w:ind w:left="720"/>
        <w:rPr>
          <w:rFonts w:ascii="Arial" w:hAnsi="Arial"/>
          <w:sz w:val="24"/>
          <w:lang w:val="fr-CA"/>
        </w:rPr>
      </w:pPr>
    </w:p>
    <w:p w:rsidR="00304B44" w:rsidRPr="001610E6" w:rsidRDefault="00CC046E" w:rsidP="00CC046E">
      <w:pPr>
        <w:numPr>
          <w:ilvl w:val="1"/>
          <w:numId w:val="1"/>
        </w:numPr>
        <w:rPr>
          <w:rFonts w:ascii="Arial" w:hAnsi="Arial"/>
          <w:sz w:val="24"/>
          <w:lang w:val="fr-CA"/>
        </w:rPr>
      </w:pPr>
      <w:r w:rsidRPr="001610E6">
        <w:rPr>
          <w:rFonts w:ascii="Arial" w:hAnsi="Arial"/>
          <w:sz w:val="24"/>
          <w:lang w:val="fr-CA"/>
        </w:rPr>
        <w:t>Ajouter 1</w:t>
      </w:r>
      <w:r w:rsidR="00304B44" w:rsidRPr="001610E6">
        <w:rPr>
          <w:rFonts w:ascii="Arial" w:hAnsi="Arial"/>
          <w:sz w:val="24"/>
          <w:lang w:val="fr-CA"/>
        </w:rPr>
        <w:t xml:space="preserve"> goutte de suspension à 3 </w:t>
      </w:r>
      <w:r w:rsidRPr="001610E6">
        <w:rPr>
          <w:rFonts w:ascii="Arial" w:hAnsi="Arial"/>
          <w:sz w:val="24"/>
          <w:lang w:val="fr-CA"/>
        </w:rPr>
        <w:t>%</w:t>
      </w:r>
      <w:r w:rsidR="00304B44" w:rsidRPr="001610E6">
        <w:rPr>
          <w:rFonts w:ascii="Arial" w:hAnsi="Arial"/>
          <w:sz w:val="24"/>
          <w:lang w:val="fr-CA"/>
        </w:rPr>
        <w:t xml:space="preserve"> de cellules du patient dans le tube étiqueté « auto »</w:t>
      </w:r>
    </w:p>
    <w:p w:rsidR="00CC046E" w:rsidRPr="001610E6" w:rsidRDefault="00CC046E" w:rsidP="00CC046E">
      <w:pPr>
        <w:rPr>
          <w:rFonts w:ascii="Arial" w:hAnsi="Arial"/>
          <w:sz w:val="24"/>
          <w:lang w:val="fr-CA"/>
        </w:rPr>
      </w:pPr>
    </w:p>
    <w:p w:rsidR="007D5826" w:rsidRPr="001610E6" w:rsidRDefault="00CC046E" w:rsidP="00CC046E">
      <w:pPr>
        <w:numPr>
          <w:ilvl w:val="1"/>
          <w:numId w:val="1"/>
        </w:numPr>
        <w:rPr>
          <w:rFonts w:ascii="Arial" w:hAnsi="Arial"/>
          <w:sz w:val="24"/>
          <w:lang w:val="fr-CA"/>
        </w:rPr>
      </w:pPr>
      <w:r w:rsidRPr="001610E6">
        <w:rPr>
          <w:rFonts w:ascii="Arial" w:hAnsi="Arial"/>
          <w:sz w:val="24"/>
          <w:lang w:val="fr-CA"/>
        </w:rPr>
        <w:t xml:space="preserve">Ajouter 1 </w:t>
      </w:r>
      <w:r w:rsidR="00304B44" w:rsidRPr="001610E6">
        <w:rPr>
          <w:rFonts w:ascii="Arial" w:hAnsi="Arial"/>
          <w:sz w:val="24"/>
          <w:lang w:val="fr-CA"/>
        </w:rPr>
        <w:t xml:space="preserve">goutte de la cellule de panel </w:t>
      </w:r>
      <w:r w:rsidR="007D5826" w:rsidRPr="001610E6">
        <w:rPr>
          <w:rFonts w:ascii="Arial" w:hAnsi="Arial"/>
          <w:sz w:val="24"/>
          <w:lang w:val="fr-CA"/>
        </w:rPr>
        <w:t>appropri</w:t>
      </w:r>
      <w:r w:rsidR="00304B44" w:rsidRPr="001610E6">
        <w:rPr>
          <w:rFonts w:ascii="Arial" w:hAnsi="Arial"/>
          <w:sz w:val="24"/>
          <w:lang w:val="fr-CA"/>
        </w:rPr>
        <w:t>ée au tube correspondant</w:t>
      </w:r>
      <w:r w:rsidR="007D5826" w:rsidRPr="001610E6">
        <w:rPr>
          <w:rFonts w:ascii="Arial" w:hAnsi="Arial"/>
          <w:sz w:val="24"/>
          <w:lang w:val="fr-CA"/>
        </w:rPr>
        <w:t>.</w:t>
      </w:r>
    </w:p>
    <w:p w:rsidR="00CC046E" w:rsidRPr="001610E6" w:rsidRDefault="00CC046E" w:rsidP="00CC046E">
      <w:pPr>
        <w:ind w:left="1440" w:hanging="720"/>
        <w:rPr>
          <w:rFonts w:ascii="Arial" w:hAnsi="Arial"/>
          <w:sz w:val="24"/>
          <w:lang w:val="fr-CA"/>
        </w:rPr>
      </w:pPr>
    </w:p>
    <w:p w:rsidR="00CC046E" w:rsidRPr="001610E6" w:rsidRDefault="00CC046E" w:rsidP="00CC046E">
      <w:pPr>
        <w:numPr>
          <w:ilvl w:val="1"/>
          <w:numId w:val="1"/>
        </w:numPr>
        <w:rPr>
          <w:rFonts w:ascii="Arial" w:hAnsi="Arial"/>
          <w:sz w:val="24"/>
          <w:lang w:val="fr-CA"/>
        </w:rPr>
      </w:pPr>
      <w:r w:rsidRPr="001610E6">
        <w:rPr>
          <w:rFonts w:ascii="Arial" w:hAnsi="Arial"/>
          <w:sz w:val="24"/>
          <w:lang w:val="fr-CA"/>
        </w:rPr>
        <w:t>Si l’on s’en sert, ajouter 2 gouttes de solution de potentialisation à chaque tube.</w:t>
      </w:r>
    </w:p>
    <w:p w:rsidR="007D5826" w:rsidRPr="001610E6" w:rsidRDefault="007D5826">
      <w:pPr>
        <w:rPr>
          <w:rFonts w:ascii="Arial" w:hAnsi="Arial"/>
          <w:sz w:val="24"/>
          <w:lang w:val="fr-CA"/>
        </w:rPr>
      </w:pPr>
    </w:p>
    <w:p w:rsidR="007D5826" w:rsidRPr="001610E6" w:rsidRDefault="006303B3" w:rsidP="00304B44">
      <w:pPr>
        <w:numPr>
          <w:ilvl w:val="1"/>
          <w:numId w:val="1"/>
        </w:numPr>
        <w:rPr>
          <w:rFonts w:ascii="Arial" w:hAnsi="Arial"/>
          <w:sz w:val="24"/>
          <w:lang w:val="fr-CA"/>
        </w:rPr>
      </w:pPr>
      <w:r w:rsidRPr="001610E6">
        <w:rPr>
          <w:rFonts w:ascii="Arial" w:hAnsi="Arial"/>
          <w:sz w:val="24"/>
          <w:lang w:val="fr-CA"/>
        </w:rPr>
        <w:t>Mélanger le contenu de chaque</w:t>
      </w:r>
      <w:r w:rsidR="00304B44" w:rsidRPr="001610E6">
        <w:rPr>
          <w:rFonts w:ascii="Arial" w:hAnsi="Arial"/>
          <w:sz w:val="24"/>
          <w:lang w:val="fr-CA"/>
        </w:rPr>
        <w:t xml:space="preserve"> tube</w:t>
      </w:r>
      <w:r w:rsidR="007D5826" w:rsidRPr="001610E6">
        <w:rPr>
          <w:rFonts w:ascii="Arial" w:hAnsi="Arial"/>
          <w:sz w:val="24"/>
          <w:lang w:val="fr-CA"/>
        </w:rPr>
        <w:t xml:space="preserve">. </w:t>
      </w:r>
      <w:r w:rsidRPr="001610E6">
        <w:rPr>
          <w:rFonts w:ascii="Arial" w:hAnsi="Arial"/>
          <w:sz w:val="24"/>
          <w:lang w:val="fr-CA"/>
        </w:rPr>
        <w:t>C</w:t>
      </w:r>
      <w:r w:rsidR="002F17AB" w:rsidRPr="001610E6">
        <w:rPr>
          <w:rFonts w:ascii="Arial" w:hAnsi="Arial"/>
          <w:sz w:val="24"/>
          <w:lang w:val="fr-CA"/>
        </w:rPr>
        <w:t>omparer le volume de chaque tube</w:t>
      </w:r>
      <w:r w:rsidR="008F1EAF">
        <w:rPr>
          <w:rFonts w:ascii="Arial" w:hAnsi="Arial"/>
          <w:sz w:val="24"/>
          <w:lang w:val="fr-CA"/>
        </w:rPr>
        <w:t xml:space="preserve"> qui devrait être le même</w:t>
      </w:r>
      <w:r w:rsidR="002F17AB" w:rsidRPr="001610E6">
        <w:rPr>
          <w:rFonts w:ascii="Arial" w:hAnsi="Arial"/>
          <w:sz w:val="24"/>
          <w:lang w:val="fr-CA"/>
        </w:rPr>
        <w:t>.</w:t>
      </w:r>
    </w:p>
    <w:p w:rsidR="007D5826" w:rsidRPr="001610E6" w:rsidRDefault="007D5826" w:rsidP="00304B44">
      <w:pPr>
        <w:ind w:left="720"/>
        <w:rPr>
          <w:rFonts w:ascii="Arial" w:hAnsi="Arial"/>
          <w:sz w:val="24"/>
          <w:lang w:val="fr-CA"/>
        </w:rPr>
      </w:pPr>
    </w:p>
    <w:p w:rsidR="007D5826" w:rsidRPr="001610E6" w:rsidRDefault="007D5826" w:rsidP="00CC046E">
      <w:pPr>
        <w:numPr>
          <w:ilvl w:val="1"/>
          <w:numId w:val="1"/>
        </w:numPr>
        <w:rPr>
          <w:rFonts w:ascii="Arial" w:hAnsi="Arial"/>
          <w:sz w:val="24"/>
          <w:lang w:val="fr-CA"/>
        </w:rPr>
      </w:pPr>
      <w:r w:rsidRPr="001610E6">
        <w:rPr>
          <w:rFonts w:ascii="Arial" w:hAnsi="Arial"/>
          <w:sz w:val="24"/>
          <w:lang w:val="fr-CA"/>
        </w:rPr>
        <w:t>Incub</w:t>
      </w:r>
      <w:r w:rsidR="00CC046E" w:rsidRPr="001610E6">
        <w:rPr>
          <w:rFonts w:ascii="Arial" w:hAnsi="Arial"/>
          <w:sz w:val="24"/>
          <w:lang w:val="fr-CA"/>
        </w:rPr>
        <w:t>er à 37</w:t>
      </w:r>
      <w:r w:rsidR="0060762B">
        <w:rPr>
          <w:rFonts w:ascii="Arial" w:hAnsi="Arial" w:cs="Arial"/>
          <w:sz w:val="24"/>
          <w:lang w:val="fr-CA"/>
        </w:rPr>
        <w:t>º</w:t>
      </w:r>
      <w:r w:rsidR="00CC046E" w:rsidRPr="001610E6">
        <w:rPr>
          <w:rFonts w:ascii="Arial" w:hAnsi="Arial"/>
          <w:sz w:val="24"/>
          <w:lang w:val="fr-CA"/>
        </w:rPr>
        <w:t>C pendant 30 à 60 minutes (15 minutes si l’on se sert de solution de potentialisation</w:t>
      </w:r>
      <w:r w:rsidRPr="001610E6">
        <w:rPr>
          <w:rFonts w:ascii="Arial" w:hAnsi="Arial"/>
          <w:sz w:val="24"/>
          <w:lang w:val="fr-CA"/>
        </w:rPr>
        <w:t>.)</w:t>
      </w:r>
    </w:p>
    <w:p w:rsidR="00983E69" w:rsidRPr="001610E6" w:rsidRDefault="00983E69" w:rsidP="00CC046E">
      <w:pPr>
        <w:ind w:left="1440" w:hanging="720"/>
        <w:rPr>
          <w:rFonts w:ascii="Arial" w:hAnsi="Arial"/>
          <w:sz w:val="24"/>
          <w:lang w:val="fr-CA"/>
        </w:rPr>
      </w:pPr>
    </w:p>
    <w:p w:rsidR="00983E69" w:rsidRPr="001610E6" w:rsidRDefault="00983E69" w:rsidP="00CC046E">
      <w:pPr>
        <w:numPr>
          <w:ilvl w:val="1"/>
          <w:numId w:val="1"/>
        </w:numPr>
        <w:rPr>
          <w:rFonts w:ascii="Arial" w:hAnsi="Arial"/>
          <w:sz w:val="24"/>
          <w:lang w:val="fr-CA"/>
        </w:rPr>
      </w:pPr>
      <w:r w:rsidRPr="001610E6">
        <w:rPr>
          <w:rFonts w:ascii="Arial" w:hAnsi="Arial"/>
          <w:sz w:val="24"/>
          <w:lang w:val="fr-CA"/>
        </w:rPr>
        <w:t>Vérifier la température du bain-marie ou du bloc chauffant et l’inscrire sur le formulaire CAQ.006F.</w:t>
      </w:r>
    </w:p>
    <w:p w:rsidR="007D5826" w:rsidRPr="001610E6" w:rsidRDefault="007D5826" w:rsidP="00304B44">
      <w:pPr>
        <w:ind w:left="720"/>
        <w:rPr>
          <w:rFonts w:ascii="Arial" w:hAnsi="Arial"/>
          <w:sz w:val="24"/>
          <w:lang w:val="fr-CA"/>
        </w:rPr>
      </w:pPr>
    </w:p>
    <w:p w:rsidR="007D5826" w:rsidRPr="001610E6" w:rsidRDefault="007D5826" w:rsidP="00CC046E">
      <w:pPr>
        <w:numPr>
          <w:ilvl w:val="1"/>
          <w:numId w:val="1"/>
        </w:numPr>
        <w:rPr>
          <w:rFonts w:ascii="Arial" w:hAnsi="Arial"/>
          <w:sz w:val="24"/>
          <w:lang w:val="fr-CA"/>
        </w:rPr>
      </w:pPr>
      <w:r w:rsidRPr="001610E6">
        <w:rPr>
          <w:rFonts w:ascii="Arial" w:hAnsi="Arial"/>
          <w:sz w:val="24"/>
          <w:lang w:val="fr-CA"/>
        </w:rPr>
        <w:t>A</w:t>
      </w:r>
      <w:r w:rsidR="00CC046E" w:rsidRPr="001610E6">
        <w:rPr>
          <w:rFonts w:ascii="Arial" w:hAnsi="Arial"/>
          <w:sz w:val="24"/>
          <w:lang w:val="fr-CA"/>
        </w:rPr>
        <w:t xml:space="preserve">près l’incubation : </w:t>
      </w:r>
    </w:p>
    <w:p w:rsidR="007D5826" w:rsidRPr="001610E6" w:rsidRDefault="007D5826">
      <w:pPr>
        <w:ind w:left="720"/>
        <w:rPr>
          <w:rFonts w:ascii="Arial" w:hAnsi="Arial"/>
          <w:sz w:val="24"/>
          <w:lang w:val="fr-CA"/>
        </w:rPr>
      </w:pPr>
    </w:p>
    <w:p w:rsidR="00AB2E23" w:rsidRDefault="007D5826" w:rsidP="001A649F">
      <w:pPr>
        <w:numPr>
          <w:ilvl w:val="2"/>
          <w:numId w:val="1"/>
        </w:numPr>
        <w:tabs>
          <w:tab w:val="clear" w:pos="2160"/>
          <w:tab w:val="num" w:pos="2340"/>
        </w:tabs>
        <w:ind w:left="2340" w:hanging="900"/>
        <w:rPr>
          <w:rFonts w:ascii="Arial" w:hAnsi="Arial"/>
          <w:sz w:val="24"/>
          <w:lang w:val="fr-CA"/>
        </w:rPr>
      </w:pPr>
      <w:r w:rsidRPr="00AB2E23">
        <w:rPr>
          <w:rFonts w:ascii="Arial" w:hAnsi="Arial"/>
          <w:sz w:val="24"/>
          <w:lang w:val="fr-CA"/>
        </w:rPr>
        <w:t>Re</w:t>
      </w:r>
      <w:r w:rsidR="00983E69" w:rsidRPr="00AB2E23">
        <w:rPr>
          <w:rFonts w:ascii="Arial" w:hAnsi="Arial"/>
          <w:sz w:val="24"/>
          <w:lang w:val="fr-CA"/>
        </w:rPr>
        <w:t xml:space="preserve">tirer les tubes du bain-marie et vérifier la présence d’hémolyse. Le cas échéant, l’inscrire. </w:t>
      </w:r>
    </w:p>
    <w:p w:rsidR="007D5826" w:rsidRPr="00AB2E23" w:rsidRDefault="00983E69" w:rsidP="001A649F">
      <w:pPr>
        <w:numPr>
          <w:ilvl w:val="2"/>
          <w:numId w:val="1"/>
        </w:numPr>
        <w:tabs>
          <w:tab w:val="clear" w:pos="2160"/>
          <w:tab w:val="num" w:pos="2340"/>
        </w:tabs>
        <w:ind w:left="2340" w:hanging="900"/>
        <w:rPr>
          <w:rFonts w:ascii="Arial" w:hAnsi="Arial"/>
          <w:sz w:val="24"/>
          <w:lang w:val="fr-CA"/>
        </w:rPr>
      </w:pPr>
      <w:r w:rsidRPr="00AB2E23">
        <w:rPr>
          <w:rFonts w:ascii="Arial" w:hAnsi="Arial"/>
          <w:sz w:val="24"/>
          <w:lang w:val="fr-CA"/>
        </w:rPr>
        <w:t>Mélanger délicatement les tubes et vérifier s’il y a agglutination. Le cas échéant, l’inscrire</w:t>
      </w:r>
      <w:r w:rsidR="007D5826" w:rsidRPr="00AB2E23">
        <w:rPr>
          <w:rFonts w:ascii="Arial" w:hAnsi="Arial"/>
          <w:sz w:val="24"/>
          <w:lang w:val="fr-CA"/>
        </w:rPr>
        <w:t>. (</w:t>
      </w:r>
      <w:r w:rsidRPr="00AB2E23">
        <w:rPr>
          <w:rFonts w:ascii="Arial" w:hAnsi="Arial"/>
          <w:sz w:val="24"/>
          <w:lang w:val="fr-CA"/>
        </w:rPr>
        <w:t xml:space="preserve">Si on s’est servi de PEG, omettre les étapes </w:t>
      </w:r>
      <w:r w:rsidR="007D5826" w:rsidRPr="00AB2E23">
        <w:rPr>
          <w:rFonts w:ascii="Arial" w:hAnsi="Arial"/>
          <w:sz w:val="24"/>
          <w:lang w:val="fr-CA"/>
        </w:rPr>
        <w:t>6.1</w:t>
      </w:r>
      <w:r w:rsidR="00336F1A" w:rsidRPr="00AB2E23">
        <w:rPr>
          <w:rFonts w:ascii="Arial" w:hAnsi="Arial"/>
          <w:sz w:val="24"/>
          <w:lang w:val="fr-CA"/>
        </w:rPr>
        <w:t>6</w:t>
      </w:r>
      <w:r w:rsidR="007D5826" w:rsidRPr="00AB2E23">
        <w:rPr>
          <w:rFonts w:ascii="Arial" w:hAnsi="Arial"/>
          <w:sz w:val="24"/>
          <w:lang w:val="fr-CA"/>
        </w:rPr>
        <w:t xml:space="preserve">.3 </w:t>
      </w:r>
      <w:r w:rsidRPr="00AB2E23">
        <w:rPr>
          <w:rFonts w:ascii="Arial" w:hAnsi="Arial"/>
          <w:sz w:val="24"/>
          <w:lang w:val="fr-CA"/>
        </w:rPr>
        <w:t>et</w:t>
      </w:r>
      <w:r w:rsidR="001610E6" w:rsidRPr="00AB2E23">
        <w:rPr>
          <w:rFonts w:ascii="Arial" w:hAnsi="Arial"/>
          <w:sz w:val="24"/>
          <w:lang w:val="fr-CA"/>
        </w:rPr>
        <w:t xml:space="preserve"> </w:t>
      </w:r>
      <w:r w:rsidR="007D5826" w:rsidRPr="00AB2E23">
        <w:rPr>
          <w:rFonts w:ascii="Arial" w:hAnsi="Arial"/>
          <w:sz w:val="24"/>
          <w:lang w:val="fr-CA"/>
        </w:rPr>
        <w:t>6.1</w:t>
      </w:r>
      <w:r w:rsidR="00336F1A" w:rsidRPr="00AB2E23">
        <w:rPr>
          <w:rFonts w:ascii="Arial" w:hAnsi="Arial"/>
          <w:sz w:val="24"/>
          <w:lang w:val="fr-CA"/>
        </w:rPr>
        <w:t>6</w:t>
      </w:r>
      <w:r w:rsidR="007D5826" w:rsidRPr="00AB2E23">
        <w:rPr>
          <w:rFonts w:ascii="Arial" w:hAnsi="Arial"/>
          <w:sz w:val="24"/>
          <w:lang w:val="fr-CA"/>
        </w:rPr>
        <w:t>.4.)</w:t>
      </w:r>
    </w:p>
    <w:p w:rsidR="007D5826" w:rsidRPr="001610E6" w:rsidRDefault="002F17AB" w:rsidP="001A649F">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Centrifuger les tubes à 3400 rpm pendant 10 à 15 secondes.</w:t>
      </w:r>
    </w:p>
    <w:p w:rsidR="007D5826" w:rsidRPr="001610E6" w:rsidRDefault="007D5826" w:rsidP="001A649F">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Re</w:t>
      </w:r>
      <w:r w:rsidR="00983E69" w:rsidRPr="001610E6">
        <w:rPr>
          <w:rFonts w:ascii="Arial" w:hAnsi="Arial"/>
          <w:sz w:val="24"/>
          <w:lang w:val="fr-CA"/>
        </w:rPr>
        <w:t xml:space="preserve">mettre en </w:t>
      </w:r>
      <w:r w:rsidRPr="001610E6">
        <w:rPr>
          <w:rFonts w:ascii="Arial" w:hAnsi="Arial"/>
          <w:sz w:val="24"/>
          <w:lang w:val="fr-CA"/>
        </w:rPr>
        <w:t>suspen</w:t>
      </w:r>
      <w:r w:rsidR="00983E69" w:rsidRPr="001610E6">
        <w:rPr>
          <w:rFonts w:ascii="Arial" w:hAnsi="Arial"/>
          <w:sz w:val="24"/>
          <w:lang w:val="fr-CA"/>
        </w:rPr>
        <w:t xml:space="preserve">sion et faire une lecture </w:t>
      </w:r>
      <w:r w:rsidR="00983E69" w:rsidRPr="00336F1A">
        <w:rPr>
          <w:rFonts w:ascii="Arial" w:hAnsi="Arial"/>
          <w:sz w:val="24"/>
          <w:lang w:val="fr-CA"/>
        </w:rPr>
        <w:t>ma</w:t>
      </w:r>
      <w:r w:rsidRPr="00336F1A">
        <w:rPr>
          <w:rFonts w:ascii="Arial" w:hAnsi="Arial"/>
          <w:sz w:val="24"/>
          <w:lang w:val="fr-CA"/>
        </w:rPr>
        <w:t>croscopi</w:t>
      </w:r>
      <w:r w:rsidR="00983E69" w:rsidRPr="00336F1A">
        <w:rPr>
          <w:rFonts w:ascii="Arial" w:hAnsi="Arial"/>
          <w:sz w:val="24"/>
          <w:lang w:val="fr-CA"/>
        </w:rPr>
        <w:t>que</w:t>
      </w:r>
      <w:r w:rsidR="00983E69" w:rsidRPr="001610E6">
        <w:rPr>
          <w:rFonts w:ascii="Arial" w:hAnsi="Arial"/>
          <w:sz w:val="24"/>
          <w:lang w:val="fr-CA"/>
        </w:rPr>
        <w:t xml:space="preserve"> seulement</w:t>
      </w:r>
      <w:r w:rsidRPr="001610E6">
        <w:rPr>
          <w:rFonts w:ascii="Arial" w:hAnsi="Arial"/>
          <w:sz w:val="24"/>
          <w:lang w:val="fr-CA"/>
        </w:rPr>
        <w:t xml:space="preserve">. </w:t>
      </w:r>
      <w:r w:rsidR="00983E69" w:rsidRPr="001610E6">
        <w:rPr>
          <w:rFonts w:ascii="Arial" w:hAnsi="Arial"/>
          <w:sz w:val="24"/>
          <w:lang w:val="fr-CA"/>
        </w:rPr>
        <w:t xml:space="preserve">Interpréter et inscrire les résultats obtenus à </w:t>
      </w:r>
      <w:r w:rsidRPr="001610E6">
        <w:rPr>
          <w:rFonts w:ascii="Arial" w:hAnsi="Arial"/>
          <w:sz w:val="24"/>
          <w:lang w:val="fr-CA"/>
        </w:rPr>
        <w:t>37</w:t>
      </w:r>
      <w:r w:rsidR="0060762B">
        <w:rPr>
          <w:rFonts w:ascii="Arial" w:hAnsi="Arial" w:cs="Arial"/>
          <w:sz w:val="24"/>
          <w:lang w:val="fr-CA"/>
        </w:rPr>
        <w:t>º</w:t>
      </w:r>
      <w:r w:rsidRPr="001610E6">
        <w:rPr>
          <w:rFonts w:ascii="Arial" w:hAnsi="Arial"/>
          <w:sz w:val="24"/>
          <w:lang w:val="fr-CA"/>
        </w:rPr>
        <w:t xml:space="preserve">C </w:t>
      </w:r>
      <w:r w:rsidR="00983E69" w:rsidRPr="001610E6">
        <w:rPr>
          <w:rFonts w:ascii="Arial" w:hAnsi="Arial"/>
          <w:sz w:val="24"/>
          <w:lang w:val="fr-CA"/>
        </w:rPr>
        <w:t>sur la feuille d’antigramme</w:t>
      </w:r>
      <w:r w:rsidRPr="001610E6">
        <w:rPr>
          <w:rFonts w:ascii="Arial" w:hAnsi="Arial"/>
          <w:sz w:val="24"/>
          <w:lang w:val="fr-CA"/>
        </w:rPr>
        <w:t>.</w:t>
      </w:r>
    </w:p>
    <w:p w:rsidR="007D5826" w:rsidRPr="001610E6" w:rsidRDefault="002F17AB" w:rsidP="001A649F">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 xml:space="preserve">Effectuer un test à l'antiglobuline sur tous les </w:t>
      </w:r>
      <w:r w:rsidR="00526D00">
        <w:rPr>
          <w:rFonts w:ascii="Arial" w:hAnsi="Arial"/>
          <w:sz w:val="24"/>
          <w:lang w:val="fr-CA"/>
        </w:rPr>
        <w:t>tubes </w:t>
      </w:r>
      <w:r w:rsidRPr="001610E6">
        <w:rPr>
          <w:rFonts w:ascii="Arial" w:hAnsi="Arial"/>
          <w:sz w:val="24"/>
          <w:lang w:val="fr-CA"/>
        </w:rPr>
        <w:t>:</w:t>
      </w:r>
    </w:p>
    <w:p w:rsidR="002704F4" w:rsidRPr="001610E6" w:rsidRDefault="002704F4" w:rsidP="00063CB6">
      <w:pPr>
        <w:numPr>
          <w:ilvl w:val="0"/>
          <w:numId w:val="9"/>
        </w:numPr>
        <w:rPr>
          <w:rFonts w:ascii="Arial" w:hAnsi="Arial"/>
          <w:sz w:val="24"/>
          <w:lang w:val="fr-CA"/>
        </w:rPr>
      </w:pPr>
      <w:r w:rsidRPr="001610E6">
        <w:rPr>
          <w:rFonts w:ascii="Arial" w:hAnsi="Arial"/>
          <w:sz w:val="24"/>
          <w:lang w:val="fr-CA"/>
        </w:rPr>
        <w:t>Laver les tubes 4 fois si on se sert d’un laveur de cellules.</w:t>
      </w:r>
    </w:p>
    <w:p w:rsidR="007D5826" w:rsidRPr="001610E6" w:rsidRDefault="002F17AB" w:rsidP="00063CB6">
      <w:pPr>
        <w:numPr>
          <w:ilvl w:val="0"/>
          <w:numId w:val="9"/>
        </w:numPr>
        <w:rPr>
          <w:rFonts w:ascii="Arial" w:hAnsi="Arial"/>
          <w:sz w:val="24"/>
          <w:lang w:val="fr-CA"/>
        </w:rPr>
      </w:pPr>
      <w:r w:rsidRPr="001610E6">
        <w:rPr>
          <w:rFonts w:ascii="Arial" w:hAnsi="Arial"/>
          <w:sz w:val="24"/>
          <w:lang w:val="fr-CA"/>
        </w:rPr>
        <w:t>Ajouter 2 gouttes d’anti-IgG.</w:t>
      </w:r>
    </w:p>
    <w:p w:rsidR="007D5826" w:rsidRPr="001610E6" w:rsidRDefault="004E36CD" w:rsidP="00063CB6">
      <w:pPr>
        <w:numPr>
          <w:ilvl w:val="0"/>
          <w:numId w:val="9"/>
        </w:numPr>
        <w:rPr>
          <w:rFonts w:ascii="Arial" w:hAnsi="Arial"/>
          <w:sz w:val="24"/>
          <w:lang w:val="fr-CA"/>
        </w:rPr>
      </w:pPr>
      <w:r w:rsidRPr="001610E6">
        <w:rPr>
          <w:rFonts w:ascii="Arial" w:hAnsi="Arial"/>
          <w:sz w:val="24"/>
          <w:lang w:val="fr-CA"/>
        </w:rPr>
        <w:t xml:space="preserve">Mélanger les tubes </w:t>
      </w:r>
      <w:r w:rsidRPr="0043779B">
        <w:rPr>
          <w:rFonts w:ascii="Arial" w:hAnsi="Arial"/>
          <w:sz w:val="24"/>
          <w:lang w:val="fr-CA"/>
        </w:rPr>
        <w:t>immédiatement</w:t>
      </w:r>
      <w:r w:rsidRPr="001610E6">
        <w:rPr>
          <w:rFonts w:ascii="Arial" w:hAnsi="Arial"/>
          <w:sz w:val="24"/>
          <w:lang w:val="fr-CA"/>
        </w:rPr>
        <w:t xml:space="preserve"> et centrifuger à 3400 rpm pendant 10 à 15 secondes.</w:t>
      </w:r>
    </w:p>
    <w:p w:rsidR="007D5826" w:rsidRPr="001610E6" w:rsidRDefault="004E36CD" w:rsidP="00063CB6">
      <w:pPr>
        <w:numPr>
          <w:ilvl w:val="0"/>
          <w:numId w:val="9"/>
        </w:numPr>
        <w:rPr>
          <w:rFonts w:ascii="Arial" w:hAnsi="Arial"/>
          <w:sz w:val="24"/>
          <w:lang w:val="fr-CA"/>
        </w:rPr>
      </w:pPr>
      <w:r w:rsidRPr="001610E6">
        <w:rPr>
          <w:rFonts w:ascii="Arial" w:hAnsi="Arial"/>
          <w:sz w:val="24"/>
          <w:lang w:val="fr-CA"/>
        </w:rPr>
        <w:t>Immédiatement après la centrifugation, remettre les cellules en suspension et faire une lecture macroscopique.</w:t>
      </w:r>
      <w:r w:rsidR="007D5826" w:rsidRPr="001610E6">
        <w:rPr>
          <w:rFonts w:ascii="Arial" w:hAnsi="Arial"/>
          <w:sz w:val="24"/>
          <w:lang w:val="fr-CA"/>
        </w:rPr>
        <w:t xml:space="preserve"> </w:t>
      </w:r>
      <w:r w:rsidRPr="001610E6">
        <w:rPr>
          <w:rFonts w:ascii="Arial" w:hAnsi="Arial"/>
          <w:sz w:val="24"/>
          <w:lang w:val="fr-CA"/>
        </w:rPr>
        <w:t>Si la lecture est négative, faire une lecture microscopique.</w:t>
      </w:r>
      <w:r w:rsidR="007D5826" w:rsidRPr="001610E6">
        <w:rPr>
          <w:rFonts w:ascii="Arial" w:hAnsi="Arial"/>
          <w:sz w:val="24"/>
          <w:lang w:val="fr-CA"/>
        </w:rPr>
        <w:t xml:space="preserve"> </w:t>
      </w:r>
      <w:r w:rsidRPr="001610E6">
        <w:rPr>
          <w:rFonts w:ascii="Arial" w:hAnsi="Arial"/>
          <w:sz w:val="24"/>
          <w:lang w:val="fr-CA"/>
        </w:rPr>
        <w:t>Voir Remarque 8.1.</w:t>
      </w:r>
    </w:p>
    <w:p w:rsidR="007D5826" w:rsidRPr="001610E6" w:rsidRDefault="00EB1F8F" w:rsidP="00063CB6">
      <w:pPr>
        <w:numPr>
          <w:ilvl w:val="0"/>
          <w:numId w:val="9"/>
        </w:numPr>
        <w:rPr>
          <w:rFonts w:ascii="Arial" w:hAnsi="Arial"/>
          <w:sz w:val="24"/>
          <w:lang w:val="fr-CA"/>
        </w:rPr>
      </w:pPr>
      <w:r w:rsidRPr="001610E6">
        <w:rPr>
          <w:rFonts w:ascii="Arial" w:hAnsi="Arial"/>
          <w:sz w:val="24"/>
          <w:lang w:val="fr-CA"/>
        </w:rPr>
        <w:t>I</w:t>
      </w:r>
      <w:r w:rsidR="004E36CD" w:rsidRPr="001610E6">
        <w:rPr>
          <w:rFonts w:ascii="Arial" w:hAnsi="Arial"/>
          <w:sz w:val="24"/>
          <w:lang w:val="fr-CA"/>
        </w:rPr>
        <w:t>nterpréter et inscrire les résultats.</w:t>
      </w:r>
      <w:r w:rsidR="007D5826" w:rsidRPr="001610E6">
        <w:rPr>
          <w:rFonts w:ascii="Arial" w:hAnsi="Arial"/>
          <w:sz w:val="24"/>
          <w:lang w:val="fr-CA"/>
        </w:rPr>
        <w:t xml:space="preserve"> </w:t>
      </w:r>
      <w:r w:rsidR="004E36CD" w:rsidRPr="001610E6">
        <w:rPr>
          <w:rFonts w:ascii="Arial" w:hAnsi="Arial"/>
          <w:sz w:val="24"/>
          <w:lang w:val="fr-CA"/>
        </w:rPr>
        <w:t xml:space="preserve">Voir </w:t>
      </w:r>
      <w:r w:rsidR="005A066F">
        <w:rPr>
          <w:rFonts w:ascii="Arial" w:hAnsi="Arial"/>
          <w:sz w:val="24"/>
          <w:lang w:val="fr-CA"/>
        </w:rPr>
        <w:t>AR</w:t>
      </w:r>
      <w:r w:rsidR="004E36CD" w:rsidRPr="001610E6">
        <w:rPr>
          <w:rFonts w:ascii="Arial" w:hAnsi="Arial"/>
          <w:sz w:val="24"/>
          <w:lang w:val="fr-CA"/>
        </w:rPr>
        <w:t>.00</w:t>
      </w:r>
      <w:r w:rsidR="005A066F">
        <w:rPr>
          <w:rFonts w:ascii="Arial" w:hAnsi="Arial"/>
          <w:sz w:val="24"/>
          <w:lang w:val="fr-CA"/>
        </w:rPr>
        <w:t>1</w:t>
      </w:r>
      <w:r w:rsidR="004E36CD" w:rsidRPr="001610E6">
        <w:rPr>
          <w:rFonts w:ascii="Arial" w:hAnsi="Arial"/>
          <w:sz w:val="24"/>
          <w:lang w:val="fr-CA"/>
        </w:rPr>
        <w:t xml:space="preserve"> - Lecture et inscription des réactions d'hémagglutination.</w:t>
      </w:r>
    </w:p>
    <w:p w:rsidR="007D5826" w:rsidRDefault="00C63E91" w:rsidP="00063CB6">
      <w:pPr>
        <w:numPr>
          <w:ilvl w:val="0"/>
          <w:numId w:val="9"/>
        </w:numPr>
        <w:rPr>
          <w:rFonts w:ascii="Arial" w:hAnsi="Arial"/>
          <w:sz w:val="24"/>
          <w:lang w:val="fr-CA"/>
        </w:rPr>
      </w:pPr>
      <w:r w:rsidRPr="005A066F">
        <w:rPr>
          <w:rFonts w:ascii="Arial" w:hAnsi="Arial"/>
          <w:sz w:val="24"/>
          <w:lang w:val="fr-CA"/>
        </w:rPr>
        <w:t>A</w:t>
      </w:r>
      <w:r w:rsidR="004E36CD" w:rsidRPr="005A066F">
        <w:rPr>
          <w:rFonts w:ascii="Arial" w:hAnsi="Arial"/>
          <w:sz w:val="24"/>
          <w:lang w:val="fr-CA"/>
        </w:rPr>
        <w:t>jouter 1 goutte de globules rouges recouverts d'IgG aux tubes dont le résultat est négatif.</w:t>
      </w:r>
      <w:r w:rsidR="007D5826" w:rsidRPr="005A066F">
        <w:rPr>
          <w:rFonts w:ascii="Arial" w:hAnsi="Arial"/>
          <w:sz w:val="24"/>
          <w:lang w:val="fr-CA"/>
        </w:rPr>
        <w:t xml:space="preserve"> Centrifuge</w:t>
      </w:r>
      <w:r w:rsidR="00A9119D" w:rsidRPr="005A066F">
        <w:rPr>
          <w:rFonts w:ascii="Arial" w:hAnsi="Arial"/>
          <w:sz w:val="24"/>
          <w:lang w:val="fr-CA"/>
        </w:rPr>
        <w:t>r</w:t>
      </w:r>
      <w:r w:rsidR="007D5826" w:rsidRPr="005A066F">
        <w:rPr>
          <w:rFonts w:ascii="Arial" w:hAnsi="Arial"/>
          <w:sz w:val="24"/>
          <w:lang w:val="fr-CA"/>
        </w:rPr>
        <w:t xml:space="preserve">, </w:t>
      </w:r>
      <w:r w:rsidR="00903368" w:rsidRPr="005A066F">
        <w:rPr>
          <w:rFonts w:ascii="Arial" w:hAnsi="Arial"/>
          <w:sz w:val="24"/>
          <w:lang w:val="fr-CA"/>
        </w:rPr>
        <w:t>remettre les cellules en suspension,</w:t>
      </w:r>
      <w:r w:rsidR="001610E6" w:rsidRPr="005A066F">
        <w:rPr>
          <w:rFonts w:ascii="Arial" w:hAnsi="Arial"/>
          <w:sz w:val="24"/>
          <w:lang w:val="fr-CA"/>
        </w:rPr>
        <w:t xml:space="preserve"> </w:t>
      </w:r>
      <w:r w:rsidR="00903368" w:rsidRPr="005A066F">
        <w:rPr>
          <w:rFonts w:ascii="Arial" w:hAnsi="Arial"/>
          <w:sz w:val="24"/>
          <w:lang w:val="fr-CA"/>
        </w:rPr>
        <w:t xml:space="preserve">faire une lecture macroscopique et inscrire les résultats. </w:t>
      </w:r>
    </w:p>
    <w:p w:rsidR="005A066F" w:rsidRPr="005A066F" w:rsidRDefault="005A066F" w:rsidP="005A066F">
      <w:pPr>
        <w:ind w:left="4320"/>
        <w:rPr>
          <w:rFonts w:ascii="Arial" w:hAnsi="Arial"/>
          <w:sz w:val="24"/>
          <w:lang w:val="fr-CA"/>
        </w:rPr>
      </w:pPr>
    </w:p>
    <w:p w:rsidR="007D5826" w:rsidRPr="001610E6" w:rsidRDefault="007D5826" w:rsidP="00A9119D">
      <w:pPr>
        <w:numPr>
          <w:ilvl w:val="1"/>
          <w:numId w:val="1"/>
        </w:numPr>
        <w:rPr>
          <w:rFonts w:ascii="Arial" w:hAnsi="Arial"/>
          <w:sz w:val="24"/>
          <w:lang w:val="fr-CA"/>
        </w:rPr>
      </w:pPr>
      <w:r w:rsidRPr="001610E6">
        <w:rPr>
          <w:rFonts w:ascii="Arial" w:hAnsi="Arial"/>
          <w:sz w:val="24"/>
          <w:lang w:val="fr-CA"/>
        </w:rPr>
        <w:t>P</w:t>
      </w:r>
      <w:r w:rsidR="00A9119D" w:rsidRPr="001610E6">
        <w:rPr>
          <w:rFonts w:ascii="Arial" w:hAnsi="Arial"/>
          <w:sz w:val="24"/>
          <w:lang w:val="fr-CA"/>
        </w:rPr>
        <w:t>rocéder à une exclusion d’anticorps</w:t>
      </w:r>
      <w:r w:rsidRPr="001610E6">
        <w:rPr>
          <w:rFonts w:ascii="Arial" w:hAnsi="Arial"/>
          <w:sz w:val="24"/>
          <w:lang w:val="fr-CA"/>
        </w:rPr>
        <w:t xml:space="preserve">. </w:t>
      </w:r>
      <w:r w:rsidR="004E36CD" w:rsidRPr="001610E6">
        <w:rPr>
          <w:rFonts w:ascii="Arial" w:hAnsi="Arial"/>
          <w:sz w:val="24"/>
          <w:lang w:val="fr-CA"/>
        </w:rPr>
        <w:t>Voir EC.008 - Exclusion d'anticorps.</w:t>
      </w:r>
    </w:p>
    <w:p w:rsidR="007D5826" w:rsidRPr="001610E6" w:rsidRDefault="007D5826">
      <w:pPr>
        <w:ind w:left="720"/>
        <w:rPr>
          <w:rFonts w:ascii="Arial" w:hAnsi="Arial"/>
          <w:sz w:val="24"/>
          <w:lang w:val="fr-CA"/>
        </w:rPr>
      </w:pPr>
    </w:p>
    <w:p w:rsidR="007D5826" w:rsidRPr="001610E6" w:rsidRDefault="00A9119D" w:rsidP="00C63E91">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 xml:space="preserve">En l’absence de spécificité évidente, envisager des causes comme </w:t>
      </w:r>
      <w:r w:rsidR="00903368" w:rsidRPr="001610E6">
        <w:rPr>
          <w:rFonts w:ascii="Arial" w:hAnsi="Arial"/>
          <w:sz w:val="24"/>
          <w:lang w:val="fr-CA"/>
        </w:rPr>
        <w:t>le dosage d</w:t>
      </w:r>
      <w:r w:rsidRPr="001610E6">
        <w:rPr>
          <w:rFonts w:ascii="Arial" w:hAnsi="Arial"/>
          <w:sz w:val="24"/>
          <w:lang w:val="fr-CA"/>
        </w:rPr>
        <w:t>e l’antigène. Les globules rouges de personnes hétérozygotes quant au gène qui détermine l’antigène peuvent exprimer moins d’antigène et réagir faiblement ou pas du tout.</w:t>
      </w:r>
      <w:r w:rsidR="007D5826" w:rsidRPr="001610E6">
        <w:rPr>
          <w:rFonts w:ascii="Arial" w:hAnsi="Arial"/>
          <w:sz w:val="24"/>
          <w:lang w:val="fr-CA"/>
        </w:rPr>
        <w:t xml:space="preserve"> </w:t>
      </w:r>
    </w:p>
    <w:p w:rsidR="007D5826" w:rsidRPr="001610E6" w:rsidRDefault="00A9119D" w:rsidP="00C63E91">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 xml:space="preserve">Si les résultats obtenus avec le panel sont </w:t>
      </w:r>
      <w:r w:rsidR="007D5826" w:rsidRPr="005A066F">
        <w:rPr>
          <w:rFonts w:ascii="Arial" w:hAnsi="Arial"/>
          <w:b/>
          <w:sz w:val="24"/>
          <w:lang w:val="fr-CA"/>
        </w:rPr>
        <w:t>n</w:t>
      </w:r>
      <w:r w:rsidRPr="005A066F">
        <w:rPr>
          <w:rFonts w:ascii="Arial" w:hAnsi="Arial"/>
          <w:b/>
          <w:sz w:val="24"/>
          <w:lang w:val="fr-CA"/>
        </w:rPr>
        <w:t xml:space="preserve">on </w:t>
      </w:r>
      <w:r w:rsidR="007D5826" w:rsidRPr="005A066F">
        <w:rPr>
          <w:rFonts w:ascii="Arial" w:hAnsi="Arial"/>
          <w:b/>
          <w:sz w:val="24"/>
          <w:lang w:val="fr-CA"/>
        </w:rPr>
        <w:t>conclu</w:t>
      </w:r>
      <w:r w:rsidRPr="005A066F">
        <w:rPr>
          <w:rFonts w:ascii="Arial" w:hAnsi="Arial"/>
          <w:b/>
          <w:sz w:val="24"/>
          <w:lang w:val="fr-CA"/>
        </w:rPr>
        <w:t>ants</w:t>
      </w:r>
      <w:r w:rsidR="007D5826" w:rsidRPr="00336F1A">
        <w:rPr>
          <w:rFonts w:ascii="Arial" w:hAnsi="Arial"/>
          <w:sz w:val="24"/>
          <w:lang w:val="fr-CA"/>
        </w:rPr>
        <w:t xml:space="preserve">, </w:t>
      </w:r>
      <w:r w:rsidRPr="00336F1A">
        <w:rPr>
          <w:rFonts w:ascii="Arial" w:hAnsi="Arial"/>
          <w:sz w:val="24"/>
          <w:lang w:val="fr-CA"/>
        </w:rPr>
        <w:t>une identification d’a</w:t>
      </w:r>
      <w:r w:rsidRPr="001610E6">
        <w:rPr>
          <w:rFonts w:ascii="Arial" w:hAnsi="Arial"/>
          <w:sz w:val="24"/>
          <w:lang w:val="fr-CA"/>
        </w:rPr>
        <w:t>nticorps réactifs froids peut être utile pour préciser la spécificité de l’anticorps</w:t>
      </w:r>
      <w:r w:rsidR="007D5826" w:rsidRPr="001610E6">
        <w:rPr>
          <w:rFonts w:ascii="Arial" w:hAnsi="Arial"/>
          <w:sz w:val="24"/>
          <w:lang w:val="fr-CA"/>
        </w:rPr>
        <w:t xml:space="preserve"> </w:t>
      </w:r>
      <w:r w:rsidRPr="001610E6">
        <w:rPr>
          <w:rFonts w:ascii="Arial" w:hAnsi="Arial"/>
          <w:sz w:val="24"/>
          <w:lang w:val="fr-CA"/>
        </w:rPr>
        <w:t xml:space="preserve">(en particulier si les réactions à </w:t>
      </w:r>
      <w:r w:rsidR="007D5826" w:rsidRPr="001610E6">
        <w:rPr>
          <w:rFonts w:ascii="Arial" w:hAnsi="Arial"/>
          <w:sz w:val="24"/>
          <w:lang w:val="fr-CA"/>
        </w:rPr>
        <w:t>37</w:t>
      </w:r>
      <w:r w:rsidR="0060762B">
        <w:rPr>
          <w:rFonts w:ascii="Arial" w:hAnsi="Arial" w:cs="Arial"/>
          <w:sz w:val="24"/>
          <w:lang w:val="fr-CA"/>
        </w:rPr>
        <w:t>º</w:t>
      </w:r>
      <w:r w:rsidR="007D5826" w:rsidRPr="001610E6">
        <w:rPr>
          <w:rFonts w:ascii="Arial" w:hAnsi="Arial"/>
          <w:sz w:val="24"/>
          <w:lang w:val="fr-CA"/>
        </w:rPr>
        <w:t xml:space="preserve">C </w:t>
      </w:r>
      <w:r w:rsidRPr="001610E6">
        <w:rPr>
          <w:rFonts w:ascii="Arial" w:hAnsi="Arial"/>
          <w:sz w:val="24"/>
          <w:lang w:val="fr-CA"/>
        </w:rPr>
        <w:t>sont nettement plus fortes que les réactions au TIA</w:t>
      </w:r>
      <w:r w:rsidR="007D5826" w:rsidRPr="001610E6">
        <w:rPr>
          <w:rFonts w:ascii="Arial" w:hAnsi="Arial"/>
          <w:sz w:val="24"/>
          <w:lang w:val="fr-CA"/>
        </w:rPr>
        <w:t xml:space="preserve">). </w:t>
      </w:r>
      <w:r w:rsidR="004E36CD" w:rsidRPr="001610E6">
        <w:rPr>
          <w:rFonts w:ascii="Arial" w:hAnsi="Arial"/>
          <w:sz w:val="24"/>
          <w:lang w:val="fr-CA"/>
        </w:rPr>
        <w:t>Voir EC.006 - Identification d'anticorps réactifs froids.</w:t>
      </w:r>
    </w:p>
    <w:p w:rsidR="007D5826" w:rsidRPr="001610E6" w:rsidRDefault="00BC6001" w:rsidP="00C63E91">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En cas de soupçon d’</w:t>
      </w:r>
      <w:r w:rsidR="007D5826" w:rsidRPr="001610E6">
        <w:rPr>
          <w:rFonts w:ascii="Arial" w:hAnsi="Arial"/>
          <w:sz w:val="24"/>
          <w:lang w:val="fr-CA"/>
        </w:rPr>
        <w:t xml:space="preserve">anti-D </w:t>
      </w:r>
      <w:r w:rsidRPr="001610E6">
        <w:rPr>
          <w:rFonts w:ascii="Arial" w:hAnsi="Arial"/>
          <w:sz w:val="24"/>
          <w:lang w:val="fr-CA"/>
        </w:rPr>
        <w:t xml:space="preserve">faible, voir la Remarque </w:t>
      </w:r>
      <w:r w:rsidR="007D5826" w:rsidRPr="001610E6">
        <w:rPr>
          <w:rFonts w:ascii="Arial" w:hAnsi="Arial"/>
          <w:sz w:val="24"/>
          <w:lang w:val="fr-CA"/>
        </w:rPr>
        <w:t>8.2.</w:t>
      </w:r>
    </w:p>
    <w:p w:rsidR="007D5826" w:rsidRPr="001610E6" w:rsidRDefault="00BC6001" w:rsidP="00C63E91">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 xml:space="preserve">Si les épreuves requises pour </w:t>
      </w:r>
      <w:r w:rsidR="00F53E0E" w:rsidRPr="001610E6">
        <w:rPr>
          <w:rFonts w:ascii="Arial" w:hAnsi="Arial"/>
          <w:sz w:val="24"/>
          <w:lang w:val="fr-CA"/>
        </w:rPr>
        <w:t xml:space="preserve">compléter </w:t>
      </w:r>
      <w:r w:rsidRPr="001610E6">
        <w:rPr>
          <w:rFonts w:ascii="Arial" w:hAnsi="Arial"/>
          <w:sz w:val="24"/>
          <w:lang w:val="fr-CA"/>
        </w:rPr>
        <w:t xml:space="preserve">l’identification d’anticorps sont faites ailleurs que dans votre laboratoire, envoyer l’échantillon et une copie des feuilles de travail </w:t>
      </w:r>
      <w:r w:rsidR="007D5826" w:rsidRPr="001610E6">
        <w:rPr>
          <w:rFonts w:ascii="Arial" w:hAnsi="Arial"/>
          <w:sz w:val="24"/>
          <w:lang w:val="fr-CA"/>
        </w:rPr>
        <w:t>(</w:t>
      </w:r>
      <w:r w:rsidRPr="001610E6">
        <w:rPr>
          <w:rFonts w:ascii="Arial" w:hAnsi="Arial"/>
          <w:sz w:val="24"/>
          <w:lang w:val="fr-CA"/>
        </w:rPr>
        <w:t>formulaire de demande, feuilles d’</w:t>
      </w:r>
      <w:r w:rsidR="007D5826" w:rsidRPr="001610E6">
        <w:rPr>
          <w:rFonts w:ascii="Arial" w:hAnsi="Arial"/>
          <w:sz w:val="24"/>
          <w:lang w:val="fr-CA"/>
        </w:rPr>
        <w:t>antigram</w:t>
      </w:r>
      <w:r w:rsidRPr="001610E6">
        <w:rPr>
          <w:rFonts w:ascii="Arial" w:hAnsi="Arial"/>
          <w:sz w:val="24"/>
          <w:lang w:val="fr-CA"/>
        </w:rPr>
        <w:t>me, typage d’antigène</w:t>
      </w:r>
      <w:r w:rsidR="007D5826" w:rsidRPr="001610E6">
        <w:rPr>
          <w:rFonts w:ascii="Arial" w:hAnsi="Arial"/>
          <w:sz w:val="24"/>
          <w:lang w:val="fr-CA"/>
        </w:rPr>
        <w:t xml:space="preserve">, etc.) </w:t>
      </w:r>
      <w:r w:rsidRPr="001610E6">
        <w:rPr>
          <w:rFonts w:ascii="Arial" w:hAnsi="Arial"/>
          <w:sz w:val="24"/>
          <w:lang w:val="fr-CA"/>
        </w:rPr>
        <w:t>à un laboratoire de référence</w:t>
      </w:r>
      <w:r w:rsidR="007D5826" w:rsidRPr="001610E6">
        <w:rPr>
          <w:rFonts w:ascii="Arial" w:hAnsi="Arial"/>
          <w:sz w:val="24"/>
          <w:lang w:val="fr-CA"/>
        </w:rPr>
        <w:t>.</w:t>
      </w:r>
    </w:p>
    <w:p w:rsidR="007D5826" w:rsidRPr="001610E6" w:rsidRDefault="00E413BC" w:rsidP="00C63E91">
      <w:pPr>
        <w:numPr>
          <w:ilvl w:val="2"/>
          <w:numId w:val="1"/>
        </w:numPr>
        <w:tabs>
          <w:tab w:val="clear" w:pos="2160"/>
          <w:tab w:val="num" w:pos="2340"/>
        </w:tabs>
        <w:ind w:left="2340" w:hanging="900"/>
        <w:rPr>
          <w:rFonts w:ascii="Arial" w:hAnsi="Arial"/>
          <w:sz w:val="24"/>
          <w:lang w:val="fr-CA"/>
        </w:rPr>
      </w:pPr>
      <w:r w:rsidRPr="001610E6">
        <w:rPr>
          <w:rFonts w:ascii="Arial" w:hAnsi="Arial"/>
          <w:sz w:val="24"/>
          <w:lang w:val="fr-CA"/>
        </w:rPr>
        <w:t>Si le panel</w:t>
      </w:r>
      <w:r w:rsidR="00BC6001" w:rsidRPr="001610E6">
        <w:rPr>
          <w:rFonts w:ascii="Arial" w:hAnsi="Arial"/>
          <w:sz w:val="24"/>
          <w:lang w:val="fr-CA"/>
        </w:rPr>
        <w:t xml:space="preserve"> est négatif contre toute attente, répéter le dépistage d’anticorps. Si le dépistage d’anticorps est négatif</w:t>
      </w:r>
      <w:r w:rsidR="005A066F">
        <w:rPr>
          <w:rFonts w:ascii="Arial" w:hAnsi="Arial"/>
          <w:sz w:val="24"/>
          <w:lang w:val="fr-CA"/>
        </w:rPr>
        <w:t>, s’assurer q</w:t>
      </w:r>
      <w:r w:rsidR="00BC6001" w:rsidRPr="001610E6">
        <w:rPr>
          <w:rFonts w:ascii="Arial" w:hAnsi="Arial"/>
          <w:sz w:val="24"/>
          <w:lang w:val="fr-CA"/>
        </w:rPr>
        <w:t>u’il n’y a pas eu d’erreur de transcription.</w:t>
      </w:r>
    </w:p>
    <w:p w:rsidR="007D5826" w:rsidRPr="001610E6" w:rsidRDefault="007D5826">
      <w:pPr>
        <w:ind w:left="1440"/>
        <w:rPr>
          <w:rFonts w:ascii="Arial" w:hAnsi="Arial"/>
          <w:sz w:val="24"/>
          <w:lang w:val="fr-CA"/>
        </w:rPr>
      </w:pPr>
    </w:p>
    <w:p w:rsidR="007D5826" w:rsidRDefault="008F1EAF" w:rsidP="00E413BC">
      <w:pPr>
        <w:numPr>
          <w:ilvl w:val="1"/>
          <w:numId w:val="1"/>
        </w:numPr>
        <w:rPr>
          <w:rFonts w:ascii="Arial" w:hAnsi="Arial"/>
          <w:sz w:val="24"/>
          <w:lang w:val="fr-CA"/>
        </w:rPr>
      </w:pPr>
      <w:r>
        <w:rPr>
          <w:rFonts w:ascii="Arial" w:hAnsi="Arial"/>
          <w:sz w:val="24"/>
          <w:lang w:val="fr-CA"/>
        </w:rPr>
        <w:t xml:space="preserve">Revoir </w:t>
      </w:r>
      <w:r w:rsidR="00E413BC" w:rsidRPr="001610E6">
        <w:rPr>
          <w:rFonts w:ascii="Arial" w:hAnsi="Arial"/>
          <w:sz w:val="24"/>
          <w:lang w:val="fr-CA"/>
        </w:rPr>
        <w:t>le diagnostic, les antécédents transfusionnels et obstétriques (ainsi que la médication si l’autocontrôle ou le TDA est positif). Inscrire les antécédents sur la feuille d’antigramme.</w:t>
      </w:r>
    </w:p>
    <w:p w:rsidR="005A066F" w:rsidRPr="001610E6" w:rsidRDefault="005A066F" w:rsidP="005A066F">
      <w:pPr>
        <w:ind w:left="1440"/>
        <w:rPr>
          <w:rFonts w:ascii="Arial" w:hAnsi="Arial"/>
          <w:sz w:val="24"/>
          <w:lang w:val="fr-C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779"/>
      </w:tblGrid>
      <w:tr w:rsidR="005A066F" w:rsidRPr="00063CB6" w:rsidTr="00063CB6">
        <w:tc>
          <w:tcPr>
            <w:tcW w:w="2551" w:type="dxa"/>
          </w:tcPr>
          <w:p w:rsidR="005A066F" w:rsidRPr="00063CB6" w:rsidRDefault="005A066F">
            <w:pPr>
              <w:rPr>
                <w:rFonts w:ascii="Arial" w:hAnsi="Arial"/>
                <w:b/>
                <w:i/>
                <w:sz w:val="22"/>
                <w:lang w:val="fr-CA"/>
              </w:rPr>
            </w:pPr>
            <w:r w:rsidRPr="00063CB6">
              <w:rPr>
                <w:rFonts w:ascii="Arial" w:hAnsi="Arial"/>
                <w:b/>
                <w:i/>
                <w:sz w:val="22"/>
                <w:lang w:val="fr-CA"/>
              </w:rPr>
              <w:t>Si…</w:t>
            </w:r>
          </w:p>
        </w:tc>
        <w:tc>
          <w:tcPr>
            <w:tcW w:w="4779" w:type="dxa"/>
          </w:tcPr>
          <w:p w:rsidR="005A066F" w:rsidRPr="00063CB6" w:rsidRDefault="005A066F">
            <w:pPr>
              <w:rPr>
                <w:rFonts w:ascii="Arial" w:hAnsi="Arial"/>
                <w:b/>
                <w:i/>
                <w:sz w:val="22"/>
                <w:lang w:val="fr-CA"/>
              </w:rPr>
            </w:pPr>
            <w:r w:rsidRPr="00063CB6">
              <w:rPr>
                <w:rFonts w:ascii="Arial" w:hAnsi="Arial"/>
                <w:b/>
                <w:i/>
                <w:sz w:val="22"/>
                <w:lang w:val="fr-CA"/>
              </w:rPr>
              <w:t>Vous devez…</w:t>
            </w:r>
          </w:p>
        </w:tc>
      </w:tr>
      <w:tr w:rsidR="005A066F" w:rsidRPr="00063CB6" w:rsidTr="00063CB6">
        <w:tc>
          <w:tcPr>
            <w:tcW w:w="2551" w:type="dxa"/>
          </w:tcPr>
          <w:p w:rsidR="005A066F" w:rsidRPr="00063CB6" w:rsidRDefault="005A066F">
            <w:pPr>
              <w:rPr>
                <w:rFonts w:ascii="Arial" w:hAnsi="Arial"/>
                <w:sz w:val="22"/>
                <w:lang w:val="fr-CA"/>
              </w:rPr>
            </w:pPr>
            <w:r w:rsidRPr="00063CB6">
              <w:rPr>
                <w:rFonts w:ascii="Arial" w:hAnsi="Arial"/>
                <w:sz w:val="22"/>
                <w:lang w:val="fr-CA"/>
              </w:rPr>
              <w:t>le patient n’a pas reçu de transfusion au cours des 3 derniers mois,</w:t>
            </w:r>
          </w:p>
        </w:tc>
        <w:tc>
          <w:tcPr>
            <w:tcW w:w="4779" w:type="dxa"/>
          </w:tcPr>
          <w:p w:rsidR="005A066F" w:rsidRPr="00063CB6" w:rsidRDefault="005A066F">
            <w:pPr>
              <w:rPr>
                <w:rFonts w:ascii="Arial" w:hAnsi="Arial"/>
                <w:sz w:val="22"/>
                <w:lang w:val="fr-CA"/>
              </w:rPr>
            </w:pPr>
            <w:r w:rsidRPr="00063CB6">
              <w:rPr>
                <w:rFonts w:ascii="Arial" w:hAnsi="Arial"/>
                <w:sz w:val="22"/>
                <w:lang w:val="fr-CA"/>
              </w:rPr>
              <w:t xml:space="preserve">faire un phénotypage des cellules du patient pour l’antigène correspondant. Les cellules du patient devraient être négatives pour l’antigène dont le patient possède l’alloanticorps </w:t>
            </w:r>
            <w:r w:rsidR="008F1EAF">
              <w:rPr>
                <w:rFonts w:ascii="Arial" w:hAnsi="Arial"/>
                <w:sz w:val="22"/>
                <w:lang w:val="fr-CA"/>
              </w:rPr>
              <w:t>identifié</w:t>
            </w:r>
            <w:r w:rsidRPr="00063CB6">
              <w:rPr>
                <w:rFonts w:ascii="Arial" w:hAnsi="Arial"/>
                <w:sz w:val="22"/>
                <w:lang w:val="fr-CA"/>
              </w:rPr>
              <w:t>.</w:t>
            </w:r>
          </w:p>
          <w:p w:rsidR="005A066F" w:rsidRPr="00063CB6" w:rsidRDefault="005A066F" w:rsidP="005A066F">
            <w:pPr>
              <w:rPr>
                <w:rFonts w:ascii="Arial" w:hAnsi="Arial"/>
                <w:sz w:val="22"/>
                <w:lang w:val="fr-CA"/>
              </w:rPr>
            </w:pPr>
            <w:r w:rsidRPr="00063CB6">
              <w:rPr>
                <w:rFonts w:ascii="Arial" w:hAnsi="Arial"/>
                <w:sz w:val="22"/>
                <w:lang w:val="fr-CA"/>
              </w:rPr>
              <w:t>Voir la Remarque 8.3 et EC.009 – Typage des antigènes - agglutination directe et indirecte.</w:t>
            </w:r>
          </w:p>
        </w:tc>
      </w:tr>
      <w:tr w:rsidR="005A066F" w:rsidRPr="00063CB6" w:rsidTr="00063CB6">
        <w:tc>
          <w:tcPr>
            <w:tcW w:w="2551" w:type="dxa"/>
          </w:tcPr>
          <w:p w:rsidR="005A066F" w:rsidRPr="00063CB6" w:rsidRDefault="005A066F">
            <w:pPr>
              <w:rPr>
                <w:rFonts w:ascii="Arial" w:hAnsi="Arial"/>
                <w:sz w:val="22"/>
                <w:lang w:val="fr-CA"/>
              </w:rPr>
            </w:pPr>
            <w:r w:rsidRPr="00063CB6">
              <w:rPr>
                <w:rFonts w:ascii="Arial" w:hAnsi="Arial"/>
                <w:sz w:val="22"/>
                <w:lang w:val="fr-CA"/>
              </w:rPr>
              <w:t>le patient a reçu une transfusion au cours des 3 derniers mois,</w:t>
            </w:r>
          </w:p>
        </w:tc>
        <w:tc>
          <w:tcPr>
            <w:tcW w:w="4779" w:type="dxa"/>
          </w:tcPr>
          <w:p w:rsidR="0021765D" w:rsidRPr="00063CB6" w:rsidRDefault="005A066F">
            <w:pPr>
              <w:rPr>
                <w:rFonts w:ascii="Arial" w:hAnsi="Arial"/>
                <w:sz w:val="22"/>
                <w:lang w:val="fr-CA"/>
              </w:rPr>
            </w:pPr>
            <w:r w:rsidRPr="00063CB6">
              <w:rPr>
                <w:rFonts w:ascii="Arial" w:hAnsi="Arial"/>
                <w:sz w:val="22"/>
                <w:lang w:val="fr-CA"/>
              </w:rPr>
              <w:t xml:space="preserve">ne pas procéder au phénotypage de l’échantillon courant. Faire la procédure de phénotypage sur l’échantillon prétransfusionnel, si disponible. </w:t>
            </w:r>
          </w:p>
          <w:p w:rsidR="005A066F" w:rsidRPr="00063CB6" w:rsidRDefault="005A066F">
            <w:pPr>
              <w:rPr>
                <w:rFonts w:ascii="Arial" w:hAnsi="Arial"/>
                <w:sz w:val="22"/>
                <w:lang w:val="fr-CA"/>
              </w:rPr>
            </w:pPr>
            <w:r w:rsidRPr="00063CB6">
              <w:rPr>
                <w:rFonts w:ascii="Arial" w:hAnsi="Arial"/>
                <w:sz w:val="22"/>
                <w:lang w:val="fr-CA"/>
              </w:rPr>
              <w:t>Voir la Remarque 8.4</w:t>
            </w:r>
            <w:r w:rsidR="0021765D" w:rsidRPr="00063CB6">
              <w:rPr>
                <w:rFonts w:ascii="Arial" w:hAnsi="Arial"/>
                <w:sz w:val="22"/>
                <w:lang w:val="fr-CA"/>
              </w:rPr>
              <w:t>.</w:t>
            </w:r>
          </w:p>
          <w:p w:rsidR="0021765D" w:rsidRPr="00063CB6" w:rsidRDefault="0021765D">
            <w:pPr>
              <w:rPr>
                <w:rFonts w:ascii="Arial" w:hAnsi="Arial"/>
                <w:sz w:val="22"/>
                <w:lang w:val="fr-CA"/>
              </w:rPr>
            </w:pPr>
          </w:p>
        </w:tc>
      </w:tr>
    </w:tbl>
    <w:p w:rsidR="007D5826" w:rsidRPr="001610E6" w:rsidRDefault="007D5826">
      <w:pPr>
        <w:ind w:left="1440"/>
        <w:rPr>
          <w:rFonts w:ascii="Arial" w:hAnsi="Arial"/>
          <w:sz w:val="24"/>
          <w:lang w:val="fr-CA"/>
        </w:rPr>
      </w:pPr>
    </w:p>
    <w:p w:rsidR="007D5826" w:rsidRPr="001610E6" w:rsidRDefault="00E413BC" w:rsidP="00C63E91">
      <w:pPr>
        <w:numPr>
          <w:ilvl w:val="1"/>
          <w:numId w:val="1"/>
        </w:numPr>
        <w:rPr>
          <w:rFonts w:ascii="Arial" w:hAnsi="Arial"/>
          <w:sz w:val="24"/>
          <w:lang w:val="fr-CA"/>
        </w:rPr>
      </w:pPr>
      <w:r w:rsidRPr="001610E6">
        <w:rPr>
          <w:rFonts w:ascii="Arial" w:hAnsi="Arial"/>
          <w:sz w:val="24"/>
          <w:lang w:val="fr-CA"/>
        </w:rPr>
        <w:t>Remplir l</w:t>
      </w:r>
      <w:r w:rsidR="0021765D">
        <w:rPr>
          <w:rFonts w:ascii="Arial" w:hAnsi="Arial"/>
          <w:sz w:val="24"/>
          <w:lang w:val="fr-CA"/>
        </w:rPr>
        <w:t xml:space="preserve">a feuille de contrôle du </w:t>
      </w:r>
      <w:r w:rsidR="0021765D" w:rsidRPr="001610E6">
        <w:rPr>
          <w:rFonts w:ascii="Arial" w:hAnsi="Arial"/>
          <w:sz w:val="24"/>
          <w:lang w:val="fr-CA"/>
        </w:rPr>
        <w:t>formulaire EC.007F</w:t>
      </w:r>
      <w:r w:rsidR="0021765D">
        <w:rPr>
          <w:rFonts w:ascii="Arial" w:hAnsi="Arial"/>
          <w:sz w:val="24"/>
          <w:lang w:val="fr-CA"/>
        </w:rPr>
        <w:t xml:space="preserve"> </w:t>
      </w:r>
      <w:r w:rsidRPr="001610E6">
        <w:rPr>
          <w:rFonts w:ascii="Arial" w:hAnsi="Arial"/>
          <w:sz w:val="24"/>
          <w:lang w:val="fr-CA"/>
        </w:rPr>
        <w:t>pour s’assurer que tou</w:t>
      </w:r>
      <w:r w:rsidR="00E67E9B">
        <w:rPr>
          <w:rFonts w:ascii="Arial" w:hAnsi="Arial"/>
          <w:sz w:val="24"/>
          <w:lang w:val="fr-CA"/>
        </w:rPr>
        <w:t>tes les étapes ont été suivie</w:t>
      </w:r>
      <w:r w:rsidRPr="001610E6">
        <w:rPr>
          <w:rFonts w:ascii="Arial" w:hAnsi="Arial"/>
          <w:sz w:val="24"/>
          <w:lang w:val="fr-CA"/>
        </w:rPr>
        <w:t>s</w:t>
      </w:r>
      <w:r w:rsidR="00E67E9B">
        <w:rPr>
          <w:rFonts w:ascii="Arial" w:hAnsi="Arial"/>
          <w:sz w:val="24"/>
          <w:lang w:val="fr-CA"/>
        </w:rPr>
        <w:t xml:space="preserve">. </w:t>
      </w:r>
      <w:r w:rsidRPr="001610E6">
        <w:rPr>
          <w:rFonts w:ascii="Arial" w:hAnsi="Arial"/>
          <w:sz w:val="24"/>
          <w:lang w:val="fr-CA"/>
        </w:rPr>
        <w:t xml:space="preserve"> </w:t>
      </w:r>
    </w:p>
    <w:p w:rsidR="00C63E91" w:rsidRPr="001610E6" w:rsidRDefault="00C63E91" w:rsidP="00C63E91">
      <w:pPr>
        <w:ind w:left="720"/>
        <w:rPr>
          <w:rFonts w:ascii="Arial" w:hAnsi="Arial"/>
          <w:sz w:val="24"/>
          <w:lang w:val="fr-CA"/>
        </w:rPr>
      </w:pPr>
    </w:p>
    <w:p w:rsidR="007D5826" w:rsidRPr="001610E6" w:rsidRDefault="00A31BCE" w:rsidP="005213E4">
      <w:pPr>
        <w:numPr>
          <w:ilvl w:val="1"/>
          <w:numId w:val="1"/>
        </w:numPr>
        <w:rPr>
          <w:rFonts w:ascii="Arial" w:hAnsi="Arial"/>
          <w:sz w:val="24"/>
          <w:lang w:val="fr-CA"/>
        </w:rPr>
      </w:pPr>
      <w:r w:rsidRPr="001610E6">
        <w:rPr>
          <w:rFonts w:ascii="Arial" w:hAnsi="Arial"/>
          <w:sz w:val="24"/>
          <w:lang w:val="fr-CA"/>
        </w:rPr>
        <w:t>Mettre ses initiales ou signer l’antigramme et la ou les feuilles de travail</w:t>
      </w:r>
      <w:r w:rsidR="007D5826" w:rsidRPr="001610E6">
        <w:rPr>
          <w:rFonts w:ascii="Arial" w:hAnsi="Arial"/>
          <w:sz w:val="24"/>
          <w:lang w:val="fr-CA"/>
        </w:rPr>
        <w:t>.</w:t>
      </w:r>
    </w:p>
    <w:p w:rsidR="007D5826" w:rsidRPr="001610E6" w:rsidRDefault="007D5826">
      <w:pPr>
        <w:ind w:left="720"/>
        <w:rPr>
          <w:rFonts w:ascii="Arial" w:hAnsi="Arial"/>
          <w:sz w:val="24"/>
          <w:lang w:val="fr-CA"/>
        </w:rPr>
      </w:pPr>
    </w:p>
    <w:p w:rsidR="007D5826" w:rsidRPr="001610E6" w:rsidRDefault="00A31BCE" w:rsidP="00A31BCE">
      <w:pPr>
        <w:numPr>
          <w:ilvl w:val="1"/>
          <w:numId w:val="1"/>
        </w:numPr>
        <w:rPr>
          <w:rFonts w:ascii="Arial" w:hAnsi="Arial"/>
          <w:sz w:val="24"/>
          <w:lang w:val="fr-CA"/>
        </w:rPr>
      </w:pPr>
      <w:r w:rsidRPr="001610E6">
        <w:rPr>
          <w:rFonts w:ascii="Arial" w:hAnsi="Arial"/>
          <w:sz w:val="24"/>
          <w:lang w:val="fr-CA"/>
        </w:rPr>
        <w:t>Inscrire le résultat de l’identification d’anticorps</w:t>
      </w:r>
      <w:r w:rsidR="007D5826" w:rsidRPr="001610E6">
        <w:rPr>
          <w:rFonts w:ascii="Arial" w:hAnsi="Arial"/>
          <w:sz w:val="24"/>
          <w:lang w:val="fr-CA"/>
        </w:rPr>
        <w:t xml:space="preserve">. </w:t>
      </w:r>
      <w:r w:rsidR="004E36CD" w:rsidRPr="001610E6">
        <w:rPr>
          <w:rFonts w:ascii="Arial" w:hAnsi="Arial"/>
          <w:sz w:val="24"/>
          <w:lang w:val="fr-CA"/>
        </w:rPr>
        <w:t>Voir 7.0 – Documentation.</w:t>
      </w:r>
    </w:p>
    <w:p w:rsidR="007D5826" w:rsidRPr="001610E6" w:rsidRDefault="007D5826">
      <w:pPr>
        <w:ind w:left="720"/>
        <w:rPr>
          <w:rFonts w:ascii="Arial" w:hAnsi="Arial"/>
          <w:sz w:val="24"/>
          <w:lang w:val="fr-CA"/>
        </w:rPr>
      </w:pPr>
    </w:p>
    <w:p w:rsidR="0021765D" w:rsidRDefault="004E36CD" w:rsidP="0021765D">
      <w:pPr>
        <w:numPr>
          <w:ilvl w:val="0"/>
          <w:numId w:val="1"/>
        </w:numPr>
        <w:rPr>
          <w:rFonts w:ascii="Arial" w:hAnsi="Arial"/>
          <w:b/>
          <w:sz w:val="28"/>
          <w:lang w:val="fr-CA"/>
        </w:rPr>
      </w:pPr>
      <w:r w:rsidRPr="001610E6">
        <w:rPr>
          <w:rFonts w:ascii="Arial" w:hAnsi="Arial"/>
          <w:b/>
          <w:sz w:val="28"/>
          <w:lang w:val="fr-CA"/>
        </w:rPr>
        <w:t>Documentation</w:t>
      </w:r>
    </w:p>
    <w:p w:rsidR="0021765D" w:rsidRPr="0021765D" w:rsidRDefault="0021765D" w:rsidP="0021765D">
      <w:pPr>
        <w:ind w:left="720"/>
        <w:rPr>
          <w:rFonts w:ascii="Arial" w:hAnsi="Arial"/>
          <w:sz w:val="28"/>
          <w:lang w:val="fr-CA"/>
        </w:rPr>
      </w:pPr>
    </w:p>
    <w:p w:rsidR="0021765D" w:rsidRPr="0021765D" w:rsidRDefault="0021765D" w:rsidP="0021765D">
      <w:pPr>
        <w:numPr>
          <w:ilvl w:val="1"/>
          <w:numId w:val="1"/>
        </w:numPr>
        <w:rPr>
          <w:rFonts w:ascii="Arial" w:hAnsi="Arial" w:cs="Arial"/>
          <w:sz w:val="24"/>
          <w:szCs w:val="24"/>
          <w:lang w:val="fr-CA"/>
        </w:rPr>
      </w:pPr>
      <w:r w:rsidRPr="0021765D">
        <w:rPr>
          <w:rFonts w:ascii="Arial" w:hAnsi="Arial"/>
          <w:sz w:val="24"/>
          <w:szCs w:val="24"/>
          <w:lang w:val="fr-CA"/>
        </w:rPr>
        <w:t>Noter le nom du ou des anticorps identifiés. Ajouter au besoin un commentaire sur la pertinence clinique de l’anticorps. Exemples d’anticorps réactifs chauds cliniquement significatifs le plus fréquemment rencontrés: anti-D, anti-C, anti-E, anti-c, anti-e, anti-K, anti-Fy</w:t>
      </w:r>
      <w:r w:rsidRPr="0021765D">
        <w:rPr>
          <w:rFonts w:ascii="Arial" w:hAnsi="Arial"/>
          <w:sz w:val="24"/>
          <w:szCs w:val="24"/>
          <w:vertAlign w:val="superscript"/>
          <w:lang w:val="fr-CA"/>
        </w:rPr>
        <w:t>a</w:t>
      </w:r>
      <w:r w:rsidRPr="0021765D">
        <w:rPr>
          <w:rFonts w:ascii="Arial" w:hAnsi="Arial"/>
          <w:sz w:val="24"/>
          <w:szCs w:val="24"/>
          <w:lang w:val="fr-CA"/>
        </w:rPr>
        <w:t>, anti-Fy</w:t>
      </w:r>
      <w:r w:rsidRPr="0021765D">
        <w:rPr>
          <w:rFonts w:ascii="Arial" w:hAnsi="Arial"/>
          <w:sz w:val="24"/>
          <w:szCs w:val="24"/>
          <w:vertAlign w:val="superscript"/>
          <w:lang w:val="fr-CA"/>
        </w:rPr>
        <w:t>b</w:t>
      </w:r>
      <w:r w:rsidRPr="0021765D">
        <w:rPr>
          <w:rFonts w:ascii="Arial" w:hAnsi="Arial"/>
          <w:sz w:val="24"/>
          <w:szCs w:val="24"/>
          <w:lang w:val="fr-CA"/>
        </w:rPr>
        <w:t>, anti-Jk</w:t>
      </w:r>
      <w:r w:rsidRPr="0021765D">
        <w:rPr>
          <w:rFonts w:ascii="Arial" w:hAnsi="Arial"/>
          <w:sz w:val="24"/>
          <w:szCs w:val="24"/>
          <w:vertAlign w:val="superscript"/>
          <w:lang w:val="fr-CA"/>
        </w:rPr>
        <w:t>a</w:t>
      </w:r>
      <w:r w:rsidRPr="0021765D">
        <w:rPr>
          <w:rFonts w:ascii="Arial" w:hAnsi="Arial"/>
          <w:sz w:val="24"/>
          <w:szCs w:val="24"/>
          <w:lang w:val="fr-CA"/>
        </w:rPr>
        <w:t>, anti-Jk</w:t>
      </w:r>
      <w:r w:rsidRPr="0021765D">
        <w:rPr>
          <w:rFonts w:ascii="Arial" w:hAnsi="Arial"/>
          <w:sz w:val="24"/>
          <w:szCs w:val="24"/>
          <w:vertAlign w:val="superscript"/>
          <w:lang w:val="fr-CA"/>
        </w:rPr>
        <w:t>b</w:t>
      </w:r>
      <w:r w:rsidRPr="0021765D">
        <w:rPr>
          <w:rFonts w:ascii="Arial" w:hAnsi="Arial"/>
          <w:sz w:val="24"/>
          <w:szCs w:val="24"/>
          <w:lang w:val="fr-CA"/>
        </w:rPr>
        <w:t>, anti-S, anti-s</w:t>
      </w:r>
      <w:r w:rsidRPr="0021765D">
        <w:rPr>
          <w:rFonts w:ascii="Arial" w:hAnsi="Arial"/>
          <w:sz w:val="24"/>
          <w:szCs w:val="24"/>
          <w:vertAlign w:val="superscript"/>
          <w:lang w:val="fr-CA"/>
        </w:rPr>
        <w:t>9.</w:t>
      </w:r>
      <w:r w:rsidR="00E67E9B">
        <w:rPr>
          <w:rFonts w:ascii="Arial" w:hAnsi="Arial"/>
          <w:sz w:val="24"/>
          <w:szCs w:val="24"/>
          <w:vertAlign w:val="superscript"/>
          <w:lang w:val="fr-CA"/>
        </w:rPr>
        <w:t>3</w:t>
      </w:r>
      <w:r w:rsidRPr="0021765D">
        <w:rPr>
          <w:rFonts w:ascii="Arial" w:hAnsi="Arial"/>
          <w:sz w:val="24"/>
          <w:szCs w:val="24"/>
          <w:lang w:val="fr-CA"/>
        </w:rPr>
        <w:t>.</w:t>
      </w:r>
      <w:r w:rsidRPr="0021765D">
        <w:rPr>
          <w:rFonts w:ascii="Arial" w:hAnsi="Arial"/>
          <w:sz w:val="24"/>
          <w:szCs w:val="24"/>
          <w:lang w:val="fr-CA"/>
        </w:rPr>
        <w:br/>
      </w:r>
    </w:p>
    <w:p w:rsidR="0021765D" w:rsidRDefault="001303BB" w:rsidP="006204FF">
      <w:pPr>
        <w:numPr>
          <w:ilvl w:val="2"/>
          <w:numId w:val="1"/>
        </w:numPr>
        <w:rPr>
          <w:rFonts w:ascii="Arial" w:hAnsi="Arial"/>
          <w:sz w:val="24"/>
          <w:szCs w:val="24"/>
          <w:lang w:val="fr-CA"/>
        </w:rPr>
      </w:pPr>
      <w:r w:rsidRPr="0021765D">
        <w:rPr>
          <w:rFonts w:ascii="Arial" w:hAnsi="Arial" w:cs="Arial"/>
          <w:sz w:val="24"/>
          <w:szCs w:val="24"/>
          <w:lang w:val="fr-CA"/>
        </w:rPr>
        <w:t>Si on ne dispose pas de l’antisérum commercial nécessaire, il faut obtenir du fournisseur de sang des unités de donneur exemptes de l’antigène.</w:t>
      </w:r>
      <w:r w:rsidR="0021765D" w:rsidRPr="0021765D">
        <w:rPr>
          <w:rFonts w:ascii="Arial" w:hAnsi="Arial" w:cs="Arial"/>
          <w:sz w:val="24"/>
          <w:szCs w:val="24"/>
          <w:lang w:val="fr-CA"/>
        </w:rPr>
        <w:t xml:space="preserve"> Voir la Remarque 8.3.2.</w:t>
      </w:r>
      <w:r w:rsidRPr="0021765D">
        <w:rPr>
          <w:rFonts w:ascii="Arial" w:hAnsi="Arial" w:cs="Arial"/>
          <w:sz w:val="24"/>
          <w:szCs w:val="24"/>
          <w:lang w:val="fr-CA"/>
        </w:rPr>
        <w:br/>
      </w:r>
    </w:p>
    <w:p w:rsidR="007D5826" w:rsidRPr="0021765D" w:rsidRDefault="007D5826" w:rsidP="006204FF">
      <w:pPr>
        <w:numPr>
          <w:ilvl w:val="2"/>
          <w:numId w:val="1"/>
        </w:numPr>
        <w:rPr>
          <w:rFonts w:ascii="Arial" w:hAnsi="Arial"/>
          <w:sz w:val="24"/>
          <w:szCs w:val="24"/>
          <w:lang w:val="fr-CA"/>
        </w:rPr>
      </w:pPr>
      <w:r w:rsidRPr="0021765D">
        <w:rPr>
          <w:rFonts w:ascii="Arial" w:hAnsi="Arial"/>
          <w:sz w:val="24"/>
          <w:szCs w:val="24"/>
          <w:lang w:val="fr-CA"/>
        </w:rPr>
        <w:t>Pr</w:t>
      </w:r>
      <w:r w:rsidR="006204FF" w:rsidRPr="0021765D">
        <w:rPr>
          <w:rFonts w:ascii="Arial" w:hAnsi="Arial"/>
          <w:sz w:val="24"/>
          <w:szCs w:val="24"/>
          <w:lang w:val="fr-CA"/>
        </w:rPr>
        <w:t xml:space="preserve">éparer les documents </w:t>
      </w:r>
      <w:r w:rsidR="00526D00" w:rsidRPr="0021765D">
        <w:rPr>
          <w:rFonts w:ascii="Arial" w:hAnsi="Arial"/>
          <w:sz w:val="24"/>
          <w:szCs w:val="24"/>
          <w:lang w:val="fr-CA"/>
        </w:rPr>
        <w:t>suivants </w:t>
      </w:r>
      <w:r w:rsidRPr="0021765D">
        <w:rPr>
          <w:rFonts w:ascii="Arial" w:hAnsi="Arial"/>
          <w:sz w:val="24"/>
          <w:szCs w:val="24"/>
          <w:lang w:val="fr-CA"/>
        </w:rPr>
        <w:t>:</w:t>
      </w:r>
    </w:p>
    <w:p w:rsidR="007D5826" w:rsidRPr="0021765D" w:rsidRDefault="00935468" w:rsidP="00063CB6">
      <w:pPr>
        <w:numPr>
          <w:ilvl w:val="0"/>
          <w:numId w:val="4"/>
        </w:numPr>
        <w:tabs>
          <w:tab w:val="clear" w:pos="360"/>
        </w:tabs>
        <w:ind w:left="2520"/>
        <w:rPr>
          <w:rFonts w:ascii="Arial" w:hAnsi="Arial"/>
          <w:sz w:val="24"/>
          <w:szCs w:val="24"/>
          <w:lang w:val="fr-CA"/>
        </w:rPr>
      </w:pPr>
      <w:r w:rsidRPr="0021765D">
        <w:rPr>
          <w:rFonts w:ascii="Arial" w:hAnsi="Arial"/>
          <w:sz w:val="24"/>
          <w:szCs w:val="24"/>
          <w:lang w:val="fr-CA"/>
        </w:rPr>
        <w:t>Un registre ou une fiche d’anticorps à garder à l’interne</w:t>
      </w:r>
    </w:p>
    <w:p w:rsidR="007D5826" w:rsidRPr="0021765D" w:rsidRDefault="00935468" w:rsidP="00063CB6">
      <w:pPr>
        <w:numPr>
          <w:ilvl w:val="0"/>
          <w:numId w:val="4"/>
        </w:numPr>
        <w:tabs>
          <w:tab w:val="clear" w:pos="360"/>
        </w:tabs>
        <w:ind w:left="2520"/>
        <w:rPr>
          <w:rFonts w:ascii="Arial" w:hAnsi="Arial"/>
          <w:sz w:val="24"/>
          <w:szCs w:val="24"/>
          <w:lang w:val="fr-CA"/>
        </w:rPr>
      </w:pPr>
      <w:r w:rsidRPr="0021765D">
        <w:rPr>
          <w:rFonts w:ascii="Arial" w:hAnsi="Arial"/>
          <w:sz w:val="24"/>
          <w:szCs w:val="24"/>
          <w:lang w:val="fr-CA"/>
        </w:rPr>
        <w:t>Un</w:t>
      </w:r>
      <w:r w:rsidR="001610E6" w:rsidRPr="0021765D">
        <w:rPr>
          <w:rFonts w:ascii="Arial" w:hAnsi="Arial"/>
          <w:sz w:val="24"/>
          <w:szCs w:val="24"/>
          <w:lang w:val="fr-CA"/>
        </w:rPr>
        <w:t>e c</w:t>
      </w:r>
      <w:r w:rsidRPr="0021765D">
        <w:rPr>
          <w:rFonts w:ascii="Arial" w:hAnsi="Arial"/>
          <w:sz w:val="24"/>
          <w:szCs w:val="24"/>
          <w:lang w:val="fr-CA"/>
        </w:rPr>
        <w:t>arte d’anticorps pour</w:t>
      </w:r>
      <w:r w:rsidR="007D5826" w:rsidRPr="0021765D">
        <w:rPr>
          <w:rFonts w:ascii="Arial" w:hAnsi="Arial"/>
          <w:sz w:val="24"/>
          <w:szCs w:val="24"/>
          <w:lang w:val="fr-CA"/>
        </w:rPr>
        <w:t xml:space="preserve"> patient (</w:t>
      </w:r>
      <w:r w:rsidRPr="0021765D">
        <w:rPr>
          <w:rFonts w:ascii="Arial" w:hAnsi="Arial"/>
          <w:sz w:val="24"/>
          <w:szCs w:val="24"/>
          <w:lang w:val="fr-CA"/>
        </w:rPr>
        <w:t>format porte-monnaie</w:t>
      </w:r>
      <w:r w:rsidR="007D5826" w:rsidRPr="0021765D">
        <w:rPr>
          <w:rFonts w:ascii="Arial" w:hAnsi="Arial"/>
          <w:sz w:val="24"/>
          <w:szCs w:val="24"/>
          <w:lang w:val="fr-CA"/>
        </w:rPr>
        <w:t>)</w:t>
      </w:r>
    </w:p>
    <w:p w:rsidR="007D5826" w:rsidRPr="0021765D" w:rsidRDefault="00935468" w:rsidP="00063CB6">
      <w:pPr>
        <w:numPr>
          <w:ilvl w:val="0"/>
          <w:numId w:val="4"/>
        </w:numPr>
        <w:tabs>
          <w:tab w:val="clear" w:pos="360"/>
        </w:tabs>
        <w:ind w:left="2520"/>
        <w:rPr>
          <w:rFonts w:ascii="Arial" w:hAnsi="Arial"/>
          <w:sz w:val="24"/>
          <w:szCs w:val="24"/>
          <w:lang w:val="fr-CA"/>
        </w:rPr>
      </w:pPr>
      <w:r w:rsidRPr="0021765D">
        <w:rPr>
          <w:rFonts w:ascii="Arial" w:hAnsi="Arial"/>
          <w:sz w:val="24"/>
          <w:szCs w:val="24"/>
          <w:lang w:val="fr-CA"/>
        </w:rPr>
        <w:t>Un rapport pour le médecin traitant avec copie au dossier médical</w:t>
      </w:r>
      <w:r w:rsidR="007D5826" w:rsidRPr="0021765D">
        <w:rPr>
          <w:rFonts w:ascii="Arial" w:hAnsi="Arial"/>
          <w:sz w:val="24"/>
          <w:szCs w:val="24"/>
          <w:lang w:val="fr-CA"/>
        </w:rPr>
        <w:t>.</w:t>
      </w:r>
    </w:p>
    <w:p w:rsidR="007D5826" w:rsidRPr="0021765D" w:rsidRDefault="007D5826" w:rsidP="006204FF">
      <w:pPr>
        <w:ind w:left="2880"/>
        <w:rPr>
          <w:rFonts w:ascii="Arial" w:hAnsi="Arial"/>
          <w:sz w:val="24"/>
          <w:szCs w:val="24"/>
          <w:lang w:val="fr-CA"/>
        </w:rPr>
      </w:pPr>
    </w:p>
    <w:p w:rsidR="007D5826" w:rsidRPr="0021765D" w:rsidRDefault="00935468" w:rsidP="0021765D">
      <w:pPr>
        <w:numPr>
          <w:ilvl w:val="2"/>
          <w:numId w:val="1"/>
        </w:numPr>
        <w:rPr>
          <w:rFonts w:ascii="Arial" w:hAnsi="Arial"/>
          <w:sz w:val="24"/>
          <w:lang w:val="fr-CA"/>
        </w:rPr>
      </w:pPr>
      <w:r w:rsidRPr="0021765D">
        <w:rPr>
          <w:rFonts w:ascii="Arial" w:hAnsi="Arial"/>
          <w:sz w:val="24"/>
          <w:lang w:val="fr-CA"/>
        </w:rPr>
        <w:t>Garder toutes les feuilles de travail</w:t>
      </w:r>
      <w:r w:rsidR="007D5826" w:rsidRPr="0021765D">
        <w:rPr>
          <w:rFonts w:ascii="Arial" w:hAnsi="Arial"/>
          <w:sz w:val="24"/>
          <w:lang w:val="fr-CA"/>
        </w:rPr>
        <w:t xml:space="preserve"> (</w:t>
      </w:r>
      <w:r w:rsidRPr="0021765D">
        <w:rPr>
          <w:rFonts w:ascii="Arial" w:hAnsi="Arial"/>
          <w:sz w:val="24"/>
          <w:lang w:val="fr-CA"/>
        </w:rPr>
        <w:t xml:space="preserve">c.-à.d. </w:t>
      </w:r>
      <w:r w:rsidR="007D5826" w:rsidRPr="0021765D">
        <w:rPr>
          <w:rFonts w:ascii="Arial" w:hAnsi="Arial"/>
          <w:sz w:val="24"/>
          <w:lang w:val="fr-CA"/>
        </w:rPr>
        <w:t>antigram</w:t>
      </w:r>
      <w:r w:rsidRPr="0021765D">
        <w:rPr>
          <w:rFonts w:ascii="Arial" w:hAnsi="Arial"/>
          <w:sz w:val="24"/>
          <w:lang w:val="fr-CA"/>
        </w:rPr>
        <w:t>me</w:t>
      </w:r>
      <w:r w:rsidR="007D5826" w:rsidRPr="0021765D">
        <w:rPr>
          <w:rFonts w:ascii="Arial" w:hAnsi="Arial"/>
          <w:sz w:val="24"/>
          <w:lang w:val="fr-CA"/>
        </w:rPr>
        <w:t xml:space="preserve">, </w:t>
      </w:r>
      <w:r w:rsidR="00F22BCD" w:rsidRPr="0021765D">
        <w:rPr>
          <w:rFonts w:ascii="Arial" w:hAnsi="Arial"/>
          <w:sz w:val="24"/>
          <w:lang w:val="fr-CA"/>
        </w:rPr>
        <w:t xml:space="preserve">feuilles de </w:t>
      </w:r>
      <w:r w:rsidR="007D5826" w:rsidRPr="0021765D">
        <w:rPr>
          <w:rFonts w:ascii="Arial" w:hAnsi="Arial"/>
          <w:sz w:val="24"/>
          <w:lang w:val="fr-CA"/>
        </w:rPr>
        <w:t>ph</w:t>
      </w:r>
      <w:r w:rsidRPr="0021765D">
        <w:rPr>
          <w:rFonts w:ascii="Arial" w:hAnsi="Arial"/>
          <w:sz w:val="24"/>
          <w:lang w:val="fr-CA"/>
        </w:rPr>
        <w:t>é</w:t>
      </w:r>
      <w:r w:rsidR="007D5826" w:rsidRPr="0021765D">
        <w:rPr>
          <w:rFonts w:ascii="Arial" w:hAnsi="Arial"/>
          <w:sz w:val="24"/>
          <w:lang w:val="fr-CA"/>
        </w:rPr>
        <w:t>notyp</w:t>
      </w:r>
      <w:r w:rsidRPr="0021765D">
        <w:rPr>
          <w:rFonts w:ascii="Arial" w:hAnsi="Arial"/>
          <w:sz w:val="24"/>
          <w:lang w:val="fr-CA"/>
        </w:rPr>
        <w:t>age</w:t>
      </w:r>
      <w:r w:rsidR="007D5826" w:rsidRPr="0021765D">
        <w:rPr>
          <w:rFonts w:ascii="Arial" w:hAnsi="Arial"/>
          <w:sz w:val="24"/>
          <w:lang w:val="fr-CA"/>
        </w:rPr>
        <w:t xml:space="preserve">, etc.) </w:t>
      </w:r>
      <w:r w:rsidRPr="0021765D">
        <w:rPr>
          <w:rFonts w:ascii="Arial" w:hAnsi="Arial"/>
          <w:sz w:val="24"/>
          <w:lang w:val="fr-CA"/>
        </w:rPr>
        <w:t>conformément aux règles provinciales</w:t>
      </w:r>
      <w:r w:rsidR="00716407" w:rsidRPr="0021765D">
        <w:rPr>
          <w:rFonts w:ascii="Arial" w:hAnsi="Arial"/>
          <w:sz w:val="24"/>
          <w:lang w:val="fr-CA"/>
        </w:rPr>
        <w:t xml:space="preserve">. </w:t>
      </w:r>
      <w:r w:rsidR="00716407" w:rsidRPr="0021765D">
        <w:rPr>
          <w:rFonts w:ascii="Arial" w:hAnsi="Arial"/>
          <w:sz w:val="24"/>
          <w:lang w:val="fr-CA"/>
        </w:rPr>
        <w:br/>
      </w:r>
    </w:p>
    <w:p w:rsidR="007D5826" w:rsidRPr="001610E6" w:rsidRDefault="00716407">
      <w:pPr>
        <w:numPr>
          <w:ilvl w:val="1"/>
          <w:numId w:val="1"/>
        </w:numPr>
        <w:rPr>
          <w:rFonts w:ascii="Arial" w:hAnsi="Arial"/>
          <w:sz w:val="24"/>
          <w:lang w:val="fr-CA"/>
        </w:rPr>
      </w:pPr>
      <w:r w:rsidRPr="001610E6">
        <w:rPr>
          <w:rFonts w:ascii="Arial" w:hAnsi="Arial"/>
          <w:sz w:val="24"/>
          <w:lang w:val="fr-CA"/>
        </w:rPr>
        <w:t xml:space="preserve">Si un </w:t>
      </w:r>
      <w:r w:rsidR="007D5826" w:rsidRPr="0043779B">
        <w:rPr>
          <w:rFonts w:ascii="Arial" w:hAnsi="Arial"/>
          <w:sz w:val="24"/>
          <w:lang w:val="fr-CA"/>
        </w:rPr>
        <w:t xml:space="preserve">anti-D </w:t>
      </w:r>
      <w:r w:rsidRPr="0043779B">
        <w:rPr>
          <w:rFonts w:ascii="Arial" w:hAnsi="Arial"/>
          <w:sz w:val="24"/>
          <w:lang w:val="fr-CA"/>
        </w:rPr>
        <w:t>passif a été identifié chez une femme R</w:t>
      </w:r>
      <w:r w:rsidR="007D5826" w:rsidRPr="0043779B">
        <w:rPr>
          <w:rFonts w:ascii="Arial" w:hAnsi="Arial"/>
          <w:sz w:val="24"/>
          <w:lang w:val="fr-CA"/>
        </w:rPr>
        <w:t>h n</w:t>
      </w:r>
      <w:r w:rsidRPr="0043779B">
        <w:rPr>
          <w:rFonts w:ascii="Arial" w:hAnsi="Arial"/>
          <w:sz w:val="24"/>
          <w:lang w:val="fr-CA"/>
        </w:rPr>
        <w:t>é</w:t>
      </w:r>
      <w:r w:rsidR="007D5826" w:rsidRPr="0043779B">
        <w:rPr>
          <w:rFonts w:ascii="Arial" w:hAnsi="Arial"/>
          <w:sz w:val="24"/>
          <w:lang w:val="fr-CA"/>
        </w:rPr>
        <w:t>gative</w:t>
      </w:r>
      <w:r w:rsidR="007D5826" w:rsidRPr="001610E6">
        <w:rPr>
          <w:rFonts w:ascii="Arial" w:hAnsi="Arial"/>
          <w:b/>
          <w:sz w:val="24"/>
          <w:lang w:val="fr-CA"/>
        </w:rPr>
        <w:t xml:space="preserve"> </w:t>
      </w:r>
      <w:r w:rsidRPr="001610E6">
        <w:rPr>
          <w:rFonts w:ascii="Arial" w:hAnsi="Arial"/>
          <w:sz w:val="24"/>
          <w:lang w:val="fr-CA"/>
        </w:rPr>
        <w:t>qui a reçu une immunoglob</w:t>
      </w:r>
      <w:r w:rsidR="00E67E9B">
        <w:rPr>
          <w:rFonts w:ascii="Arial" w:hAnsi="Arial"/>
          <w:sz w:val="24"/>
          <w:lang w:val="fr-CA"/>
        </w:rPr>
        <w:t>ul</w:t>
      </w:r>
      <w:r w:rsidRPr="001610E6">
        <w:rPr>
          <w:rFonts w:ascii="Arial" w:hAnsi="Arial"/>
          <w:sz w:val="24"/>
          <w:lang w:val="fr-CA"/>
        </w:rPr>
        <w:t xml:space="preserve">ine Rh </w:t>
      </w:r>
      <w:r w:rsidR="007D5826" w:rsidRPr="001610E6">
        <w:rPr>
          <w:rFonts w:ascii="Arial" w:hAnsi="Arial"/>
          <w:sz w:val="24"/>
          <w:lang w:val="fr-CA"/>
        </w:rPr>
        <w:t xml:space="preserve">(RhIG) </w:t>
      </w:r>
      <w:r w:rsidRPr="001610E6">
        <w:rPr>
          <w:rFonts w:ascii="Arial" w:hAnsi="Arial"/>
          <w:sz w:val="24"/>
          <w:lang w:val="fr-CA"/>
        </w:rPr>
        <w:t xml:space="preserve">au cours des </w:t>
      </w:r>
      <w:r w:rsidR="00D976EC" w:rsidRPr="001610E6">
        <w:rPr>
          <w:rFonts w:ascii="Arial" w:hAnsi="Arial"/>
          <w:sz w:val="24"/>
          <w:lang w:val="fr-CA"/>
        </w:rPr>
        <w:t>12</w:t>
      </w:r>
      <w:r w:rsidRPr="001610E6">
        <w:rPr>
          <w:rFonts w:ascii="Arial" w:hAnsi="Arial"/>
          <w:sz w:val="24"/>
          <w:lang w:val="fr-CA"/>
        </w:rPr>
        <w:t xml:space="preserve"> dernières semaines</w:t>
      </w:r>
      <w:r w:rsidR="004E36CD" w:rsidRPr="001610E6">
        <w:rPr>
          <w:rFonts w:ascii="Arial" w:hAnsi="Arial"/>
          <w:sz w:val="24"/>
          <w:lang w:val="fr-CA"/>
        </w:rPr>
        <w:t>, voir la Remarque 8.2.</w:t>
      </w:r>
      <w:r w:rsidR="001610E6">
        <w:rPr>
          <w:rFonts w:ascii="Arial" w:hAnsi="Arial"/>
          <w:sz w:val="24"/>
          <w:lang w:val="fr-CA"/>
        </w:rPr>
        <w:t xml:space="preserve"> </w:t>
      </w:r>
      <w:r w:rsidRPr="001610E6">
        <w:rPr>
          <w:rFonts w:ascii="Arial" w:hAnsi="Arial"/>
          <w:sz w:val="24"/>
          <w:lang w:val="fr-CA"/>
        </w:rPr>
        <w:t xml:space="preserve">Inscrire </w:t>
      </w:r>
      <w:r w:rsidR="007D5826" w:rsidRPr="001610E6">
        <w:rPr>
          <w:rFonts w:ascii="Arial" w:hAnsi="Arial"/>
          <w:sz w:val="24"/>
          <w:lang w:val="fr-CA"/>
        </w:rPr>
        <w:t xml:space="preserve">: </w:t>
      </w:r>
      <w:r w:rsidRPr="001610E6">
        <w:rPr>
          <w:rFonts w:ascii="Arial" w:hAnsi="Arial"/>
          <w:sz w:val="24"/>
          <w:lang w:val="fr-CA"/>
        </w:rPr>
        <w:t xml:space="preserve">Anti-D passif probablement à cause de l’injection de </w:t>
      </w:r>
      <w:r w:rsidR="007D5826" w:rsidRPr="001610E6">
        <w:rPr>
          <w:rFonts w:ascii="Arial" w:hAnsi="Arial"/>
          <w:sz w:val="24"/>
          <w:lang w:val="fr-CA"/>
        </w:rPr>
        <w:t xml:space="preserve">RhIG </w:t>
      </w:r>
      <w:r w:rsidR="0021765D">
        <w:rPr>
          <w:rFonts w:ascii="Arial" w:hAnsi="Arial"/>
          <w:sz w:val="24"/>
          <w:lang w:val="fr-CA"/>
        </w:rPr>
        <w:t>faite</w:t>
      </w:r>
      <w:r w:rsidR="00E67E9B">
        <w:rPr>
          <w:rFonts w:ascii="Arial" w:hAnsi="Arial"/>
          <w:sz w:val="24"/>
          <w:lang w:val="fr-CA"/>
        </w:rPr>
        <w:t xml:space="preserve"> </w:t>
      </w:r>
      <w:r w:rsidR="00935468" w:rsidRPr="001610E6">
        <w:rPr>
          <w:rFonts w:ascii="Arial" w:hAnsi="Arial"/>
          <w:sz w:val="24"/>
          <w:lang w:val="fr-CA"/>
        </w:rPr>
        <w:t>le</w:t>
      </w:r>
      <w:r w:rsidR="007D5826" w:rsidRPr="001610E6">
        <w:rPr>
          <w:rFonts w:ascii="Arial" w:hAnsi="Arial"/>
          <w:sz w:val="24"/>
          <w:lang w:val="fr-CA"/>
        </w:rPr>
        <w:t xml:space="preserve"> ____(date </w:t>
      </w:r>
      <w:r w:rsidR="00935468" w:rsidRPr="001610E6">
        <w:rPr>
          <w:rFonts w:ascii="Arial" w:hAnsi="Arial"/>
          <w:sz w:val="24"/>
          <w:lang w:val="fr-CA"/>
        </w:rPr>
        <w:t>de</w:t>
      </w:r>
      <w:r w:rsidR="007D5826" w:rsidRPr="001610E6">
        <w:rPr>
          <w:rFonts w:ascii="Arial" w:hAnsi="Arial"/>
          <w:sz w:val="24"/>
          <w:lang w:val="fr-CA"/>
        </w:rPr>
        <w:t xml:space="preserve"> </w:t>
      </w:r>
      <w:r w:rsidR="00935468" w:rsidRPr="001610E6">
        <w:rPr>
          <w:rFonts w:ascii="Arial" w:hAnsi="Arial"/>
          <w:sz w:val="24"/>
          <w:lang w:val="fr-CA"/>
        </w:rPr>
        <w:t>l’i</w:t>
      </w:r>
      <w:r w:rsidR="007D5826" w:rsidRPr="001610E6">
        <w:rPr>
          <w:rFonts w:ascii="Arial" w:hAnsi="Arial"/>
          <w:sz w:val="24"/>
          <w:lang w:val="fr-CA"/>
        </w:rPr>
        <w:t>njection).</w:t>
      </w:r>
      <w:r w:rsidRPr="001610E6">
        <w:rPr>
          <w:rFonts w:ascii="Arial" w:hAnsi="Arial"/>
          <w:sz w:val="24"/>
          <w:lang w:val="fr-CA"/>
        </w:rPr>
        <w:t> »</w:t>
      </w:r>
    </w:p>
    <w:p w:rsidR="007D5826" w:rsidRPr="001610E6" w:rsidRDefault="007D5826">
      <w:pPr>
        <w:ind w:left="720"/>
        <w:rPr>
          <w:rFonts w:ascii="Arial" w:hAnsi="Arial"/>
          <w:sz w:val="24"/>
          <w:lang w:val="fr-CA"/>
        </w:rPr>
      </w:pPr>
    </w:p>
    <w:p w:rsidR="007D5826" w:rsidRPr="004A4543" w:rsidRDefault="00096E5F" w:rsidP="004A4543">
      <w:pPr>
        <w:numPr>
          <w:ilvl w:val="1"/>
          <w:numId w:val="1"/>
        </w:numPr>
        <w:ind w:left="1418" w:hanging="709"/>
        <w:rPr>
          <w:rFonts w:ascii="Arial" w:hAnsi="Arial"/>
          <w:sz w:val="24"/>
          <w:lang w:val="fr-CA"/>
        </w:rPr>
      </w:pPr>
      <w:r w:rsidRPr="004A4543">
        <w:rPr>
          <w:rFonts w:ascii="Arial" w:hAnsi="Arial"/>
          <w:sz w:val="24"/>
          <w:lang w:val="fr-CA"/>
        </w:rPr>
        <w:t>Si un anticorps sans importance clinique</w:t>
      </w:r>
      <w:r w:rsidR="001610E6" w:rsidRPr="004A4543">
        <w:rPr>
          <w:rFonts w:ascii="Arial" w:hAnsi="Arial"/>
          <w:sz w:val="24"/>
          <w:lang w:val="fr-CA"/>
        </w:rPr>
        <w:t xml:space="preserve"> </w:t>
      </w:r>
      <w:r w:rsidRPr="004A4543">
        <w:rPr>
          <w:rFonts w:ascii="Arial" w:hAnsi="Arial"/>
          <w:sz w:val="24"/>
          <w:lang w:val="fr-CA"/>
        </w:rPr>
        <w:t>a été identifié</w:t>
      </w:r>
      <w:r w:rsidR="0021765D" w:rsidRPr="004A4543">
        <w:rPr>
          <w:rFonts w:ascii="Arial" w:hAnsi="Arial"/>
          <w:sz w:val="24"/>
          <w:lang w:val="fr-CA"/>
        </w:rPr>
        <w:t xml:space="preserve">, </w:t>
      </w:r>
      <w:r w:rsidRPr="004A4543">
        <w:rPr>
          <w:rFonts w:ascii="Arial" w:hAnsi="Arial"/>
          <w:sz w:val="24"/>
          <w:lang w:val="fr-CA"/>
        </w:rPr>
        <w:t>inscrire : « Identification d’anti-____ sans importance clinique</w:t>
      </w:r>
      <w:r w:rsidR="007D5826" w:rsidRPr="004A4543">
        <w:rPr>
          <w:rFonts w:ascii="Arial" w:hAnsi="Arial"/>
          <w:sz w:val="24"/>
          <w:lang w:val="fr-CA"/>
        </w:rPr>
        <w:t>.</w:t>
      </w:r>
      <w:r w:rsidR="004A4543" w:rsidRPr="004A4543">
        <w:rPr>
          <w:rFonts w:ascii="Arial" w:hAnsi="Arial"/>
          <w:sz w:val="24"/>
          <w:lang w:val="fr-CA"/>
        </w:rPr>
        <w:t xml:space="preserve"> </w:t>
      </w:r>
      <w:r w:rsidR="00CC4A78" w:rsidRPr="004A4543">
        <w:rPr>
          <w:rFonts w:ascii="Arial" w:hAnsi="Arial"/>
          <w:sz w:val="24"/>
          <w:lang w:val="fr-CA"/>
        </w:rPr>
        <w:t>Les unités de donneur doivent être testées au moyen d’un test à l’</w:t>
      </w:r>
      <w:r w:rsidR="007D5826" w:rsidRPr="004A4543">
        <w:rPr>
          <w:rFonts w:ascii="Arial" w:hAnsi="Arial"/>
          <w:sz w:val="24"/>
          <w:lang w:val="fr-CA"/>
        </w:rPr>
        <w:t>antiglobulin</w:t>
      </w:r>
      <w:r w:rsidR="00CC4A78" w:rsidRPr="004A4543">
        <w:rPr>
          <w:rFonts w:ascii="Arial" w:hAnsi="Arial"/>
          <w:sz w:val="24"/>
          <w:lang w:val="fr-CA"/>
        </w:rPr>
        <w:t>e</w:t>
      </w:r>
      <w:r w:rsidR="007D5826" w:rsidRPr="004A4543">
        <w:rPr>
          <w:rFonts w:ascii="Arial" w:hAnsi="Arial"/>
          <w:sz w:val="24"/>
          <w:lang w:val="fr-CA"/>
        </w:rPr>
        <w:t xml:space="preserve"> (o</w:t>
      </w:r>
      <w:r w:rsidR="00CC4A78" w:rsidRPr="004A4543">
        <w:rPr>
          <w:rFonts w:ascii="Arial" w:hAnsi="Arial"/>
          <w:sz w:val="24"/>
          <w:lang w:val="fr-CA"/>
        </w:rPr>
        <w:t xml:space="preserve">u un test </w:t>
      </w:r>
      <w:r w:rsidR="007D5826" w:rsidRPr="004A4543">
        <w:rPr>
          <w:rFonts w:ascii="Arial" w:hAnsi="Arial"/>
          <w:sz w:val="24"/>
          <w:lang w:val="fr-CA"/>
        </w:rPr>
        <w:t xml:space="preserve">comparable); </w:t>
      </w:r>
      <w:r w:rsidR="00CC4A78" w:rsidRPr="004A4543">
        <w:rPr>
          <w:rFonts w:ascii="Arial" w:hAnsi="Arial"/>
          <w:sz w:val="24"/>
          <w:lang w:val="fr-CA"/>
        </w:rPr>
        <w:t>les unités de donneur compatibles peuvent être transfusées</w:t>
      </w:r>
      <w:r w:rsidR="007D5826" w:rsidRPr="004A4543">
        <w:rPr>
          <w:rFonts w:ascii="Arial" w:hAnsi="Arial"/>
          <w:sz w:val="24"/>
          <w:lang w:val="fr-CA"/>
        </w:rPr>
        <w:t xml:space="preserve">. </w:t>
      </w:r>
      <w:r w:rsidR="00CC4A78" w:rsidRPr="004A4543">
        <w:rPr>
          <w:rFonts w:ascii="Arial" w:hAnsi="Arial"/>
          <w:sz w:val="24"/>
          <w:lang w:val="fr-CA"/>
        </w:rPr>
        <w:t xml:space="preserve">Une technique de </w:t>
      </w:r>
      <w:r w:rsidR="00526D00" w:rsidRPr="004A4543">
        <w:rPr>
          <w:rFonts w:ascii="Arial" w:hAnsi="Arial"/>
          <w:sz w:val="24"/>
          <w:lang w:val="fr-CA"/>
        </w:rPr>
        <w:t>préréchauffement</w:t>
      </w:r>
      <w:r w:rsidR="00CC4A78" w:rsidRPr="004A4543">
        <w:rPr>
          <w:rFonts w:ascii="Arial" w:hAnsi="Arial"/>
          <w:sz w:val="24"/>
          <w:lang w:val="fr-CA"/>
        </w:rPr>
        <w:t xml:space="preserve"> peut être utile pour trouver des unités de donneur compatibles.</w:t>
      </w:r>
      <w:r w:rsidR="007D5826" w:rsidRPr="004A4543">
        <w:rPr>
          <w:rFonts w:ascii="Arial" w:hAnsi="Arial"/>
          <w:sz w:val="24"/>
          <w:lang w:val="fr-CA"/>
        </w:rPr>
        <w:t xml:space="preserve"> </w:t>
      </w:r>
      <w:r w:rsidR="00CC4A78" w:rsidRPr="004A4543">
        <w:rPr>
          <w:rFonts w:ascii="Arial" w:hAnsi="Arial"/>
          <w:sz w:val="24"/>
          <w:lang w:val="fr-CA"/>
        </w:rPr>
        <w:t xml:space="preserve">Si l’épreuve de compatibilité avec technique de </w:t>
      </w:r>
      <w:r w:rsidR="00526D00" w:rsidRPr="004A4543">
        <w:rPr>
          <w:rFonts w:ascii="Arial" w:hAnsi="Arial"/>
          <w:sz w:val="24"/>
          <w:lang w:val="fr-CA"/>
        </w:rPr>
        <w:t>préréchauffement</w:t>
      </w:r>
      <w:r w:rsidR="00CC4A78" w:rsidRPr="004A4543">
        <w:rPr>
          <w:rFonts w:ascii="Arial" w:hAnsi="Arial"/>
          <w:sz w:val="24"/>
          <w:lang w:val="fr-CA"/>
        </w:rPr>
        <w:t xml:space="preserve"> ne permet pas de trouver d’unité de donneur compatible, on peut envisager la possibilité de procéder à un phénotypage </w:t>
      </w:r>
      <w:r w:rsidR="00D976EC" w:rsidRPr="004A4543">
        <w:rPr>
          <w:rFonts w:ascii="Arial" w:hAnsi="Arial"/>
          <w:sz w:val="24"/>
          <w:lang w:val="fr-CA"/>
        </w:rPr>
        <w:t xml:space="preserve">des unités </w:t>
      </w:r>
      <w:r w:rsidR="00CC4A78" w:rsidRPr="004A4543">
        <w:rPr>
          <w:rFonts w:ascii="Arial" w:hAnsi="Arial"/>
          <w:sz w:val="24"/>
          <w:lang w:val="fr-CA"/>
        </w:rPr>
        <w:t>d</w:t>
      </w:r>
      <w:r w:rsidR="00D976EC" w:rsidRPr="004A4543">
        <w:rPr>
          <w:rFonts w:ascii="Arial" w:hAnsi="Arial"/>
          <w:sz w:val="24"/>
          <w:lang w:val="fr-CA"/>
        </w:rPr>
        <w:t>e</w:t>
      </w:r>
      <w:r w:rsidR="00CC4A78" w:rsidRPr="004A4543">
        <w:rPr>
          <w:rFonts w:ascii="Arial" w:hAnsi="Arial"/>
          <w:sz w:val="24"/>
          <w:lang w:val="fr-CA"/>
        </w:rPr>
        <w:t xml:space="preserve"> sang</w:t>
      </w:r>
      <w:r w:rsidR="007D5826" w:rsidRPr="004A4543">
        <w:rPr>
          <w:rFonts w:ascii="Arial" w:hAnsi="Arial"/>
          <w:sz w:val="24"/>
          <w:lang w:val="fr-CA"/>
        </w:rPr>
        <w:t>.</w:t>
      </w:r>
    </w:p>
    <w:p w:rsidR="007D5826" w:rsidRPr="001610E6" w:rsidRDefault="007D5826">
      <w:pPr>
        <w:rPr>
          <w:rFonts w:ascii="Arial" w:hAnsi="Arial"/>
          <w:sz w:val="24"/>
          <w:lang w:val="fr-CA"/>
        </w:rPr>
      </w:pPr>
    </w:p>
    <w:p w:rsidR="007D5826" w:rsidRPr="001610E6" w:rsidRDefault="007D5826" w:rsidP="004A4543">
      <w:pPr>
        <w:ind w:left="1440"/>
        <w:rPr>
          <w:rFonts w:ascii="Arial" w:hAnsi="Arial"/>
          <w:sz w:val="24"/>
          <w:lang w:val="fr-CA"/>
        </w:rPr>
      </w:pPr>
      <w:r w:rsidRPr="001610E6">
        <w:rPr>
          <w:rFonts w:ascii="Arial" w:hAnsi="Arial"/>
          <w:sz w:val="24"/>
          <w:lang w:val="fr-CA"/>
        </w:rPr>
        <w:t>Ex</w:t>
      </w:r>
      <w:r w:rsidR="00CC4A78" w:rsidRPr="001610E6">
        <w:rPr>
          <w:rFonts w:ascii="Arial" w:hAnsi="Arial"/>
          <w:sz w:val="24"/>
          <w:lang w:val="fr-CA"/>
        </w:rPr>
        <w:t>e</w:t>
      </w:r>
      <w:r w:rsidRPr="001610E6">
        <w:rPr>
          <w:rFonts w:ascii="Arial" w:hAnsi="Arial"/>
          <w:sz w:val="24"/>
          <w:lang w:val="fr-CA"/>
        </w:rPr>
        <w:t xml:space="preserve">mples </w:t>
      </w:r>
      <w:r w:rsidR="00CC4A78" w:rsidRPr="001610E6">
        <w:rPr>
          <w:rFonts w:ascii="Arial" w:hAnsi="Arial"/>
          <w:sz w:val="24"/>
          <w:lang w:val="fr-CA"/>
        </w:rPr>
        <w:t>d’anticorps sans importance clinique</w:t>
      </w:r>
      <w:r w:rsidRPr="001610E6">
        <w:rPr>
          <w:rFonts w:ascii="Arial" w:hAnsi="Arial"/>
          <w:sz w:val="24"/>
          <w:lang w:val="fr-CA"/>
        </w:rPr>
        <w:t>: anti-HI, anti-P</w:t>
      </w:r>
      <w:r w:rsidRPr="001610E6">
        <w:rPr>
          <w:rFonts w:ascii="Arial" w:hAnsi="Arial"/>
          <w:sz w:val="24"/>
          <w:vertAlign w:val="subscript"/>
          <w:lang w:val="fr-CA"/>
        </w:rPr>
        <w:t>1</w:t>
      </w:r>
      <w:r w:rsidRPr="001610E6">
        <w:rPr>
          <w:rFonts w:ascii="Arial" w:hAnsi="Arial"/>
          <w:sz w:val="24"/>
          <w:lang w:val="fr-CA"/>
        </w:rPr>
        <w:t>, anti-Le</w:t>
      </w:r>
      <w:r w:rsidRPr="001610E6">
        <w:rPr>
          <w:rFonts w:ascii="Arial" w:hAnsi="Arial"/>
          <w:sz w:val="24"/>
          <w:vertAlign w:val="superscript"/>
          <w:lang w:val="fr-CA"/>
        </w:rPr>
        <w:t>b</w:t>
      </w:r>
      <w:r w:rsidRPr="001610E6">
        <w:rPr>
          <w:rFonts w:ascii="Arial" w:hAnsi="Arial"/>
          <w:sz w:val="24"/>
          <w:lang w:val="fr-CA"/>
        </w:rPr>
        <w:t>, anti-M, anti-N, anti-Lu</w:t>
      </w:r>
      <w:r w:rsidRPr="001610E6">
        <w:rPr>
          <w:rFonts w:ascii="Arial" w:hAnsi="Arial"/>
          <w:sz w:val="24"/>
          <w:vertAlign w:val="superscript"/>
          <w:lang w:val="fr-CA"/>
        </w:rPr>
        <w:t>a</w:t>
      </w:r>
      <w:r w:rsidRPr="001610E6">
        <w:rPr>
          <w:rFonts w:ascii="Arial" w:hAnsi="Arial"/>
          <w:sz w:val="24"/>
          <w:lang w:val="fr-CA"/>
        </w:rPr>
        <w:t>, anti-Bg, anti-Sd</w:t>
      </w:r>
      <w:r w:rsidRPr="001610E6">
        <w:rPr>
          <w:rFonts w:ascii="Arial" w:hAnsi="Arial"/>
          <w:sz w:val="24"/>
          <w:vertAlign w:val="superscript"/>
          <w:lang w:val="fr-CA"/>
        </w:rPr>
        <w:t>a</w:t>
      </w:r>
      <w:r w:rsidRPr="001610E6">
        <w:rPr>
          <w:rFonts w:ascii="Arial" w:hAnsi="Arial"/>
          <w:sz w:val="24"/>
          <w:lang w:val="fr-CA"/>
        </w:rPr>
        <w:t>,</w:t>
      </w:r>
      <w:r w:rsidR="00CC4A78" w:rsidRPr="001610E6">
        <w:rPr>
          <w:rFonts w:ascii="Arial" w:hAnsi="Arial"/>
          <w:sz w:val="24"/>
          <w:lang w:val="fr-CA"/>
        </w:rPr>
        <w:t xml:space="preserve"> la plupart des exemples d’</w:t>
      </w:r>
      <w:r w:rsidRPr="001610E6">
        <w:rPr>
          <w:rFonts w:ascii="Arial" w:hAnsi="Arial"/>
          <w:sz w:val="24"/>
          <w:lang w:val="fr-CA"/>
        </w:rPr>
        <w:t xml:space="preserve"> anti-Le</w:t>
      </w:r>
      <w:r w:rsidRPr="001610E6">
        <w:rPr>
          <w:rFonts w:ascii="Arial" w:hAnsi="Arial"/>
          <w:sz w:val="24"/>
          <w:vertAlign w:val="superscript"/>
          <w:lang w:val="fr-CA"/>
        </w:rPr>
        <w:t>a</w:t>
      </w:r>
      <w:r w:rsidRPr="001610E6">
        <w:rPr>
          <w:rFonts w:ascii="Arial" w:hAnsi="Arial"/>
          <w:sz w:val="24"/>
          <w:lang w:val="fr-CA"/>
        </w:rPr>
        <w:t xml:space="preserve"> </w:t>
      </w:r>
      <w:r w:rsidR="00CC4A78" w:rsidRPr="001610E6">
        <w:rPr>
          <w:rFonts w:ascii="Arial" w:hAnsi="Arial"/>
          <w:sz w:val="24"/>
          <w:lang w:val="fr-CA"/>
        </w:rPr>
        <w:t xml:space="preserve">et </w:t>
      </w:r>
      <w:r w:rsidRPr="001610E6">
        <w:rPr>
          <w:rFonts w:ascii="Arial" w:hAnsi="Arial"/>
          <w:sz w:val="24"/>
          <w:lang w:val="fr-CA"/>
        </w:rPr>
        <w:t>anti-A</w:t>
      </w:r>
      <w:r w:rsidRPr="001610E6">
        <w:rPr>
          <w:rFonts w:ascii="Arial" w:hAnsi="Arial"/>
          <w:sz w:val="24"/>
          <w:vertAlign w:val="subscript"/>
          <w:lang w:val="fr-CA"/>
        </w:rPr>
        <w:t>1</w:t>
      </w:r>
      <w:r w:rsidRPr="001610E6">
        <w:rPr>
          <w:rFonts w:ascii="Arial" w:hAnsi="Arial"/>
          <w:sz w:val="24"/>
          <w:lang w:val="fr-CA"/>
        </w:rPr>
        <w:t>.</w:t>
      </w:r>
    </w:p>
    <w:p w:rsidR="007D5826" w:rsidRPr="001610E6" w:rsidRDefault="007D5826">
      <w:pPr>
        <w:ind w:left="720"/>
        <w:rPr>
          <w:rFonts w:ascii="Arial" w:hAnsi="Arial"/>
          <w:sz w:val="24"/>
          <w:lang w:val="fr-CA"/>
        </w:rPr>
      </w:pPr>
    </w:p>
    <w:p w:rsidR="007D5826" w:rsidRPr="001610E6" w:rsidRDefault="00BC6001" w:rsidP="006204FF">
      <w:pPr>
        <w:numPr>
          <w:ilvl w:val="0"/>
          <w:numId w:val="1"/>
        </w:numPr>
        <w:rPr>
          <w:rFonts w:ascii="Arial" w:hAnsi="Arial"/>
          <w:b/>
          <w:sz w:val="28"/>
          <w:lang w:val="fr-CA"/>
        </w:rPr>
      </w:pPr>
      <w:r w:rsidRPr="001610E6">
        <w:rPr>
          <w:rFonts w:ascii="Arial" w:hAnsi="Arial"/>
          <w:b/>
          <w:sz w:val="28"/>
          <w:lang w:val="fr-CA"/>
        </w:rPr>
        <w:t>R</w:t>
      </w:r>
      <w:r w:rsidR="004E36CD" w:rsidRPr="001610E6">
        <w:rPr>
          <w:rFonts w:ascii="Arial" w:hAnsi="Arial"/>
          <w:b/>
          <w:sz w:val="28"/>
          <w:lang w:val="fr-CA"/>
        </w:rPr>
        <w:t>emarques</w:t>
      </w:r>
    </w:p>
    <w:p w:rsidR="007D5826" w:rsidRPr="001610E6" w:rsidRDefault="007D5826">
      <w:pPr>
        <w:rPr>
          <w:rFonts w:ascii="Arial" w:hAnsi="Arial"/>
          <w:sz w:val="24"/>
          <w:lang w:val="fr-CA"/>
        </w:rPr>
      </w:pPr>
    </w:p>
    <w:p w:rsidR="007D5826" w:rsidRPr="001610E6" w:rsidRDefault="004E36CD" w:rsidP="00E93E5E">
      <w:pPr>
        <w:numPr>
          <w:ilvl w:val="1"/>
          <w:numId w:val="1"/>
        </w:numPr>
        <w:rPr>
          <w:rFonts w:ascii="Arial" w:hAnsi="Arial"/>
          <w:sz w:val="24"/>
          <w:lang w:val="fr-CA"/>
        </w:rPr>
      </w:pPr>
      <w:r w:rsidRPr="001610E6">
        <w:rPr>
          <w:rFonts w:ascii="Arial" w:hAnsi="Arial"/>
          <w:sz w:val="24"/>
          <w:lang w:val="fr-CA"/>
        </w:rPr>
        <w:t>Il faut lire les résultats immédiatement après la centrifugation.</w:t>
      </w:r>
      <w:r w:rsidR="007D5826" w:rsidRPr="001610E6">
        <w:rPr>
          <w:rFonts w:ascii="Arial" w:hAnsi="Arial"/>
          <w:sz w:val="24"/>
          <w:lang w:val="fr-CA"/>
        </w:rPr>
        <w:t xml:space="preserve"> </w:t>
      </w:r>
      <w:r w:rsidR="00D976EC" w:rsidRPr="001610E6">
        <w:rPr>
          <w:rFonts w:ascii="Arial" w:hAnsi="Arial"/>
          <w:sz w:val="24"/>
          <w:lang w:val="fr-CA"/>
        </w:rPr>
        <w:t xml:space="preserve">Toute </w:t>
      </w:r>
      <w:r w:rsidRPr="001610E6">
        <w:rPr>
          <w:rFonts w:ascii="Arial" w:hAnsi="Arial"/>
          <w:sz w:val="24"/>
          <w:lang w:val="fr-CA"/>
        </w:rPr>
        <w:t>interruption de l'épreuve pourrait permettre aux IgG de se dissocier des globules rouges; leur concentration serait alors trop faible pour qu'on puisse les déceler ou les IgG pourraient neutraliser la GAH et donner un faux résultat négatif.</w:t>
      </w:r>
    </w:p>
    <w:p w:rsidR="007D5826" w:rsidRPr="001610E6" w:rsidRDefault="007D5826">
      <w:pPr>
        <w:ind w:left="720"/>
        <w:rPr>
          <w:rFonts w:ascii="Arial" w:hAnsi="Arial"/>
          <w:sz w:val="24"/>
          <w:lang w:val="fr-CA"/>
        </w:rPr>
      </w:pPr>
    </w:p>
    <w:p w:rsidR="007D5826" w:rsidRPr="001610E6" w:rsidRDefault="003B328A">
      <w:pPr>
        <w:numPr>
          <w:ilvl w:val="1"/>
          <w:numId w:val="1"/>
        </w:numPr>
        <w:rPr>
          <w:rFonts w:ascii="Arial" w:hAnsi="Arial"/>
          <w:sz w:val="24"/>
          <w:lang w:val="fr-CA"/>
        </w:rPr>
      </w:pPr>
      <w:r w:rsidRPr="001610E6">
        <w:rPr>
          <w:rFonts w:ascii="Arial" w:hAnsi="Arial"/>
          <w:sz w:val="24"/>
          <w:lang w:val="fr-CA"/>
        </w:rPr>
        <w:t xml:space="preserve">Habituellement, la réaction d’un anti-D passif en présence de cellules </w:t>
      </w:r>
      <w:r w:rsidR="007D5826" w:rsidRPr="001610E6">
        <w:rPr>
          <w:rFonts w:ascii="Arial" w:hAnsi="Arial"/>
          <w:sz w:val="24"/>
          <w:lang w:val="fr-CA"/>
        </w:rPr>
        <w:t>D positive</w:t>
      </w:r>
      <w:r w:rsidRPr="001610E6">
        <w:rPr>
          <w:rFonts w:ascii="Arial" w:hAnsi="Arial"/>
          <w:sz w:val="24"/>
          <w:lang w:val="fr-CA"/>
        </w:rPr>
        <w:t>s</w:t>
      </w:r>
      <w:r w:rsidR="007D5826" w:rsidRPr="001610E6">
        <w:rPr>
          <w:rFonts w:ascii="Arial" w:hAnsi="Arial"/>
          <w:sz w:val="24"/>
          <w:lang w:val="fr-CA"/>
        </w:rPr>
        <w:t xml:space="preserve"> </w:t>
      </w:r>
      <w:r w:rsidR="00716407" w:rsidRPr="001610E6">
        <w:rPr>
          <w:rFonts w:ascii="Arial" w:hAnsi="Arial"/>
          <w:sz w:val="24"/>
          <w:lang w:val="fr-CA"/>
        </w:rPr>
        <w:t xml:space="preserve">est de niveau inférieur à </w:t>
      </w:r>
      <w:r w:rsidR="007D5826" w:rsidRPr="001610E6">
        <w:rPr>
          <w:rFonts w:ascii="Arial" w:hAnsi="Arial"/>
          <w:sz w:val="24"/>
          <w:lang w:val="fr-CA"/>
        </w:rPr>
        <w:t xml:space="preserve">2 </w:t>
      </w:r>
      <w:r w:rsidR="00716407" w:rsidRPr="001610E6">
        <w:rPr>
          <w:rFonts w:ascii="Arial" w:hAnsi="Arial"/>
          <w:sz w:val="24"/>
          <w:lang w:val="fr-CA"/>
        </w:rPr>
        <w:t>quand on se sert de la méthode d’hé</w:t>
      </w:r>
      <w:r w:rsidR="007D5826" w:rsidRPr="001610E6">
        <w:rPr>
          <w:rFonts w:ascii="Arial" w:hAnsi="Arial"/>
          <w:sz w:val="24"/>
          <w:lang w:val="fr-CA"/>
        </w:rPr>
        <w:t>magglutination</w:t>
      </w:r>
      <w:r w:rsidR="00716407" w:rsidRPr="001610E6">
        <w:rPr>
          <w:rFonts w:ascii="Arial" w:hAnsi="Arial"/>
          <w:sz w:val="24"/>
          <w:lang w:val="fr-CA"/>
        </w:rPr>
        <w:t>. Cela dépend toutefois de la date à laquelle l’I</w:t>
      </w:r>
      <w:r w:rsidR="00D976EC" w:rsidRPr="001610E6">
        <w:rPr>
          <w:rFonts w:ascii="Arial" w:hAnsi="Arial"/>
          <w:sz w:val="24"/>
          <w:lang w:val="fr-CA"/>
        </w:rPr>
        <w:t>g</w:t>
      </w:r>
      <w:r w:rsidR="00716407" w:rsidRPr="001610E6">
        <w:rPr>
          <w:rFonts w:ascii="Arial" w:hAnsi="Arial"/>
          <w:sz w:val="24"/>
          <w:lang w:val="fr-CA"/>
        </w:rPr>
        <w:t xml:space="preserve">G Rh a été administrée; de </w:t>
      </w:r>
      <w:r w:rsidR="007D5826" w:rsidRPr="001610E6">
        <w:rPr>
          <w:rFonts w:ascii="Arial" w:hAnsi="Arial"/>
          <w:sz w:val="24"/>
          <w:lang w:val="fr-CA"/>
        </w:rPr>
        <w:t>3</w:t>
      </w:r>
      <w:r w:rsidR="00716407" w:rsidRPr="001610E6">
        <w:rPr>
          <w:rFonts w:ascii="Arial" w:hAnsi="Arial"/>
          <w:sz w:val="24"/>
          <w:lang w:val="fr-CA"/>
        </w:rPr>
        <w:t xml:space="preserve"> à </w:t>
      </w:r>
      <w:r w:rsidR="007D5826" w:rsidRPr="001610E6">
        <w:rPr>
          <w:rFonts w:ascii="Arial" w:hAnsi="Arial"/>
          <w:sz w:val="24"/>
          <w:lang w:val="fr-CA"/>
        </w:rPr>
        <w:t xml:space="preserve">5 </w:t>
      </w:r>
      <w:r w:rsidR="00716407" w:rsidRPr="001610E6">
        <w:rPr>
          <w:rFonts w:ascii="Arial" w:hAnsi="Arial"/>
          <w:sz w:val="24"/>
          <w:lang w:val="fr-CA"/>
        </w:rPr>
        <w:t>jours après l’</w:t>
      </w:r>
      <w:r w:rsidR="007D5826" w:rsidRPr="001610E6">
        <w:rPr>
          <w:rFonts w:ascii="Arial" w:hAnsi="Arial"/>
          <w:sz w:val="24"/>
          <w:lang w:val="fr-CA"/>
        </w:rPr>
        <w:t>administration</w:t>
      </w:r>
      <w:r w:rsidR="00716407" w:rsidRPr="001610E6">
        <w:rPr>
          <w:rFonts w:ascii="Arial" w:hAnsi="Arial"/>
          <w:sz w:val="24"/>
          <w:lang w:val="fr-CA"/>
        </w:rPr>
        <w:t>, la réaction peut être nettement plus forte</w:t>
      </w:r>
      <w:r w:rsidR="007D5826" w:rsidRPr="001610E6">
        <w:rPr>
          <w:rFonts w:ascii="Arial" w:hAnsi="Arial"/>
          <w:sz w:val="24"/>
          <w:lang w:val="fr-CA"/>
        </w:rPr>
        <w:t>.</w:t>
      </w:r>
      <w:r w:rsidR="004A4543">
        <w:rPr>
          <w:rFonts w:ascii="Arial" w:hAnsi="Arial"/>
          <w:sz w:val="24"/>
          <w:lang w:val="fr-CA"/>
        </w:rPr>
        <w:t xml:space="preserve"> Il faut vérifier le dossier du patient pour confirmer une injection récente d’IgG.</w:t>
      </w:r>
    </w:p>
    <w:p w:rsidR="007D5826" w:rsidRPr="001610E6" w:rsidRDefault="007D5826">
      <w:pPr>
        <w:ind w:left="720"/>
        <w:rPr>
          <w:rFonts w:ascii="Arial" w:hAnsi="Arial"/>
          <w:sz w:val="24"/>
          <w:lang w:val="fr-CA"/>
        </w:rPr>
      </w:pPr>
    </w:p>
    <w:p w:rsidR="007D5826" w:rsidRPr="001610E6" w:rsidRDefault="00716407">
      <w:pPr>
        <w:numPr>
          <w:ilvl w:val="1"/>
          <w:numId w:val="1"/>
        </w:numPr>
        <w:rPr>
          <w:rFonts w:ascii="Arial" w:hAnsi="Arial"/>
          <w:sz w:val="24"/>
          <w:lang w:val="fr-CA"/>
        </w:rPr>
      </w:pPr>
      <w:r w:rsidRPr="001610E6">
        <w:rPr>
          <w:rFonts w:ascii="Arial" w:hAnsi="Arial"/>
          <w:sz w:val="24"/>
          <w:lang w:val="fr-CA"/>
        </w:rPr>
        <w:t xml:space="preserve">Certains établissements procèdent au phénotypage des antigènes </w:t>
      </w:r>
      <w:r w:rsidRPr="0043779B">
        <w:rPr>
          <w:rFonts w:ascii="Arial" w:hAnsi="Arial"/>
          <w:sz w:val="24"/>
          <w:lang w:val="fr-CA"/>
        </w:rPr>
        <w:t xml:space="preserve">correspondants et </w:t>
      </w:r>
      <w:r w:rsidR="00D976EC" w:rsidRPr="0043779B">
        <w:rPr>
          <w:rFonts w:ascii="Arial" w:hAnsi="Arial"/>
          <w:sz w:val="24"/>
          <w:lang w:val="fr-CA"/>
        </w:rPr>
        <w:t>antithétiques</w:t>
      </w:r>
      <w:r w:rsidR="00E67E9B">
        <w:rPr>
          <w:rFonts w:ascii="Arial" w:hAnsi="Arial"/>
          <w:sz w:val="24"/>
          <w:lang w:val="fr-CA"/>
        </w:rPr>
        <w:t xml:space="preserve"> (p. ex</w:t>
      </w:r>
      <w:r w:rsidRPr="0043779B">
        <w:rPr>
          <w:rFonts w:ascii="Arial" w:hAnsi="Arial"/>
          <w:sz w:val="24"/>
          <w:lang w:val="fr-CA"/>
        </w:rPr>
        <w:t>.</w:t>
      </w:r>
      <w:r w:rsidR="00E67E9B">
        <w:rPr>
          <w:rFonts w:ascii="Arial" w:hAnsi="Arial"/>
          <w:sz w:val="24"/>
          <w:lang w:val="fr-CA"/>
        </w:rPr>
        <w:t xml:space="preserve"> phénotypage de l’antigène Fy</w:t>
      </w:r>
      <w:r w:rsidR="00E67E9B" w:rsidRPr="00E67E9B">
        <w:rPr>
          <w:rFonts w:ascii="Arial" w:hAnsi="Arial"/>
          <w:sz w:val="24"/>
          <w:vertAlign w:val="superscript"/>
          <w:lang w:val="fr-CA"/>
        </w:rPr>
        <w:t>b</w:t>
      </w:r>
      <w:r w:rsidRPr="0043779B">
        <w:rPr>
          <w:rFonts w:ascii="Arial" w:hAnsi="Arial"/>
          <w:sz w:val="24"/>
          <w:lang w:val="fr-CA"/>
        </w:rPr>
        <w:t xml:space="preserve"> </w:t>
      </w:r>
      <w:r w:rsidR="00E67E9B">
        <w:rPr>
          <w:rFonts w:ascii="Arial" w:hAnsi="Arial"/>
          <w:sz w:val="24"/>
          <w:lang w:val="fr-CA"/>
        </w:rPr>
        <w:t>en même temps que celui de l’antigène Fy</w:t>
      </w:r>
      <w:r w:rsidR="00E67E9B" w:rsidRPr="00E67E9B">
        <w:rPr>
          <w:rFonts w:ascii="Arial" w:hAnsi="Arial"/>
          <w:sz w:val="24"/>
          <w:vertAlign w:val="superscript"/>
          <w:lang w:val="fr-CA"/>
        </w:rPr>
        <w:t>a</w:t>
      </w:r>
      <w:r w:rsidR="00E67E9B" w:rsidRPr="00E67E9B">
        <w:rPr>
          <w:rFonts w:ascii="Arial" w:hAnsi="Arial"/>
          <w:sz w:val="24"/>
          <w:lang w:val="fr-CA"/>
        </w:rPr>
        <w:t>)</w:t>
      </w:r>
      <w:r w:rsidR="00E67E9B">
        <w:rPr>
          <w:rFonts w:ascii="Arial" w:hAnsi="Arial"/>
          <w:sz w:val="24"/>
          <w:lang w:val="fr-CA"/>
        </w:rPr>
        <w:t xml:space="preserve">. </w:t>
      </w:r>
      <w:r w:rsidRPr="0043779B">
        <w:rPr>
          <w:rFonts w:ascii="Arial" w:hAnsi="Arial"/>
          <w:sz w:val="24"/>
          <w:lang w:val="fr-CA"/>
        </w:rPr>
        <w:t>Même si c’est désirable en certaines</w:t>
      </w:r>
      <w:r w:rsidRPr="001610E6">
        <w:rPr>
          <w:rFonts w:ascii="Arial" w:hAnsi="Arial"/>
          <w:sz w:val="24"/>
          <w:lang w:val="fr-CA"/>
        </w:rPr>
        <w:t xml:space="preserve"> circonstances (le patient qui recevra des transfusions de façon chronique), ce n’est pas nécessaire pour l’identification des anticorps. Voir EC.009 - Typage des antigènes – Agglutination directe et indirecte. </w:t>
      </w:r>
    </w:p>
    <w:p w:rsidR="007D5826" w:rsidRPr="001610E6" w:rsidRDefault="007D5826">
      <w:pPr>
        <w:ind w:left="720"/>
        <w:rPr>
          <w:rFonts w:ascii="Arial" w:hAnsi="Arial"/>
          <w:sz w:val="24"/>
          <w:lang w:val="fr-CA"/>
        </w:rPr>
      </w:pPr>
    </w:p>
    <w:p w:rsidR="007D5826" w:rsidRDefault="00716407">
      <w:pPr>
        <w:numPr>
          <w:ilvl w:val="2"/>
          <w:numId w:val="1"/>
        </w:numPr>
        <w:rPr>
          <w:rFonts w:ascii="Arial" w:hAnsi="Arial"/>
          <w:sz w:val="24"/>
          <w:lang w:val="fr-CA"/>
        </w:rPr>
      </w:pPr>
      <w:r w:rsidRPr="001610E6">
        <w:rPr>
          <w:rFonts w:ascii="Arial" w:hAnsi="Arial"/>
          <w:sz w:val="24"/>
          <w:lang w:val="fr-CA"/>
        </w:rPr>
        <w:t>Le phénotypage d’antigènes Le</w:t>
      </w:r>
      <w:r w:rsidRPr="001610E6">
        <w:rPr>
          <w:rFonts w:ascii="Arial" w:hAnsi="Arial"/>
          <w:sz w:val="24"/>
          <w:vertAlign w:val="superscript"/>
          <w:lang w:val="fr-CA"/>
        </w:rPr>
        <w:t>a</w:t>
      </w:r>
      <w:r w:rsidRPr="001610E6">
        <w:rPr>
          <w:rFonts w:ascii="Arial" w:hAnsi="Arial"/>
          <w:sz w:val="24"/>
          <w:lang w:val="fr-CA"/>
        </w:rPr>
        <w:t xml:space="preserve"> </w:t>
      </w:r>
      <w:r w:rsidRPr="0043779B">
        <w:rPr>
          <w:rFonts w:ascii="Arial" w:hAnsi="Arial"/>
          <w:sz w:val="24"/>
          <w:lang w:val="fr-CA"/>
        </w:rPr>
        <w:t>et</w:t>
      </w:r>
      <w:r w:rsidRPr="001610E6">
        <w:rPr>
          <w:rFonts w:ascii="Arial" w:hAnsi="Arial"/>
          <w:sz w:val="24"/>
          <w:lang w:val="fr-CA"/>
        </w:rPr>
        <w:t xml:space="preserve"> Le</w:t>
      </w:r>
      <w:r w:rsidRPr="001610E6">
        <w:rPr>
          <w:rFonts w:ascii="Arial" w:hAnsi="Arial"/>
          <w:sz w:val="24"/>
          <w:vertAlign w:val="superscript"/>
          <w:lang w:val="fr-CA"/>
        </w:rPr>
        <w:t>b</w:t>
      </w:r>
      <w:r w:rsidRPr="001610E6">
        <w:rPr>
          <w:rFonts w:ascii="Arial" w:hAnsi="Arial"/>
          <w:sz w:val="24"/>
          <w:lang w:val="fr-CA"/>
        </w:rPr>
        <w:t xml:space="preserve"> peut être fait si un anti-Le</w:t>
      </w:r>
      <w:r w:rsidRPr="001610E6">
        <w:rPr>
          <w:rFonts w:ascii="Arial" w:hAnsi="Arial"/>
          <w:sz w:val="24"/>
          <w:vertAlign w:val="superscript"/>
          <w:lang w:val="fr-CA"/>
        </w:rPr>
        <w:t>a</w:t>
      </w:r>
      <w:r w:rsidRPr="001610E6">
        <w:rPr>
          <w:rFonts w:ascii="Arial" w:hAnsi="Arial"/>
          <w:sz w:val="24"/>
          <w:lang w:val="fr-CA"/>
        </w:rPr>
        <w:t xml:space="preserve"> ou un anti-Le</w:t>
      </w:r>
      <w:r w:rsidRPr="001610E6">
        <w:rPr>
          <w:rFonts w:ascii="Arial" w:hAnsi="Arial"/>
          <w:sz w:val="24"/>
          <w:vertAlign w:val="superscript"/>
          <w:lang w:val="fr-CA"/>
        </w:rPr>
        <w:t>b</w:t>
      </w:r>
      <w:r w:rsidRPr="001610E6">
        <w:rPr>
          <w:rFonts w:ascii="Arial" w:hAnsi="Arial"/>
          <w:sz w:val="24"/>
          <w:lang w:val="fr-CA"/>
        </w:rPr>
        <w:t xml:space="preserve"> a été identifié. Les patients ayant un anticorps du système Lewis auront comme résultat Le (a-b-), sauf en cas de grossesse. Le typage des antigènes de </w:t>
      </w:r>
      <w:r w:rsidR="00D976EC" w:rsidRPr="001610E6">
        <w:rPr>
          <w:rFonts w:ascii="Arial" w:hAnsi="Arial"/>
          <w:sz w:val="24"/>
          <w:lang w:val="fr-CA"/>
        </w:rPr>
        <w:t xml:space="preserve">type </w:t>
      </w:r>
      <w:r w:rsidRPr="001610E6">
        <w:rPr>
          <w:rFonts w:ascii="Arial" w:hAnsi="Arial"/>
          <w:sz w:val="24"/>
          <w:lang w:val="fr-CA"/>
        </w:rPr>
        <w:t xml:space="preserve">Lewis n’est pas inscrit au cours de la grossesse puisque leur expression est faible ou absente. </w:t>
      </w:r>
    </w:p>
    <w:p w:rsidR="004A4543" w:rsidRPr="001610E6" w:rsidRDefault="004A4543" w:rsidP="004A4543">
      <w:pPr>
        <w:ind w:left="1440"/>
        <w:rPr>
          <w:rFonts w:ascii="Arial" w:hAnsi="Arial"/>
          <w:sz w:val="24"/>
          <w:lang w:val="fr-CA"/>
        </w:rPr>
      </w:pPr>
    </w:p>
    <w:p w:rsidR="007D5826" w:rsidRPr="001610E6" w:rsidRDefault="00B41C46">
      <w:pPr>
        <w:numPr>
          <w:ilvl w:val="2"/>
          <w:numId w:val="1"/>
        </w:numPr>
        <w:rPr>
          <w:rFonts w:ascii="Arial" w:hAnsi="Arial"/>
          <w:sz w:val="24"/>
          <w:lang w:val="fr-CA"/>
        </w:rPr>
      </w:pPr>
      <w:r w:rsidRPr="001610E6">
        <w:rPr>
          <w:rFonts w:ascii="Arial" w:hAnsi="Arial"/>
          <w:sz w:val="24"/>
          <w:lang w:val="fr-CA"/>
        </w:rPr>
        <w:t xml:space="preserve">Il faudra peut-être envoyer l’échantillon à un laboratoire de référence qui procédera à un </w:t>
      </w:r>
      <w:r w:rsidR="007D5826" w:rsidRPr="001610E6">
        <w:rPr>
          <w:rFonts w:ascii="Arial" w:hAnsi="Arial"/>
          <w:sz w:val="24"/>
          <w:lang w:val="fr-CA"/>
        </w:rPr>
        <w:t>ph</w:t>
      </w:r>
      <w:r w:rsidRPr="001610E6">
        <w:rPr>
          <w:rFonts w:ascii="Arial" w:hAnsi="Arial"/>
          <w:sz w:val="24"/>
          <w:lang w:val="fr-CA"/>
        </w:rPr>
        <w:t>é</w:t>
      </w:r>
      <w:r w:rsidR="007D5826" w:rsidRPr="001610E6">
        <w:rPr>
          <w:rFonts w:ascii="Arial" w:hAnsi="Arial"/>
          <w:sz w:val="24"/>
          <w:lang w:val="fr-CA"/>
        </w:rPr>
        <w:t>notyp</w:t>
      </w:r>
      <w:r w:rsidRPr="001610E6">
        <w:rPr>
          <w:rFonts w:ascii="Arial" w:hAnsi="Arial"/>
          <w:sz w:val="24"/>
          <w:lang w:val="fr-CA"/>
        </w:rPr>
        <w:t>ag</w:t>
      </w:r>
      <w:r w:rsidR="007D5826" w:rsidRPr="001610E6">
        <w:rPr>
          <w:rFonts w:ascii="Arial" w:hAnsi="Arial"/>
          <w:sz w:val="24"/>
          <w:lang w:val="fr-CA"/>
        </w:rPr>
        <w:t>e</w:t>
      </w:r>
      <w:r w:rsidR="00E67E9B">
        <w:rPr>
          <w:rFonts w:ascii="Arial" w:hAnsi="Arial"/>
          <w:sz w:val="24"/>
          <w:lang w:val="fr-CA"/>
        </w:rPr>
        <w:t>,</w:t>
      </w:r>
      <w:r w:rsidR="007D5826" w:rsidRPr="001610E6">
        <w:rPr>
          <w:rFonts w:ascii="Arial" w:hAnsi="Arial"/>
          <w:sz w:val="24"/>
          <w:lang w:val="fr-CA"/>
        </w:rPr>
        <w:t xml:space="preserve"> </w:t>
      </w:r>
      <w:r w:rsidRPr="001610E6">
        <w:rPr>
          <w:rFonts w:ascii="Arial" w:hAnsi="Arial"/>
          <w:sz w:val="24"/>
          <w:lang w:val="fr-CA"/>
        </w:rPr>
        <w:t>si des anticorps à des antigènes de faible ou de forte incidence sont identifiés </w:t>
      </w:r>
      <w:r w:rsidR="007D5826" w:rsidRPr="001610E6">
        <w:rPr>
          <w:rFonts w:ascii="Arial" w:hAnsi="Arial"/>
          <w:sz w:val="24"/>
          <w:lang w:val="fr-CA"/>
        </w:rPr>
        <w:t>:</w:t>
      </w:r>
    </w:p>
    <w:p w:rsidR="007D5826" w:rsidRPr="001610E6" w:rsidRDefault="007D5826">
      <w:pPr>
        <w:ind w:left="2160"/>
        <w:rPr>
          <w:rFonts w:ascii="Arial" w:hAnsi="Arial"/>
          <w:sz w:val="24"/>
          <w:vertAlign w:val="superscript"/>
          <w:lang w:val="fr-CA"/>
        </w:rPr>
      </w:pPr>
      <w:r w:rsidRPr="001610E6">
        <w:rPr>
          <w:rFonts w:ascii="Arial" w:hAnsi="Arial"/>
          <w:sz w:val="24"/>
          <w:lang w:val="fr-CA"/>
        </w:rPr>
        <w:t>Ex</w:t>
      </w:r>
      <w:r w:rsidR="00B41C46" w:rsidRPr="001610E6">
        <w:rPr>
          <w:rFonts w:ascii="Arial" w:hAnsi="Arial"/>
          <w:sz w:val="24"/>
          <w:lang w:val="fr-CA"/>
        </w:rPr>
        <w:t>e</w:t>
      </w:r>
      <w:r w:rsidRPr="001610E6">
        <w:rPr>
          <w:rFonts w:ascii="Arial" w:hAnsi="Arial"/>
          <w:sz w:val="24"/>
          <w:lang w:val="fr-CA"/>
        </w:rPr>
        <w:t>mples</w:t>
      </w:r>
      <w:r w:rsidR="00F1368C" w:rsidRPr="001610E6">
        <w:rPr>
          <w:rFonts w:ascii="Arial" w:hAnsi="Arial"/>
          <w:sz w:val="24"/>
          <w:lang w:val="fr-CA"/>
        </w:rPr>
        <w:t xml:space="preserve"> </w:t>
      </w:r>
      <w:r w:rsidRPr="001610E6">
        <w:rPr>
          <w:rFonts w:ascii="Arial" w:hAnsi="Arial"/>
          <w:sz w:val="24"/>
          <w:lang w:val="fr-CA"/>
        </w:rPr>
        <w:t>: anti-k, anti-Kp</w:t>
      </w:r>
      <w:r w:rsidRPr="001610E6">
        <w:rPr>
          <w:rFonts w:ascii="Arial" w:hAnsi="Arial"/>
          <w:sz w:val="24"/>
          <w:vertAlign w:val="superscript"/>
          <w:lang w:val="fr-CA"/>
        </w:rPr>
        <w:t>a</w:t>
      </w:r>
      <w:r w:rsidRPr="001610E6">
        <w:rPr>
          <w:rFonts w:ascii="Arial" w:hAnsi="Arial"/>
          <w:sz w:val="24"/>
          <w:lang w:val="fr-CA"/>
        </w:rPr>
        <w:t>, anti-C</w:t>
      </w:r>
      <w:r w:rsidRPr="001610E6">
        <w:rPr>
          <w:rFonts w:ascii="Arial" w:hAnsi="Arial"/>
          <w:sz w:val="24"/>
          <w:vertAlign w:val="superscript"/>
          <w:lang w:val="fr-CA"/>
        </w:rPr>
        <w:t>w</w:t>
      </w:r>
      <w:r w:rsidRPr="001610E6">
        <w:rPr>
          <w:rFonts w:ascii="Arial" w:hAnsi="Arial"/>
          <w:sz w:val="24"/>
          <w:lang w:val="fr-CA"/>
        </w:rPr>
        <w:t>, anti-Lu</w:t>
      </w:r>
      <w:r w:rsidRPr="001610E6">
        <w:rPr>
          <w:rFonts w:ascii="Arial" w:hAnsi="Arial"/>
          <w:sz w:val="24"/>
          <w:vertAlign w:val="superscript"/>
          <w:lang w:val="fr-CA"/>
        </w:rPr>
        <w:t>a</w:t>
      </w:r>
      <w:r w:rsidRPr="001610E6">
        <w:rPr>
          <w:rFonts w:ascii="Arial" w:hAnsi="Arial"/>
          <w:sz w:val="24"/>
          <w:lang w:val="fr-CA"/>
        </w:rPr>
        <w:t>, anti-Lu</w:t>
      </w:r>
      <w:r w:rsidRPr="001610E6">
        <w:rPr>
          <w:rFonts w:ascii="Arial" w:hAnsi="Arial"/>
          <w:sz w:val="24"/>
          <w:vertAlign w:val="superscript"/>
          <w:lang w:val="fr-CA"/>
        </w:rPr>
        <w:t xml:space="preserve">b </w:t>
      </w:r>
    </w:p>
    <w:p w:rsidR="007D5826" w:rsidRPr="001610E6" w:rsidRDefault="007D5826">
      <w:pPr>
        <w:rPr>
          <w:rFonts w:ascii="Arial" w:hAnsi="Arial"/>
          <w:sz w:val="24"/>
          <w:lang w:val="fr-CA"/>
        </w:rPr>
      </w:pPr>
    </w:p>
    <w:p w:rsidR="004A4543" w:rsidRDefault="004A4543" w:rsidP="002704F4">
      <w:pPr>
        <w:numPr>
          <w:ilvl w:val="2"/>
          <w:numId w:val="1"/>
        </w:numPr>
        <w:rPr>
          <w:rFonts w:ascii="Arial" w:hAnsi="Arial"/>
          <w:sz w:val="24"/>
          <w:lang w:val="fr-CA"/>
        </w:rPr>
      </w:pPr>
      <w:r>
        <w:rPr>
          <w:rFonts w:ascii="Arial" w:hAnsi="Arial"/>
          <w:sz w:val="24"/>
          <w:lang w:val="fr-CA"/>
        </w:rPr>
        <w:t>Ne pas retarder la transfusion en attente des résultats du phénotypage si l’anticorps soupçonné est dirigé contre un antigène de faible incidence. Consulter la politique de l’établissement pour voir s’il est nécessaire de connaître le type d’antigène du patient.</w:t>
      </w:r>
    </w:p>
    <w:p w:rsidR="004A4543" w:rsidRDefault="004A4543" w:rsidP="004A4543">
      <w:pPr>
        <w:ind w:left="2160"/>
        <w:rPr>
          <w:rFonts w:ascii="Arial" w:hAnsi="Arial"/>
          <w:sz w:val="24"/>
          <w:lang w:val="fr-CA"/>
        </w:rPr>
      </w:pPr>
    </w:p>
    <w:p w:rsidR="007D5826" w:rsidRPr="001610E6" w:rsidRDefault="00B41C46" w:rsidP="002704F4">
      <w:pPr>
        <w:numPr>
          <w:ilvl w:val="2"/>
          <w:numId w:val="1"/>
        </w:numPr>
        <w:rPr>
          <w:rFonts w:ascii="Arial" w:hAnsi="Arial"/>
          <w:sz w:val="24"/>
          <w:lang w:val="fr-CA"/>
        </w:rPr>
      </w:pPr>
      <w:r w:rsidRPr="001610E6">
        <w:rPr>
          <w:rFonts w:ascii="Arial" w:hAnsi="Arial"/>
          <w:sz w:val="24"/>
          <w:lang w:val="fr-CA"/>
        </w:rPr>
        <w:t xml:space="preserve">Lorsqu’un anti-D est identifié, il est rarement possible de trouver les bonnes cellules de panel </w:t>
      </w:r>
      <w:r w:rsidR="007D5826" w:rsidRPr="001610E6">
        <w:rPr>
          <w:rFonts w:ascii="Arial" w:hAnsi="Arial"/>
          <w:sz w:val="24"/>
          <w:lang w:val="fr-CA"/>
        </w:rPr>
        <w:t>(homozygo</w:t>
      </w:r>
      <w:r w:rsidRPr="001610E6">
        <w:rPr>
          <w:rFonts w:ascii="Arial" w:hAnsi="Arial"/>
          <w:sz w:val="24"/>
          <w:lang w:val="fr-CA"/>
        </w:rPr>
        <w:t xml:space="preserve">tes pour </w:t>
      </w:r>
      <w:r w:rsidR="007D5826" w:rsidRPr="001610E6">
        <w:rPr>
          <w:rFonts w:ascii="Arial" w:hAnsi="Arial"/>
          <w:sz w:val="24"/>
          <w:lang w:val="fr-CA"/>
        </w:rPr>
        <w:t>C o</w:t>
      </w:r>
      <w:r w:rsidRPr="001610E6">
        <w:rPr>
          <w:rFonts w:ascii="Arial" w:hAnsi="Arial"/>
          <w:sz w:val="24"/>
          <w:lang w:val="fr-CA"/>
        </w:rPr>
        <w:t>u</w:t>
      </w:r>
      <w:r w:rsidR="007D5826" w:rsidRPr="001610E6">
        <w:rPr>
          <w:rFonts w:ascii="Arial" w:hAnsi="Arial"/>
          <w:sz w:val="24"/>
          <w:lang w:val="fr-CA"/>
        </w:rPr>
        <w:t xml:space="preserve"> E) </w:t>
      </w:r>
      <w:r w:rsidRPr="001610E6">
        <w:rPr>
          <w:rFonts w:ascii="Arial" w:hAnsi="Arial"/>
          <w:sz w:val="24"/>
          <w:lang w:val="fr-CA"/>
        </w:rPr>
        <w:t xml:space="preserve">afin d’exclure les </w:t>
      </w:r>
      <w:r w:rsidR="007D5826" w:rsidRPr="001610E6">
        <w:rPr>
          <w:rFonts w:ascii="Arial" w:hAnsi="Arial"/>
          <w:sz w:val="24"/>
          <w:lang w:val="fr-CA"/>
        </w:rPr>
        <w:t>anti-C o</w:t>
      </w:r>
      <w:r w:rsidRPr="001610E6">
        <w:rPr>
          <w:rFonts w:ascii="Arial" w:hAnsi="Arial"/>
          <w:sz w:val="24"/>
          <w:lang w:val="fr-CA"/>
        </w:rPr>
        <w:t xml:space="preserve">u les </w:t>
      </w:r>
      <w:r w:rsidR="007D5826" w:rsidRPr="001610E6">
        <w:rPr>
          <w:rFonts w:ascii="Arial" w:hAnsi="Arial"/>
          <w:sz w:val="24"/>
          <w:lang w:val="fr-CA"/>
        </w:rPr>
        <w:t xml:space="preserve">anti-E. </w:t>
      </w:r>
      <w:r w:rsidRPr="001610E6">
        <w:rPr>
          <w:rFonts w:ascii="Arial" w:hAnsi="Arial"/>
          <w:sz w:val="24"/>
          <w:lang w:val="fr-CA"/>
        </w:rPr>
        <w:t>Dans un tel cas, envisager la possibilité de faire un test de compatibilité sur des unités de donneur négatives pour CDE</w:t>
      </w:r>
      <w:r w:rsidR="007D5826" w:rsidRPr="001610E6">
        <w:rPr>
          <w:rFonts w:ascii="Arial" w:hAnsi="Arial"/>
          <w:sz w:val="24"/>
          <w:lang w:val="fr-CA"/>
        </w:rPr>
        <w:t>.</w:t>
      </w:r>
    </w:p>
    <w:p w:rsidR="007D5826" w:rsidRPr="001610E6" w:rsidRDefault="007D5826">
      <w:pPr>
        <w:ind w:left="1440"/>
        <w:rPr>
          <w:rFonts w:ascii="Arial" w:hAnsi="Arial"/>
          <w:sz w:val="24"/>
          <w:lang w:val="fr-CA"/>
        </w:rPr>
      </w:pPr>
    </w:p>
    <w:p w:rsidR="007D5826" w:rsidRPr="001610E6" w:rsidRDefault="00BF3CB6">
      <w:pPr>
        <w:numPr>
          <w:ilvl w:val="2"/>
          <w:numId w:val="1"/>
        </w:numPr>
        <w:rPr>
          <w:rFonts w:ascii="Arial" w:hAnsi="Arial"/>
          <w:sz w:val="24"/>
          <w:lang w:val="fr-CA"/>
        </w:rPr>
      </w:pPr>
      <w:r>
        <w:rPr>
          <w:rFonts w:ascii="Arial" w:hAnsi="Arial"/>
          <w:sz w:val="24"/>
          <w:lang w:val="fr-CA"/>
        </w:rPr>
        <w:t xml:space="preserve">Si les globules rouges sont couvertes d’autoanticorps IgG, il faudra les retirer des globules avant de faire un typage </w:t>
      </w:r>
      <w:r w:rsidR="0009739E" w:rsidRPr="001610E6">
        <w:rPr>
          <w:rFonts w:ascii="Arial" w:hAnsi="Arial"/>
          <w:sz w:val="24"/>
          <w:lang w:val="fr-CA"/>
        </w:rPr>
        <w:t>à l’a</w:t>
      </w:r>
      <w:r w:rsidR="0009739E">
        <w:rPr>
          <w:rFonts w:ascii="Arial" w:hAnsi="Arial"/>
          <w:sz w:val="24"/>
          <w:lang w:val="fr-CA"/>
        </w:rPr>
        <w:t>ide d’antisérums</w:t>
      </w:r>
      <w:r w:rsidR="0009739E" w:rsidRPr="001610E6">
        <w:rPr>
          <w:rFonts w:ascii="Arial" w:hAnsi="Arial"/>
          <w:sz w:val="24"/>
          <w:lang w:val="fr-CA"/>
        </w:rPr>
        <w:t xml:space="preserve"> </w:t>
      </w:r>
      <w:r w:rsidR="0009739E">
        <w:rPr>
          <w:rFonts w:ascii="Arial" w:hAnsi="Arial"/>
          <w:sz w:val="24"/>
          <w:lang w:val="fr-CA"/>
        </w:rPr>
        <w:t xml:space="preserve">utilisés dans une </w:t>
      </w:r>
      <w:r w:rsidRPr="001610E6">
        <w:rPr>
          <w:rFonts w:ascii="Arial" w:hAnsi="Arial"/>
          <w:sz w:val="24"/>
          <w:lang w:val="fr-CA"/>
        </w:rPr>
        <w:t>technique indirecte</w:t>
      </w:r>
      <w:r>
        <w:rPr>
          <w:rFonts w:ascii="Arial" w:hAnsi="Arial"/>
          <w:sz w:val="24"/>
          <w:lang w:val="fr-CA"/>
        </w:rPr>
        <w:t>. On peut modifier chimiquement les globules rouges par EGA (p. ex. chloroquine). Une autre solution serait d’utiliser des antisérums monoclonaux</w:t>
      </w:r>
      <w:r w:rsidR="007D5826" w:rsidRPr="001610E6">
        <w:rPr>
          <w:rFonts w:ascii="Arial" w:hAnsi="Arial"/>
          <w:sz w:val="24"/>
          <w:lang w:val="fr-CA"/>
        </w:rPr>
        <w:t>.</w:t>
      </w:r>
    </w:p>
    <w:p w:rsidR="007D5826" w:rsidRPr="001610E6" w:rsidRDefault="007D5826">
      <w:pPr>
        <w:ind w:left="1440"/>
        <w:rPr>
          <w:rFonts w:ascii="Arial" w:hAnsi="Arial"/>
          <w:sz w:val="24"/>
          <w:lang w:val="fr-CA"/>
        </w:rPr>
      </w:pPr>
    </w:p>
    <w:p w:rsidR="007D5826" w:rsidRDefault="00B41C46" w:rsidP="00BF3CB6">
      <w:pPr>
        <w:numPr>
          <w:ilvl w:val="1"/>
          <w:numId w:val="1"/>
        </w:numPr>
        <w:rPr>
          <w:rFonts w:ascii="Arial" w:hAnsi="Arial"/>
          <w:sz w:val="24"/>
          <w:lang w:val="fr-CA"/>
        </w:rPr>
      </w:pPr>
      <w:r w:rsidRPr="00BF3CB6">
        <w:rPr>
          <w:rFonts w:ascii="Arial" w:hAnsi="Arial"/>
          <w:sz w:val="24"/>
          <w:lang w:val="fr-CA"/>
        </w:rPr>
        <w:t>Si l</w:t>
      </w:r>
      <w:r w:rsidR="00F1368C" w:rsidRPr="00BF3CB6">
        <w:rPr>
          <w:rFonts w:ascii="Arial" w:hAnsi="Arial"/>
          <w:sz w:val="24"/>
          <w:lang w:val="fr-CA"/>
        </w:rPr>
        <w:t>e</w:t>
      </w:r>
      <w:r w:rsidRPr="00BF3CB6">
        <w:rPr>
          <w:rFonts w:ascii="Arial" w:hAnsi="Arial"/>
          <w:sz w:val="24"/>
          <w:lang w:val="fr-CA"/>
        </w:rPr>
        <w:t xml:space="preserve"> patient a reçu une transfusion au cours des 3 derniers mois, </w:t>
      </w:r>
      <w:r w:rsidR="004A4543" w:rsidRPr="00BF3CB6">
        <w:rPr>
          <w:rFonts w:ascii="Arial" w:hAnsi="Arial"/>
          <w:sz w:val="24"/>
          <w:lang w:val="fr-CA"/>
        </w:rPr>
        <w:t xml:space="preserve">procéder à une épreuve </w:t>
      </w:r>
      <w:r w:rsidR="00BF3CB6">
        <w:rPr>
          <w:rFonts w:ascii="Arial" w:hAnsi="Arial"/>
          <w:sz w:val="24"/>
          <w:lang w:val="fr-CA"/>
        </w:rPr>
        <w:t xml:space="preserve">interne </w:t>
      </w:r>
      <w:r w:rsidR="004A4543" w:rsidRPr="00BF3CB6">
        <w:rPr>
          <w:rFonts w:ascii="Arial" w:hAnsi="Arial"/>
          <w:sz w:val="24"/>
          <w:lang w:val="fr-CA"/>
        </w:rPr>
        <w:t>de génotypage ou envoyer l’échantillon à un laboratoire externe</w:t>
      </w:r>
      <w:r w:rsidR="00BF3CB6">
        <w:rPr>
          <w:rFonts w:ascii="Arial" w:hAnsi="Arial"/>
          <w:sz w:val="24"/>
          <w:lang w:val="fr-CA"/>
        </w:rPr>
        <w:t>.</w:t>
      </w:r>
    </w:p>
    <w:p w:rsidR="00BF3CB6" w:rsidRDefault="00BF3CB6" w:rsidP="00BF3CB6">
      <w:pPr>
        <w:ind w:left="1440"/>
        <w:rPr>
          <w:rFonts w:ascii="Arial" w:hAnsi="Arial"/>
          <w:sz w:val="24"/>
          <w:lang w:val="fr-CA"/>
        </w:rPr>
      </w:pPr>
    </w:p>
    <w:p w:rsidR="007D5826" w:rsidRPr="00926485" w:rsidRDefault="007D5826" w:rsidP="00926485">
      <w:pPr>
        <w:numPr>
          <w:ilvl w:val="0"/>
          <w:numId w:val="1"/>
        </w:numPr>
        <w:rPr>
          <w:rFonts w:ascii="Arial" w:hAnsi="Arial"/>
          <w:b/>
          <w:sz w:val="28"/>
          <w:lang w:val="fr-CA"/>
        </w:rPr>
      </w:pPr>
      <w:r w:rsidRPr="0043779B">
        <w:rPr>
          <w:rFonts w:ascii="Arial" w:hAnsi="Arial"/>
          <w:b/>
          <w:sz w:val="28"/>
          <w:lang w:val="fr-CA"/>
        </w:rPr>
        <w:t>R</w:t>
      </w:r>
      <w:r w:rsidR="004E36CD" w:rsidRPr="0043779B">
        <w:rPr>
          <w:rFonts w:ascii="Arial" w:hAnsi="Arial"/>
          <w:b/>
          <w:sz w:val="28"/>
          <w:lang w:val="fr-CA"/>
        </w:rPr>
        <w:t>é</w:t>
      </w:r>
      <w:r w:rsidRPr="0043779B">
        <w:rPr>
          <w:rFonts w:ascii="Arial" w:hAnsi="Arial"/>
          <w:b/>
          <w:sz w:val="28"/>
          <w:lang w:val="fr-CA"/>
        </w:rPr>
        <w:t>f</w:t>
      </w:r>
      <w:r w:rsidR="004E36CD" w:rsidRPr="0043779B">
        <w:rPr>
          <w:rFonts w:ascii="Arial" w:hAnsi="Arial"/>
          <w:b/>
          <w:sz w:val="28"/>
          <w:lang w:val="fr-CA"/>
        </w:rPr>
        <w:t>é</w:t>
      </w:r>
      <w:r w:rsidRPr="0043779B">
        <w:rPr>
          <w:rFonts w:ascii="Arial" w:hAnsi="Arial"/>
          <w:b/>
          <w:sz w:val="28"/>
          <w:lang w:val="fr-CA"/>
        </w:rPr>
        <w:t>rences</w:t>
      </w:r>
    </w:p>
    <w:p w:rsidR="0043779B" w:rsidRDefault="0043779B" w:rsidP="0043779B">
      <w:pPr>
        <w:rPr>
          <w:rFonts w:ascii="Arial" w:hAnsi="Arial"/>
          <w:i/>
          <w:sz w:val="24"/>
          <w:lang w:val="fr-CA"/>
        </w:rPr>
      </w:pPr>
    </w:p>
    <w:p w:rsidR="0043779B" w:rsidRDefault="0043779B" w:rsidP="00926485">
      <w:pPr>
        <w:numPr>
          <w:ilvl w:val="1"/>
          <w:numId w:val="1"/>
        </w:numPr>
        <w:rPr>
          <w:rFonts w:ascii="Arial" w:hAnsi="Arial"/>
          <w:sz w:val="24"/>
          <w:lang w:val="fr-CA"/>
        </w:rPr>
      </w:pPr>
      <w:r w:rsidRPr="00015ABE">
        <w:rPr>
          <w:rFonts w:ascii="Arial" w:hAnsi="Arial"/>
          <w:i/>
          <w:sz w:val="24"/>
          <w:lang w:val="fr-CA"/>
        </w:rPr>
        <w:t>Standards for Hospital Transfusion Services</w:t>
      </w:r>
      <w:r w:rsidRPr="00015ABE">
        <w:rPr>
          <w:rFonts w:ascii="Arial" w:hAnsi="Arial"/>
          <w:sz w:val="24"/>
          <w:lang w:val="fr-CA"/>
        </w:rPr>
        <w:t xml:space="preserve">, version </w:t>
      </w:r>
      <w:r w:rsidR="00BF3CB6">
        <w:rPr>
          <w:rFonts w:ascii="Arial" w:hAnsi="Arial"/>
          <w:sz w:val="24"/>
          <w:lang w:val="fr-CA"/>
        </w:rPr>
        <w:t>3</w:t>
      </w:r>
      <w:r w:rsidRPr="00015ABE">
        <w:rPr>
          <w:rFonts w:ascii="Arial" w:hAnsi="Arial"/>
          <w:sz w:val="24"/>
          <w:lang w:val="fr-CA"/>
        </w:rPr>
        <w:t xml:space="preserve">, </w:t>
      </w:r>
      <w:r w:rsidR="00BF3CB6">
        <w:rPr>
          <w:rFonts w:ascii="Arial" w:hAnsi="Arial"/>
          <w:sz w:val="24"/>
          <w:lang w:val="fr-CA"/>
        </w:rPr>
        <w:t>février 2011</w:t>
      </w:r>
      <w:r w:rsidRPr="00015ABE">
        <w:rPr>
          <w:rFonts w:ascii="Arial" w:hAnsi="Arial"/>
          <w:sz w:val="24"/>
          <w:lang w:val="fr-CA"/>
        </w:rPr>
        <w:t xml:space="preserve"> Société canadienne de médecine transfusionnelle</w:t>
      </w:r>
      <w:r w:rsidR="00BF3CB6">
        <w:rPr>
          <w:rFonts w:ascii="Arial" w:hAnsi="Arial"/>
          <w:sz w:val="24"/>
          <w:lang w:val="fr-CA"/>
        </w:rPr>
        <w:t xml:space="preserve"> : </w:t>
      </w:r>
      <w:r>
        <w:rPr>
          <w:rFonts w:ascii="Arial" w:hAnsi="Arial"/>
          <w:sz w:val="24"/>
          <w:lang w:val="fr-CA"/>
        </w:rPr>
        <w:t xml:space="preserve"> 5.3.4.3, 5.3.7.2.3.</w:t>
      </w:r>
      <w:r w:rsidRPr="0043779B">
        <w:rPr>
          <w:rFonts w:ascii="Arial" w:hAnsi="Arial"/>
          <w:sz w:val="24"/>
          <w:lang w:val="fr-CA"/>
        </w:rPr>
        <w:t xml:space="preserve"> </w:t>
      </w:r>
    </w:p>
    <w:p w:rsidR="0043779B" w:rsidRDefault="0043779B" w:rsidP="00926485">
      <w:pPr>
        <w:pStyle w:val="ListParagraph"/>
        <w:ind w:left="1428"/>
        <w:rPr>
          <w:rFonts w:ascii="Arial" w:hAnsi="Arial"/>
          <w:sz w:val="24"/>
          <w:lang w:val="fr-CA"/>
        </w:rPr>
      </w:pPr>
    </w:p>
    <w:p w:rsidR="0043779B" w:rsidRPr="00EF324E" w:rsidRDefault="0043779B" w:rsidP="00926485">
      <w:pPr>
        <w:numPr>
          <w:ilvl w:val="1"/>
          <w:numId w:val="1"/>
        </w:numPr>
        <w:rPr>
          <w:rFonts w:ascii="Arial" w:hAnsi="Arial"/>
          <w:sz w:val="24"/>
          <w:lang w:val="en-CA"/>
        </w:rPr>
      </w:pPr>
      <w:r w:rsidRPr="00EF324E">
        <w:rPr>
          <w:rFonts w:ascii="Arial" w:hAnsi="Arial"/>
          <w:sz w:val="24"/>
          <w:lang w:val="en-CA"/>
        </w:rPr>
        <w:t xml:space="preserve">ROBACK JD, éd. </w:t>
      </w:r>
      <w:r w:rsidRPr="00EF324E">
        <w:rPr>
          <w:rFonts w:ascii="Arial" w:hAnsi="Arial"/>
          <w:i/>
          <w:sz w:val="24"/>
          <w:lang w:val="en-CA"/>
        </w:rPr>
        <w:t>American Association of Blood Banks Technical Manual</w:t>
      </w:r>
      <w:r w:rsidRPr="00EF324E">
        <w:rPr>
          <w:rFonts w:ascii="Arial" w:hAnsi="Arial"/>
          <w:sz w:val="24"/>
          <w:lang w:val="en-CA"/>
        </w:rPr>
        <w:t>, 1</w:t>
      </w:r>
      <w:r w:rsidR="00BF3CB6" w:rsidRPr="00EF324E">
        <w:rPr>
          <w:rFonts w:ascii="Arial" w:hAnsi="Arial"/>
          <w:sz w:val="24"/>
          <w:lang w:val="en-CA"/>
        </w:rPr>
        <w:t>7</w:t>
      </w:r>
      <w:r w:rsidRPr="00EF324E">
        <w:rPr>
          <w:rFonts w:ascii="Arial" w:hAnsi="Arial"/>
          <w:sz w:val="24"/>
          <w:vertAlign w:val="superscript"/>
          <w:lang w:val="en-CA"/>
        </w:rPr>
        <w:t>e</w:t>
      </w:r>
      <w:r w:rsidRPr="00EF324E">
        <w:rPr>
          <w:rFonts w:ascii="Arial" w:hAnsi="Arial"/>
          <w:sz w:val="24"/>
          <w:lang w:val="en-CA"/>
        </w:rPr>
        <w:t xml:space="preserve"> éd, Bethesda, MD, American Association of Blood Banks (20</w:t>
      </w:r>
      <w:r w:rsidR="00BF3CB6" w:rsidRPr="00EF324E">
        <w:rPr>
          <w:rFonts w:ascii="Arial" w:hAnsi="Arial"/>
          <w:sz w:val="24"/>
          <w:lang w:val="en-CA"/>
        </w:rPr>
        <w:t>11</w:t>
      </w:r>
      <w:r w:rsidRPr="00EF324E">
        <w:rPr>
          <w:rFonts w:ascii="Arial" w:hAnsi="Arial"/>
          <w:sz w:val="24"/>
          <w:lang w:val="en-CA"/>
        </w:rPr>
        <w:t>)</w:t>
      </w:r>
      <w:r w:rsidR="00BF3CB6" w:rsidRPr="00EF324E">
        <w:rPr>
          <w:rFonts w:ascii="Arial" w:hAnsi="Arial"/>
          <w:sz w:val="24"/>
          <w:lang w:val="en-CA"/>
        </w:rPr>
        <w:t> : 46</w:t>
      </w:r>
      <w:r w:rsidR="00900B43" w:rsidRPr="00EF324E">
        <w:rPr>
          <w:rFonts w:ascii="Arial" w:hAnsi="Arial"/>
          <w:sz w:val="24"/>
          <w:lang w:val="en-CA"/>
        </w:rPr>
        <w:t>9</w:t>
      </w:r>
      <w:r w:rsidR="00BF3CB6" w:rsidRPr="00EF324E">
        <w:rPr>
          <w:rFonts w:ascii="Arial" w:hAnsi="Arial"/>
          <w:sz w:val="24"/>
          <w:lang w:val="en-CA"/>
        </w:rPr>
        <w:t>, 475</w:t>
      </w:r>
      <w:r w:rsidR="00926485" w:rsidRPr="00EF324E">
        <w:rPr>
          <w:rFonts w:ascii="Arial" w:hAnsi="Arial"/>
          <w:sz w:val="24"/>
          <w:lang w:val="en-CA"/>
        </w:rPr>
        <w:t>.</w:t>
      </w:r>
    </w:p>
    <w:p w:rsidR="00926485" w:rsidRPr="00EF324E" w:rsidRDefault="00926485" w:rsidP="00926485">
      <w:pPr>
        <w:ind w:left="720"/>
        <w:rPr>
          <w:rFonts w:ascii="Arial" w:hAnsi="Arial"/>
          <w:sz w:val="24"/>
          <w:lang w:val="en-CA"/>
        </w:rPr>
      </w:pPr>
    </w:p>
    <w:p w:rsidR="00926485" w:rsidRDefault="00926485" w:rsidP="00926485">
      <w:pPr>
        <w:numPr>
          <w:ilvl w:val="1"/>
          <w:numId w:val="1"/>
        </w:numPr>
        <w:rPr>
          <w:rFonts w:ascii="Arial" w:hAnsi="Arial"/>
          <w:sz w:val="24"/>
          <w:lang w:val="en-CA"/>
        </w:rPr>
      </w:pPr>
      <w:r w:rsidRPr="00EF324E">
        <w:rPr>
          <w:rFonts w:ascii="Arial" w:hAnsi="Arial"/>
          <w:sz w:val="24"/>
          <w:lang w:val="en-CA"/>
        </w:rPr>
        <w:t xml:space="preserve">JUDD WJ. </w:t>
      </w:r>
      <w:r w:rsidRPr="00EF324E">
        <w:rPr>
          <w:rFonts w:ascii="Arial" w:hAnsi="Arial"/>
          <w:i/>
          <w:sz w:val="24"/>
          <w:lang w:val="en-CA"/>
        </w:rPr>
        <w:t>Methods in immunohematology</w:t>
      </w:r>
      <w:r w:rsidRPr="00EF324E">
        <w:rPr>
          <w:rFonts w:ascii="Arial" w:hAnsi="Arial"/>
          <w:sz w:val="24"/>
          <w:lang w:val="en-CA"/>
        </w:rPr>
        <w:t xml:space="preserve">, </w:t>
      </w:r>
      <w:r w:rsidR="00BF3CB6" w:rsidRPr="00EF324E">
        <w:rPr>
          <w:rFonts w:ascii="Arial" w:hAnsi="Arial"/>
          <w:sz w:val="24"/>
          <w:lang w:val="en-CA"/>
        </w:rPr>
        <w:t>3</w:t>
      </w:r>
      <w:r w:rsidRPr="00EF324E">
        <w:rPr>
          <w:rFonts w:ascii="Arial" w:hAnsi="Arial"/>
          <w:sz w:val="24"/>
          <w:vertAlign w:val="superscript"/>
          <w:lang w:val="en-CA"/>
        </w:rPr>
        <w:t>e</w:t>
      </w:r>
      <w:r w:rsidRPr="00EF324E">
        <w:rPr>
          <w:rFonts w:ascii="Arial" w:hAnsi="Arial"/>
          <w:sz w:val="24"/>
          <w:lang w:val="en-CA"/>
        </w:rPr>
        <w:t xml:space="preserve"> éd. Durham, NC: Montgomery Scientific Publications (199</w:t>
      </w:r>
      <w:r w:rsidR="00BF3CB6" w:rsidRPr="00EF324E">
        <w:rPr>
          <w:rFonts w:ascii="Arial" w:hAnsi="Arial"/>
          <w:sz w:val="24"/>
          <w:lang w:val="en-CA"/>
        </w:rPr>
        <w:t>8</w:t>
      </w:r>
      <w:r w:rsidRPr="00EF324E">
        <w:rPr>
          <w:rFonts w:ascii="Arial" w:hAnsi="Arial"/>
          <w:sz w:val="24"/>
          <w:lang w:val="en-CA"/>
        </w:rPr>
        <w:t>)</w:t>
      </w:r>
      <w:r w:rsidR="00BF3CB6" w:rsidRPr="00EF324E">
        <w:rPr>
          <w:rFonts w:ascii="Arial" w:hAnsi="Arial"/>
          <w:sz w:val="24"/>
          <w:lang w:val="en-CA"/>
        </w:rPr>
        <w:t> : 72-73, 290-293</w:t>
      </w:r>
      <w:r w:rsidRPr="00EF324E">
        <w:rPr>
          <w:rFonts w:ascii="Arial" w:hAnsi="Arial"/>
          <w:sz w:val="24"/>
          <w:lang w:val="en-CA"/>
        </w:rPr>
        <w:t>.</w:t>
      </w:r>
    </w:p>
    <w:p w:rsidR="0060762B" w:rsidRPr="00EF324E" w:rsidRDefault="0060762B" w:rsidP="0060762B">
      <w:pPr>
        <w:rPr>
          <w:rFonts w:ascii="Arial" w:hAnsi="Arial"/>
          <w:sz w:val="24"/>
          <w:lang w:val="en-CA"/>
        </w:rPr>
      </w:pPr>
    </w:p>
    <w:p w:rsidR="00AB2E23" w:rsidRPr="00AA3396" w:rsidRDefault="00AB2E23" w:rsidP="0060762B">
      <w:pPr>
        <w:pStyle w:val="ListParagraph"/>
        <w:numPr>
          <w:ilvl w:val="0"/>
          <w:numId w:val="1"/>
        </w:numPr>
        <w:contextualSpacing/>
        <w:rPr>
          <w:rFonts w:ascii="Arial" w:hAnsi="Arial"/>
          <w:b/>
          <w:sz w:val="28"/>
          <w:lang w:val="fr-CA"/>
        </w:rPr>
      </w:pPr>
      <w:r w:rsidRPr="00AA3396">
        <w:rPr>
          <w:rFonts w:ascii="Arial" w:hAnsi="Arial"/>
          <w:b/>
          <w:sz w:val="28"/>
          <w:lang w:val="fr-CA"/>
        </w:rPr>
        <w:t>Suivi des révisions</w:t>
      </w:r>
    </w:p>
    <w:p w:rsidR="00AB2E23" w:rsidRPr="00AA3396" w:rsidRDefault="00AB2E23" w:rsidP="00AB2E23">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AB2E23" w:rsidRPr="00AA3396" w:rsidTr="00EF324E">
        <w:trPr>
          <w:cantSplit/>
        </w:trPr>
        <w:tc>
          <w:tcPr>
            <w:tcW w:w="2358" w:type="dxa"/>
            <w:shd w:val="clear" w:color="auto" w:fill="F2F2F2"/>
          </w:tcPr>
          <w:p w:rsidR="00AB2E23" w:rsidRPr="004050E8" w:rsidRDefault="00AB2E23" w:rsidP="00063CB6">
            <w:pPr>
              <w:jc w:val="center"/>
              <w:rPr>
                <w:rFonts w:ascii="Arial" w:hAnsi="Arial" w:cs="Arial"/>
                <w:b/>
                <w:sz w:val="22"/>
                <w:szCs w:val="22"/>
                <w:lang w:val="fr-CA"/>
              </w:rPr>
            </w:pPr>
            <w:r>
              <w:rPr>
                <w:rFonts w:ascii="Arial" w:hAnsi="Arial" w:cs="Arial"/>
                <w:b/>
                <w:sz w:val="22"/>
                <w:szCs w:val="22"/>
                <w:lang w:val="fr-CA"/>
              </w:rPr>
              <w:t>Date de la révision</w:t>
            </w:r>
          </w:p>
        </w:tc>
        <w:tc>
          <w:tcPr>
            <w:tcW w:w="6498" w:type="dxa"/>
            <w:shd w:val="clear" w:color="auto" w:fill="F2F2F2"/>
          </w:tcPr>
          <w:p w:rsidR="00AB2E23" w:rsidRPr="00AB78C8" w:rsidRDefault="00AB2E23" w:rsidP="00063CB6">
            <w:pPr>
              <w:jc w:val="center"/>
              <w:rPr>
                <w:rFonts w:ascii="Arial" w:hAnsi="Arial" w:cs="Arial"/>
                <w:b/>
                <w:sz w:val="22"/>
                <w:szCs w:val="22"/>
                <w:lang w:val="fr-CA"/>
              </w:rPr>
            </w:pPr>
            <w:r w:rsidRPr="00AB78C8">
              <w:rPr>
                <w:rFonts w:ascii="Arial" w:hAnsi="Arial" w:cs="Arial"/>
                <w:b/>
                <w:sz w:val="22"/>
                <w:szCs w:val="22"/>
                <w:lang w:val="fr-CA"/>
              </w:rPr>
              <w:t>Résumé des changements</w:t>
            </w:r>
          </w:p>
        </w:tc>
      </w:tr>
      <w:tr w:rsidR="00EF324E" w:rsidRPr="00AA3396" w:rsidTr="00EF324E">
        <w:trPr>
          <w:cantSplit/>
        </w:trPr>
        <w:tc>
          <w:tcPr>
            <w:tcW w:w="2358" w:type="dxa"/>
            <w:shd w:val="clear" w:color="auto" w:fill="auto"/>
          </w:tcPr>
          <w:p w:rsidR="00EF324E" w:rsidRDefault="00EF324E" w:rsidP="00EF324E">
            <w:pPr>
              <w:rPr>
                <w:rFonts w:ascii="Arial" w:hAnsi="Arial" w:cs="Arial"/>
                <w:b/>
                <w:sz w:val="22"/>
                <w:szCs w:val="22"/>
                <w:lang w:val="fr-CA"/>
              </w:rPr>
            </w:pPr>
            <w:r>
              <w:rPr>
                <w:rFonts w:ascii="Arial" w:hAnsi="Arial"/>
                <w:sz w:val="22"/>
                <w:szCs w:val="22"/>
                <w:lang w:val="fr-CA"/>
              </w:rPr>
              <w:t>1</w:t>
            </w:r>
            <w:r w:rsidRPr="009D4308">
              <w:rPr>
                <w:rFonts w:ascii="Arial" w:hAnsi="Arial"/>
                <w:sz w:val="22"/>
                <w:szCs w:val="22"/>
                <w:vertAlign w:val="superscript"/>
                <w:lang w:val="fr-CA"/>
              </w:rPr>
              <w:t>er</w:t>
            </w:r>
            <w:r>
              <w:rPr>
                <w:rFonts w:ascii="Arial" w:hAnsi="Arial"/>
                <w:sz w:val="22"/>
                <w:szCs w:val="22"/>
                <w:lang w:val="fr-CA"/>
              </w:rPr>
              <w:t xml:space="preserve"> mars</w:t>
            </w:r>
            <w:r w:rsidRPr="00AA3396">
              <w:rPr>
                <w:rFonts w:ascii="Arial" w:hAnsi="Arial"/>
                <w:sz w:val="22"/>
                <w:szCs w:val="22"/>
                <w:lang w:val="fr-CA"/>
              </w:rPr>
              <w:t xml:space="preserve"> 2014</w:t>
            </w:r>
          </w:p>
        </w:tc>
        <w:tc>
          <w:tcPr>
            <w:tcW w:w="6498" w:type="dxa"/>
            <w:shd w:val="clear" w:color="auto" w:fill="auto"/>
          </w:tcPr>
          <w:p w:rsidR="00EF324E" w:rsidRPr="00AB78C8" w:rsidRDefault="00EF324E" w:rsidP="00EF324E">
            <w:pPr>
              <w:pStyle w:val="ListParagraph"/>
              <w:numPr>
                <w:ilvl w:val="0"/>
                <w:numId w:val="7"/>
              </w:numPr>
              <w:ind w:left="317" w:hanging="317"/>
              <w:contextualSpacing/>
              <w:rPr>
                <w:rFonts w:ascii="Arial" w:hAnsi="Arial" w:cs="Arial"/>
                <w:sz w:val="22"/>
                <w:szCs w:val="22"/>
                <w:lang w:val="fr-CA"/>
              </w:rPr>
            </w:pPr>
            <w:r>
              <w:rPr>
                <w:rFonts w:ascii="Arial" w:hAnsi="Arial" w:cs="Arial"/>
                <w:sz w:val="22"/>
                <w:szCs w:val="22"/>
                <w:lang w:val="fr-CA"/>
              </w:rPr>
              <w:tab/>
              <w:t>C</w:t>
            </w:r>
            <w:r w:rsidRPr="00AB78C8">
              <w:rPr>
                <w:rFonts w:ascii="Arial" w:hAnsi="Arial" w:cs="Arial"/>
                <w:sz w:val="22"/>
                <w:szCs w:val="22"/>
                <w:lang w:val="fr-CA"/>
              </w:rPr>
              <w:t xml:space="preserve">hangement du nom du manuel </w:t>
            </w:r>
          </w:p>
          <w:p w:rsidR="00EF324E" w:rsidRDefault="00EF324E" w:rsidP="00EF324E">
            <w:pPr>
              <w:numPr>
                <w:ilvl w:val="0"/>
                <w:numId w:val="7"/>
              </w:numPr>
              <w:ind w:left="317" w:hanging="317"/>
              <w:rPr>
                <w:rFonts w:ascii="Arial" w:hAnsi="Arial"/>
                <w:sz w:val="22"/>
                <w:szCs w:val="22"/>
                <w:lang w:val="fr-CA"/>
              </w:rPr>
            </w:pPr>
            <w:r>
              <w:rPr>
                <w:rFonts w:ascii="Arial" w:hAnsi="Arial"/>
                <w:sz w:val="22"/>
                <w:lang w:val="fr-CA"/>
              </w:rPr>
              <w:tab/>
            </w:r>
            <w:r w:rsidRPr="00AB78C8">
              <w:rPr>
                <w:rFonts w:ascii="Arial" w:hAnsi="Arial"/>
                <w:sz w:val="22"/>
                <w:lang w:val="fr-CA"/>
              </w:rPr>
              <w:t xml:space="preserve">Modification </w:t>
            </w:r>
            <w:r>
              <w:rPr>
                <w:rFonts w:ascii="Arial" w:hAnsi="Arial"/>
                <w:sz w:val="22"/>
                <w:lang w:val="fr-CA"/>
              </w:rPr>
              <w:t xml:space="preserve">du libellé de la section 6.3 pour préciser : </w:t>
            </w:r>
            <w:r w:rsidRPr="0009739E">
              <w:rPr>
                <w:rFonts w:ascii="Arial" w:hAnsi="Arial"/>
                <w:sz w:val="22"/>
                <w:szCs w:val="22"/>
                <w:lang w:val="fr-CA"/>
              </w:rPr>
              <w:t>« Centrifuger le ou les échantillons 5 minutes à 3500 rpm ou l’équivalent</w:t>
            </w:r>
            <w:r>
              <w:rPr>
                <w:rFonts w:ascii="Arial" w:hAnsi="Arial"/>
                <w:sz w:val="22"/>
                <w:szCs w:val="22"/>
                <w:lang w:val="fr-CA"/>
              </w:rPr>
              <w:t> »</w:t>
            </w:r>
            <w:r w:rsidRPr="0009739E">
              <w:rPr>
                <w:rFonts w:ascii="Arial" w:hAnsi="Arial"/>
                <w:sz w:val="22"/>
                <w:szCs w:val="22"/>
                <w:lang w:val="fr-CA"/>
              </w:rPr>
              <w:t>.</w:t>
            </w:r>
          </w:p>
          <w:p w:rsidR="00EF324E" w:rsidRPr="00AB78C8" w:rsidRDefault="00EF324E" w:rsidP="00EF324E">
            <w:pPr>
              <w:pStyle w:val="ListParagraph"/>
              <w:numPr>
                <w:ilvl w:val="0"/>
                <w:numId w:val="6"/>
              </w:numPr>
              <w:tabs>
                <w:tab w:val="left" w:pos="720"/>
              </w:tabs>
              <w:spacing w:line="228" w:lineRule="auto"/>
              <w:contextualSpacing/>
              <w:rPr>
                <w:rFonts w:ascii="Arial" w:hAnsi="Arial" w:cs="Arial"/>
                <w:b/>
                <w:sz w:val="22"/>
                <w:szCs w:val="22"/>
                <w:lang w:val="fr-CA"/>
              </w:rPr>
            </w:pPr>
            <w:r>
              <w:rPr>
                <w:rFonts w:ascii="Arial" w:hAnsi="Arial"/>
                <w:sz w:val="22"/>
                <w:lang w:val="fr-CA"/>
              </w:rPr>
              <w:t>Changement du libellé de la section 6.9 à « Pipetter 3 gouttes » conformément à la référence 9.3.</w:t>
            </w:r>
          </w:p>
        </w:tc>
      </w:tr>
      <w:tr w:rsidR="00AB2E23" w:rsidRPr="00AA3396" w:rsidTr="00EF324E">
        <w:trPr>
          <w:cantSplit/>
          <w:trHeight w:val="1513"/>
        </w:trPr>
        <w:tc>
          <w:tcPr>
            <w:tcW w:w="2358" w:type="dxa"/>
          </w:tcPr>
          <w:p w:rsidR="00AB2E23" w:rsidRPr="00AA3396" w:rsidRDefault="00AB2E23" w:rsidP="00063CB6">
            <w:pPr>
              <w:keepLines/>
              <w:widowControl w:val="0"/>
              <w:rPr>
                <w:rFonts w:ascii="Arial" w:hAnsi="Arial"/>
                <w:sz w:val="22"/>
                <w:szCs w:val="22"/>
                <w:lang w:val="fr-CA"/>
              </w:rPr>
            </w:pPr>
          </w:p>
        </w:tc>
        <w:tc>
          <w:tcPr>
            <w:tcW w:w="6498" w:type="dxa"/>
          </w:tcPr>
          <w:p w:rsidR="0009739E" w:rsidRDefault="0009739E" w:rsidP="00063CB6">
            <w:pPr>
              <w:pStyle w:val="ListParagraph"/>
              <w:numPr>
                <w:ilvl w:val="0"/>
                <w:numId w:val="6"/>
              </w:numPr>
              <w:tabs>
                <w:tab w:val="left" w:pos="720"/>
              </w:tabs>
              <w:spacing w:line="228" w:lineRule="auto"/>
              <w:contextualSpacing/>
              <w:rPr>
                <w:rFonts w:ascii="Arial" w:hAnsi="Arial"/>
                <w:sz w:val="22"/>
                <w:lang w:val="fr-CA"/>
              </w:rPr>
            </w:pPr>
            <w:r>
              <w:rPr>
                <w:rFonts w:ascii="Arial" w:hAnsi="Arial"/>
                <w:sz w:val="22"/>
                <w:lang w:val="fr-CA"/>
              </w:rPr>
              <w:t xml:space="preserve">À la section, 6.16.5 – changé PA.006 pour AR.001 </w:t>
            </w:r>
          </w:p>
          <w:p w:rsidR="00AB2E23" w:rsidRDefault="00AB2E23" w:rsidP="00063CB6">
            <w:pPr>
              <w:pStyle w:val="ListParagraph"/>
              <w:numPr>
                <w:ilvl w:val="0"/>
                <w:numId w:val="6"/>
              </w:numPr>
              <w:tabs>
                <w:tab w:val="left" w:pos="720"/>
              </w:tabs>
              <w:spacing w:line="228" w:lineRule="auto"/>
              <w:contextualSpacing/>
              <w:rPr>
                <w:rFonts w:ascii="Arial" w:hAnsi="Arial"/>
                <w:sz w:val="22"/>
                <w:lang w:val="fr-CA"/>
              </w:rPr>
            </w:pPr>
            <w:r>
              <w:rPr>
                <w:rFonts w:ascii="Arial" w:hAnsi="Arial"/>
                <w:sz w:val="22"/>
                <w:lang w:val="fr-CA"/>
              </w:rPr>
              <w:t>Renumérotation de</w:t>
            </w:r>
            <w:r w:rsidR="0009739E">
              <w:rPr>
                <w:rFonts w:ascii="Arial" w:hAnsi="Arial"/>
                <w:sz w:val="22"/>
                <w:lang w:val="fr-CA"/>
              </w:rPr>
              <w:t xml:space="preserve"> la section 7.0</w:t>
            </w:r>
          </w:p>
          <w:p w:rsidR="0009739E" w:rsidRPr="0009739E" w:rsidRDefault="00AB2E23" w:rsidP="00063CB6">
            <w:pPr>
              <w:numPr>
                <w:ilvl w:val="0"/>
                <w:numId w:val="6"/>
              </w:numPr>
              <w:rPr>
                <w:rFonts w:ascii="Arial" w:hAnsi="Arial"/>
                <w:sz w:val="22"/>
                <w:lang w:val="fr-CA"/>
              </w:rPr>
            </w:pPr>
            <w:r>
              <w:rPr>
                <w:rFonts w:ascii="Arial" w:hAnsi="Arial"/>
                <w:sz w:val="22"/>
                <w:lang w:val="fr-CA"/>
              </w:rPr>
              <w:t xml:space="preserve">Ajout à la section </w:t>
            </w:r>
            <w:r w:rsidR="0009739E">
              <w:rPr>
                <w:rFonts w:ascii="Arial" w:hAnsi="Arial"/>
                <w:sz w:val="22"/>
                <w:lang w:val="fr-CA"/>
              </w:rPr>
              <w:t>8.2</w:t>
            </w:r>
            <w:r>
              <w:rPr>
                <w:rFonts w:ascii="Arial" w:hAnsi="Arial"/>
                <w:sz w:val="22"/>
                <w:lang w:val="fr-CA"/>
              </w:rPr>
              <w:t> : « </w:t>
            </w:r>
            <w:r w:rsidR="0009739E" w:rsidRPr="0009739E">
              <w:rPr>
                <w:rFonts w:ascii="Arial" w:hAnsi="Arial"/>
                <w:sz w:val="22"/>
                <w:lang w:val="fr-CA"/>
              </w:rPr>
              <w:t>Il faut vérifier le dossier du patient pour confirmer une injection récente d’IgG.</w:t>
            </w:r>
          </w:p>
          <w:p w:rsidR="0009739E" w:rsidRPr="0009739E" w:rsidRDefault="0009739E" w:rsidP="00063CB6">
            <w:pPr>
              <w:numPr>
                <w:ilvl w:val="0"/>
                <w:numId w:val="6"/>
              </w:numPr>
              <w:rPr>
                <w:rFonts w:ascii="Arial" w:hAnsi="Arial"/>
                <w:sz w:val="22"/>
                <w:szCs w:val="22"/>
                <w:lang w:val="fr-CA"/>
              </w:rPr>
            </w:pPr>
            <w:r>
              <w:rPr>
                <w:rFonts w:ascii="Arial" w:hAnsi="Arial"/>
                <w:sz w:val="22"/>
                <w:lang w:val="fr-CA"/>
              </w:rPr>
              <w:t>Modification au libellé des sections 8.3.5 et 8.4</w:t>
            </w:r>
          </w:p>
          <w:p w:rsidR="00AB2E23" w:rsidRPr="00AB78C8" w:rsidRDefault="00AB2E23" w:rsidP="00063CB6">
            <w:pPr>
              <w:numPr>
                <w:ilvl w:val="0"/>
                <w:numId w:val="6"/>
              </w:numPr>
              <w:rPr>
                <w:rFonts w:ascii="Arial" w:hAnsi="Arial"/>
                <w:sz w:val="22"/>
                <w:szCs w:val="22"/>
                <w:lang w:val="fr-CA"/>
              </w:rPr>
            </w:pPr>
            <w:r w:rsidRPr="00AB78C8">
              <w:rPr>
                <w:rFonts w:ascii="Arial" w:hAnsi="Arial"/>
                <w:sz w:val="22"/>
                <w:szCs w:val="22"/>
                <w:lang w:val="fr-CA"/>
              </w:rPr>
              <w:t>Mise à jour des références</w:t>
            </w:r>
          </w:p>
        </w:tc>
      </w:tr>
    </w:tbl>
    <w:p w:rsidR="00AB2E23" w:rsidRDefault="00AB2E23" w:rsidP="00AB2E23">
      <w:pPr>
        <w:ind w:left="720"/>
        <w:rPr>
          <w:rFonts w:ascii="Arial" w:hAnsi="Arial"/>
          <w:sz w:val="24"/>
          <w:lang w:val="fr-CA"/>
        </w:rPr>
      </w:pPr>
    </w:p>
    <w:p w:rsidR="00AB2E23" w:rsidRPr="001610E6" w:rsidRDefault="00AB2E23" w:rsidP="0043779B">
      <w:pPr>
        <w:spacing w:line="228" w:lineRule="auto"/>
        <w:rPr>
          <w:rFonts w:ascii="Arial" w:hAnsi="Arial" w:cs="Arial"/>
          <w:sz w:val="24"/>
          <w:lang w:val="fr-CA"/>
        </w:rPr>
      </w:pPr>
    </w:p>
    <w:sectPr w:rsidR="00AB2E23" w:rsidRPr="001610E6">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7B" w:rsidRDefault="0025307B">
      <w:r>
        <w:separator/>
      </w:r>
    </w:p>
  </w:endnote>
  <w:endnote w:type="continuationSeparator" w:id="0">
    <w:p w:rsidR="0025307B" w:rsidRDefault="0025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2149">
      <w:trPr>
        <w:trHeight w:val="720"/>
      </w:trPr>
      <w:tc>
        <w:tcPr>
          <w:tcW w:w="1368" w:type="dxa"/>
        </w:tcPr>
        <w:p w:rsidR="00892149" w:rsidRDefault="00892149">
          <w:pPr>
            <w:pStyle w:val="Footer"/>
            <w:jc w:val="center"/>
            <w:rPr>
              <w:rFonts w:ascii="Verdana" w:hAnsi="Verdana"/>
              <w:sz w:val="8"/>
            </w:rPr>
          </w:pPr>
        </w:p>
        <w:p w:rsidR="00892149" w:rsidRDefault="00AB30F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92149" w:rsidRDefault="00892149">
          <w:pPr>
            <w:pStyle w:val="Footer"/>
            <w:jc w:val="center"/>
            <w:rPr>
              <w:rFonts w:ascii="Arial" w:hAnsi="Arial"/>
              <w:sz w:val="18"/>
            </w:rPr>
          </w:pPr>
        </w:p>
        <w:p w:rsidR="00AB2E23" w:rsidRDefault="00AB2E23" w:rsidP="00AB2E23">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2149" w:rsidRPr="00EF324E" w:rsidRDefault="00AB2E23" w:rsidP="00AB2E23">
          <w:pPr>
            <w:pStyle w:val="Footer"/>
            <w:jc w:val="center"/>
            <w:rPr>
              <w:rFonts w:ascii="Arial" w:hAnsi="Arial"/>
              <w:sz w:val="18"/>
              <w:lang w:val="fr-CA"/>
            </w:rPr>
          </w:pPr>
          <w:r>
            <w:rPr>
              <w:rFonts w:ascii="Arial" w:hAnsi="Arial"/>
              <w:sz w:val="18"/>
              <w:lang w:val="fr-CA"/>
            </w:rPr>
            <w:t>Manuel de ressources techniques en transfusion de l’Ontario</w:t>
          </w:r>
          <w:r w:rsidRPr="00EF324E">
            <w:rPr>
              <w:rFonts w:ascii="Arial" w:hAnsi="Arial"/>
              <w:sz w:val="18"/>
              <w:lang w:val="fr-CA"/>
            </w:rPr>
            <w:t xml:space="preserve"> </w:t>
          </w:r>
        </w:p>
      </w:tc>
      <w:tc>
        <w:tcPr>
          <w:tcW w:w="1494" w:type="dxa"/>
        </w:tcPr>
        <w:p w:rsidR="00892149" w:rsidRPr="00EF324E" w:rsidRDefault="00892149">
          <w:pPr>
            <w:pStyle w:val="Footer"/>
            <w:jc w:val="right"/>
            <w:rPr>
              <w:rFonts w:ascii="Arial" w:hAnsi="Arial"/>
              <w:sz w:val="18"/>
              <w:lang w:val="fr-CA"/>
            </w:rPr>
          </w:pPr>
        </w:p>
        <w:p w:rsidR="00892149" w:rsidRDefault="00892149" w:rsidP="00AB2E23">
          <w:pPr>
            <w:pStyle w:val="Footer"/>
            <w:jc w:val="right"/>
            <w:rPr>
              <w:rFonts w:ascii="Arial" w:hAnsi="Arial"/>
              <w:sz w:val="18"/>
            </w:rPr>
          </w:pPr>
          <w:r>
            <w:rPr>
              <w:rFonts w:ascii="Arial" w:hAnsi="Arial"/>
              <w:sz w:val="18"/>
            </w:rPr>
            <w:t>EC.007</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0850AC">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0850AC">
            <w:rPr>
              <w:rFonts w:ascii="Arial" w:hAnsi="Arial"/>
              <w:noProof/>
              <w:snapToGrid w:val="0"/>
              <w:sz w:val="18"/>
            </w:rPr>
            <w:t>9</w:t>
          </w:r>
          <w:r>
            <w:rPr>
              <w:rFonts w:ascii="Arial" w:hAnsi="Arial"/>
              <w:snapToGrid w:val="0"/>
              <w:sz w:val="18"/>
            </w:rPr>
            <w:fldChar w:fldCharType="end"/>
          </w:r>
        </w:p>
      </w:tc>
    </w:tr>
  </w:tbl>
  <w:p w:rsidR="00892149" w:rsidRDefault="00892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2149" w:rsidRPr="004E36CD">
      <w:trPr>
        <w:trHeight w:val="720"/>
      </w:trPr>
      <w:tc>
        <w:tcPr>
          <w:tcW w:w="1368" w:type="dxa"/>
        </w:tcPr>
        <w:p w:rsidR="00892149" w:rsidRPr="004E36CD" w:rsidRDefault="00892149">
          <w:pPr>
            <w:pStyle w:val="Footer"/>
            <w:jc w:val="center"/>
            <w:rPr>
              <w:rFonts w:ascii="Verdana" w:hAnsi="Verdana"/>
              <w:sz w:val="8"/>
              <w:lang w:val="fr-CA"/>
            </w:rPr>
          </w:pPr>
        </w:p>
        <w:p w:rsidR="00892149" w:rsidRPr="004E36CD" w:rsidRDefault="00AB30FB">
          <w:pPr>
            <w:pStyle w:val="Footer"/>
            <w:jc w:val="center"/>
            <w:rPr>
              <w:rFonts w:ascii="Verdana" w:hAnsi="Verdana"/>
              <w:sz w:val="8"/>
              <w:lang w:val="fr-CA"/>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92149" w:rsidRPr="004E36CD" w:rsidRDefault="00892149">
          <w:pPr>
            <w:pStyle w:val="Footer"/>
            <w:jc w:val="center"/>
            <w:rPr>
              <w:rFonts w:ascii="Arial" w:hAnsi="Arial"/>
              <w:sz w:val="18"/>
              <w:lang w:val="fr-CA"/>
            </w:rPr>
          </w:pPr>
        </w:p>
        <w:p w:rsidR="00AB2E23" w:rsidRDefault="00AB2E23" w:rsidP="00AB2E23">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2149" w:rsidRPr="004E36CD" w:rsidRDefault="00AB2E23" w:rsidP="00AB2E23">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892149" w:rsidRPr="004E36CD" w:rsidRDefault="00892149">
          <w:pPr>
            <w:pStyle w:val="Footer"/>
            <w:jc w:val="right"/>
            <w:rPr>
              <w:rFonts w:ascii="Arial" w:hAnsi="Arial"/>
              <w:sz w:val="18"/>
              <w:lang w:val="fr-CA"/>
            </w:rPr>
          </w:pPr>
        </w:p>
        <w:p w:rsidR="00892149" w:rsidRPr="004E36CD" w:rsidRDefault="00892149" w:rsidP="00AB2E23">
          <w:pPr>
            <w:pStyle w:val="Footer"/>
            <w:jc w:val="right"/>
            <w:rPr>
              <w:rFonts w:ascii="Arial" w:hAnsi="Arial"/>
              <w:sz w:val="18"/>
              <w:lang w:val="fr-CA"/>
            </w:rPr>
          </w:pPr>
          <w:r w:rsidRPr="004E36CD">
            <w:rPr>
              <w:rFonts w:ascii="Arial" w:hAnsi="Arial"/>
              <w:sz w:val="18"/>
              <w:lang w:val="fr-CA"/>
            </w:rPr>
            <w:t>EC.007</w:t>
          </w:r>
          <w:r w:rsidRPr="004E36CD">
            <w:rPr>
              <w:rFonts w:ascii="Arial" w:hAnsi="Arial"/>
              <w:sz w:val="18"/>
              <w:lang w:val="fr-CA"/>
            </w:rPr>
            <w:br/>
          </w:r>
          <w:r w:rsidRPr="004E36CD">
            <w:rPr>
              <w:rFonts w:ascii="Arial" w:hAnsi="Arial"/>
              <w:snapToGrid w:val="0"/>
              <w:sz w:val="18"/>
              <w:lang w:val="fr-CA"/>
            </w:rPr>
            <w:t xml:space="preserve">Page </w:t>
          </w:r>
          <w:r w:rsidRPr="004E36CD">
            <w:rPr>
              <w:rFonts w:ascii="Arial" w:hAnsi="Arial"/>
              <w:snapToGrid w:val="0"/>
              <w:sz w:val="18"/>
              <w:lang w:val="fr-CA"/>
            </w:rPr>
            <w:fldChar w:fldCharType="begin"/>
          </w:r>
          <w:r w:rsidRPr="004E36CD">
            <w:rPr>
              <w:rFonts w:ascii="Arial" w:hAnsi="Arial"/>
              <w:snapToGrid w:val="0"/>
              <w:sz w:val="18"/>
              <w:lang w:val="fr-CA"/>
            </w:rPr>
            <w:instrText xml:space="preserve"> PAGE </w:instrText>
          </w:r>
          <w:r w:rsidRPr="004E36CD">
            <w:rPr>
              <w:rFonts w:ascii="Arial" w:hAnsi="Arial"/>
              <w:snapToGrid w:val="0"/>
              <w:sz w:val="18"/>
              <w:lang w:val="fr-CA"/>
            </w:rPr>
            <w:fldChar w:fldCharType="separate"/>
          </w:r>
          <w:r w:rsidR="000850AC">
            <w:rPr>
              <w:rFonts w:ascii="Arial" w:hAnsi="Arial"/>
              <w:noProof/>
              <w:snapToGrid w:val="0"/>
              <w:sz w:val="18"/>
              <w:lang w:val="fr-CA"/>
            </w:rPr>
            <w:t>1</w:t>
          </w:r>
          <w:r w:rsidRPr="004E36CD">
            <w:rPr>
              <w:rFonts w:ascii="Arial" w:hAnsi="Arial"/>
              <w:snapToGrid w:val="0"/>
              <w:sz w:val="18"/>
              <w:lang w:val="fr-CA"/>
            </w:rPr>
            <w:fldChar w:fldCharType="end"/>
          </w:r>
          <w:r w:rsidRPr="004E36CD">
            <w:rPr>
              <w:rFonts w:ascii="Arial" w:hAnsi="Arial"/>
              <w:snapToGrid w:val="0"/>
              <w:sz w:val="18"/>
              <w:lang w:val="fr-CA"/>
            </w:rPr>
            <w:t xml:space="preserve"> de </w:t>
          </w:r>
          <w:r w:rsidRPr="004E36CD">
            <w:rPr>
              <w:rFonts w:ascii="Arial" w:hAnsi="Arial"/>
              <w:snapToGrid w:val="0"/>
              <w:sz w:val="18"/>
              <w:lang w:val="fr-CA"/>
            </w:rPr>
            <w:fldChar w:fldCharType="begin"/>
          </w:r>
          <w:r w:rsidRPr="004E36CD">
            <w:rPr>
              <w:rFonts w:ascii="Arial" w:hAnsi="Arial"/>
              <w:snapToGrid w:val="0"/>
              <w:sz w:val="18"/>
              <w:lang w:val="fr-CA"/>
            </w:rPr>
            <w:instrText xml:space="preserve"> NUMPAGES </w:instrText>
          </w:r>
          <w:r w:rsidRPr="004E36CD">
            <w:rPr>
              <w:rFonts w:ascii="Arial" w:hAnsi="Arial"/>
              <w:snapToGrid w:val="0"/>
              <w:sz w:val="18"/>
              <w:lang w:val="fr-CA"/>
            </w:rPr>
            <w:fldChar w:fldCharType="separate"/>
          </w:r>
          <w:r w:rsidR="000850AC">
            <w:rPr>
              <w:rFonts w:ascii="Arial" w:hAnsi="Arial"/>
              <w:noProof/>
              <w:snapToGrid w:val="0"/>
              <w:sz w:val="18"/>
              <w:lang w:val="fr-CA"/>
            </w:rPr>
            <w:t>1</w:t>
          </w:r>
          <w:r w:rsidRPr="004E36CD">
            <w:rPr>
              <w:rFonts w:ascii="Arial" w:hAnsi="Arial"/>
              <w:snapToGrid w:val="0"/>
              <w:sz w:val="18"/>
              <w:lang w:val="fr-CA"/>
            </w:rPr>
            <w:fldChar w:fldCharType="end"/>
          </w:r>
        </w:p>
      </w:tc>
    </w:tr>
  </w:tbl>
  <w:p w:rsidR="00892149" w:rsidRPr="004E36CD" w:rsidRDefault="00892149">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7B" w:rsidRDefault="0025307B">
      <w:r>
        <w:separator/>
      </w:r>
    </w:p>
  </w:footnote>
  <w:footnote w:type="continuationSeparator" w:id="0">
    <w:p w:rsidR="0025307B" w:rsidRDefault="0025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49" w:rsidRPr="0062470C" w:rsidRDefault="00892149" w:rsidP="00D76B11">
    <w:pPr>
      <w:pStyle w:val="Header"/>
      <w:jc w:val="center"/>
      <w:rPr>
        <w:rFonts w:ascii="Arial" w:hAnsi="Arial"/>
        <w:b/>
        <w:sz w:val="28"/>
        <w:lang w:val="fr-CA"/>
      </w:rPr>
    </w:pPr>
    <w:r w:rsidRPr="0062470C">
      <w:rPr>
        <w:rFonts w:ascii="Arial" w:hAnsi="Arial"/>
        <w:b/>
        <w:sz w:val="28"/>
        <w:lang w:val="fr-CA"/>
      </w:rPr>
      <w:t>Identification d'anticorps réactifs chauds</w:t>
    </w:r>
  </w:p>
  <w:p w:rsidR="00892149" w:rsidRDefault="00892149">
    <w:pPr>
      <w:pStyle w:val="Header"/>
      <w:jc w:val="center"/>
      <w:rPr>
        <w:rFonts w:ascii="Arial" w:hAnsi="Arial"/>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1A" w:rsidRDefault="00AB30FB" w:rsidP="00336F1A">
    <w:pPr>
      <w:pStyle w:val="Header"/>
      <w:tabs>
        <w:tab w:val="clear" w:pos="8640"/>
        <w:tab w:val="left" w:pos="4783"/>
      </w:tabs>
      <w:rPr>
        <w:rFonts w:ascii="Verdana" w:hAnsi="Verdana"/>
        <w:sz w:val="8"/>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EF324E" w:rsidRDefault="00EF324E" w:rsidP="00336F1A">
    <w:pPr>
      <w:pStyle w:val="Header"/>
      <w:tabs>
        <w:tab w:val="clear" w:pos="8640"/>
        <w:tab w:val="left" w:pos="4783"/>
      </w:tabs>
      <w:rPr>
        <w:lang w:val="fr-CA"/>
      </w:rPr>
    </w:pPr>
  </w:p>
  <w:p w:rsidR="00AB2E23" w:rsidRPr="00EF324E" w:rsidRDefault="00AB2E23" w:rsidP="00AB2E23">
    <w:pPr>
      <w:pStyle w:val="Header"/>
      <w:jc w:val="center"/>
      <w:rPr>
        <w:rFonts w:ascii="Arial" w:hAnsi="Arial" w:cs="Arial"/>
        <w:b/>
        <w:bCs/>
        <w:sz w:val="24"/>
        <w:szCs w:val="28"/>
        <w:lang w:val="fr-CA"/>
      </w:rPr>
    </w:pPr>
    <w:r w:rsidRPr="00EF324E">
      <w:rPr>
        <w:rFonts w:ascii="Arial" w:hAnsi="Arial" w:cs="Arial"/>
        <w:b/>
        <w:bCs/>
        <w:sz w:val="24"/>
        <w:szCs w:val="28"/>
        <w:lang w:val="fr-CA"/>
      </w:rPr>
      <w:t>Réseau régional ontarien de coordination du sang</w:t>
    </w:r>
  </w:p>
  <w:p w:rsidR="00892149" w:rsidRPr="00EF324E" w:rsidRDefault="00AB2E23" w:rsidP="00AB2E23">
    <w:pPr>
      <w:pStyle w:val="Header"/>
      <w:jc w:val="center"/>
      <w:rPr>
        <w:rFonts w:ascii="Arial" w:hAnsi="Arial" w:cs="Arial"/>
        <w:b/>
        <w:bCs/>
        <w:sz w:val="24"/>
        <w:szCs w:val="28"/>
        <w:lang w:val="fr-CA"/>
      </w:rPr>
    </w:pPr>
    <w:r w:rsidRPr="00EF324E">
      <w:rPr>
        <w:rFonts w:ascii="Arial" w:hAnsi="Arial" w:cs="Arial"/>
        <w:b/>
        <w:bCs/>
        <w:sz w:val="24"/>
        <w:szCs w:val="28"/>
        <w:lang w:val="fr-CA"/>
      </w:rPr>
      <w:t>Manuel de ressources techniques en transfusion de l’Ontario</w:t>
    </w:r>
  </w:p>
  <w:p w:rsidR="00AB2E23" w:rsidRPr="00D76B11" w:rsidRDefault="00AB2E23" w:rsidP="00AB2E23">
    <w:pPr>
      <w:pStyle w:val="Header"/>
      <w:jc w:val="center"/>
      <w:rPr>
        <w:rFonts w:ascii="Arial" w:hAnsi="Arial" w:cs="Arial"/>
        <w:b/>
        <w:bCs/>
        <w:sz w:val="22"/>
        <w:lang w:val="fr-CA"/>
      </w:rPr>
    </w:pPr>
  </w:p>
  <w:p w:rsidR="00892149" w:rsidRPr="0062470C" w:rsidRDefault="00892149">
    <w:pPr>
      <w:pStyle w:val="Header"/>
      <w:jc w:val="center"/>
      <w:rPr>
        <w:rFonts w:ascii="Arial" w:hAnsi="Arial"/>
        <w:b/>
        <w:sz w:val="28"/>
        <w:lang w:val="fr-CA"/>
      </w:rPr>
    </w:pPr>
    <w:r w:rsidRPr="0062470C">
      <w:rPr>
        <w:rFonts w:ascii="Arial" w:hAnsi="Arial"/>
        <w:b/>
        <w:sz w:val="28"/>
        <w:lang w:val="fr-CA"/>
      </w:rPr>
      <w:t>Identification d'anticorps réactifs chauds</w:t>
    </w:r>
  </w:p>
  <w:p w:rsidR="00892149" w:rsidRPr="00D76B11" w:rsidRDefault="00892149">
    <w:pPr>
      <w:pStyle w:val="Header"/>
      <w:jc w:val="center"/>
      <w:rPr>
        <w:rFonts w:ascii="Arial" w:hAnsi="Arial"/>
        <w:b/>
        <w:sz w:val="28"/>
        <w:lang w:val="fr-CA"/>
      </w:rPr>
    </w:pPr>
  </w:p>
  <w:p w:rsidR="00892149" w:rsidRPr="00D76B11" w:rsidRDefault="00892149">
    <w:pPr>
      <w:pStyle w:val="Header"/>
      <w:tabs>
        <w:tab w:val="left" w:pos="6617"/>
      </w:tabs>
      <w:jc w:val="center"/>
      <w:rPr>
        <w:rFonts w:ascii="Arial" w:hAnsi="Arial" w:cs="Arial"/>
        <w:b/>
        <w:bCs/>
        <w:lang w:val="fr-CA"/>
      </w:rPr>
    </w:pPr>
    <w:r w:rsidRPr="00D76B11">
      <w:rPr>
        <w:rFonts w:ascii="Arial" w:hAnsi="Arial" w:cs="Arial"/>
        <w:b/>
        <w:bCs/>
        <w:lang w:val="fr-CA"/>
      </w:rPr>
      <w:tab/>
    </w:r>
    <w:r w:rsidR="00AB30FB" w:rsidRPr="00D76B11">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071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14"/>
      <w:gridCol w:w="4326"/>
    </w:tblGrid>
    <w:tr w:rsidR="007D523A" w:rsidRPr="00D76B11">
      <w:tc>
        <w:tcPr>
          <w:tcW w:w="4428" w:type="dxa"/>
        </w:tcPr>
        <w:p w:rsidR="007D523A" w:rsidRPr="00A8556C" w:rsidRDefault="00526D00" w:rsidP="00AB2E23">
          <w:pPr>
            <w:pStyle w:val="Header"/>
            <w:rPr>
              <w:rFonts w:ascii="Arial" w:hAnsi="Arial" w:cs="Arial"/>
              <w:lang w:val="fr-CA"/>
            </w:rPr>
          </w:pPr>
          <w:r>
            <w:rPr>
              <w:rFonts w:ascii="Arial" w:hAnsi="Arial" w:cs="Arial"/>
              <w:lang w:val="fr-CA"/>
            </w:rPr>
            <w:t>Approbation </w:t>
          </w:r>
          <w:r w:rsidR="007D523A" w:rsidRPr="00FC42A4">
            <w:rPr>
              <w:rFonts w:ascii="Arial" w:hAnsi="Arial" w:cs="Arial"/>
              <w:lang w:val="fr-CA"/>
            </w:rPr>
            <w:t xml:space="preserve">: </w:t>
          </w:r>
        </w:p>
      </w:tc>
      <w:tc>
        <w:tcPr>
          <w:tcW w:w="4428" w:type="dxa"/>
        </w:tcPr>
        <w:p w:rsidR="007D523A" w:rsidRPr="00D76B11" w:rsidRDefault="007D523A">
          <w:pPr>
            <w:pStyle w:val="Header"/>
            <w:rPr>
              <w:rFonts w:ascii="Arial" w:hAnsi="Arial" w:cs="Arial"/>
              <w:lang w:val="fr-CA"/>
            </w:rPr>
          </w:pPr>
          <w:r w:rsidRPr="00D76B11">
            <w:rPr>
              <w:rFonts w:ascii="Arial" w:hAnsi="Arial" w:cs="Arial"/>
              <w:lang w:val="fr-CA"/>
            </w:rPr>
            <w:t>Document n</w:t>
          </w:r>
          <w:r w:rsidRPr="00D76B11">
            <w:rPr>
              <w:rFonts w:ascii="Arial" w:hAnsi="Arial" w:cs="Arial"/>
              <w:vertAlign w:val="superscript"/>
              <w:lang w:val="fr-CA"/>
            </w:rPr>
            <w:t>o</w:t>
          </w:r>
          <w:r w:rsidRPr="00D76B11">
            <w:rPr>
              <w:rFonts w:ascii="Arial" w:hAnsi="Arial" w:cs="Arial"/>
              <w:lang w:val="fr-CA"/>
            </w:rPr>
            <w:t xml:space="preserve"> : EC.007</w:t>
          </w:r>
        </w:p>
      </w:tc>
    </w:tr>
    <w:tr w:rsidR="007D523A" w:rsidRPr="00D76B11">
      <w:tc>
        <w:tcPr>
          <w:tcW w:w="4428" w:type="dxa"/>
        </w:tcPr>
        <w:p w:rsidR="007D523A" w:rsidRPr="00D76B11" w:rsidRDefault="007D523A">
          <w:pPr>
            <w:pStyle w:val="Header"/>
            <w:rPr>
              <w:rFonts w:ascii="Arial" w:hAnsi="Arial" w:cs="Arial"/>
              <w:lang w:val="fr-CA"/>
            </w:rPr>
          </w:pPr>
          <w:r w:rsidRPr="00D76B11">
            <w:rPr>
              <w:rFonts w:ascii="Arial" w:hAnsi="Arial" w:cs="Arial"/>
              <w:lang w:val="fr-CA"/>
            </w:rPr>
            <w:t xml:space="preserve">Date de </w:t>
          </w:r>
          <w:r w:rsidR="00526D00">
            <w:rPr>
              <w:rFonts w:ascii="Arial" w:hAnsi="Arial" w:cs="Arial"/>
              <w:lang w:val="fr-CA"/>
            </w:rPr>
            <w:t>publication </w:t>
          </w:r>
          <w:r w:rsidRPr="00D76B11">
            <w:rPr>
              <w:rFonts w:ascii="Arial" w:hAnsi="Arial" w:cs="Arial"/>
              <w:lang w:val="fr-CA"/>
            </w:rPr>
            <w:t>: 2006/08/01</w:t>
          </w:r>
        </w:p>
      </w:tc>
      <w:tc>
        <w:tcPr>
          <w:tcW w:w="4428" w:type="dxa"/>
        </w:tcPr>
        <w:p w:rsidR="007D523A" w:rsidRPr="00D76B11" w:rsidRDefault="00526D00">
          <w:pPr>
            <w:pStyle w:val="Header"/>
            <w:rPr>
              <w:rFonts w:ascii="Arial" w:hAnsi="Arial" w:cs="Arial"/>
              <w:lang w:val="fr-CA"/>
            </w:rPr>
          </w:pPr>
          <w:r>
            <w:rPr>
              <w:rFonts w:ascii="Arial" w:hAnsi="Arial" w:cs="Arial"/>
              <w:lang w:val="fr-CA"/>
            </w:rPr>
            <w:t>Catégorie </w:t>
          </w:r>
          <w:r w:rsidR="007D523A" w:rsidRPr="00D76B11">
            <w:rPr>
              <w:rFonts w:ascii="Arial" w:hAnsi="Arial" w:cs="Arial"/>
              <w:lang w:val="fr-CA"/>
            </w:rPr>
            <w:t>: Épreuves complémentaires</w:t>
          </w:r>
        </w:p>
      </w:tc>
    </w:tr>
    <w:tr w:rsidR="007D523A" w:rsidRPr="00D76B11">
      <w:tc>
        <w:tcPr>
          <w:tcW w:w="4428" w:type="dxa"/>
        </w:tcPr>
        <w:p w:rsidR="007D523A" w:rsidRPr="00A8556C" w:rsidRDefault="007D523A" w:rsidP="00691C53">
          <w:pPr>
            <w:pStyle w:val="Header"/>
            <w:rPr>
              <w:rFonts w:ascii="Arial" w:hAnsi="Arial" w:cs="Arial"/>
              <w:lang w:val="fr-CA"/>
            </w:rPr>
          </w:pPr>
          <w:r w:rsidRPr="0082137B">
            <w:rPr>
              <w:rFonts w:ascii="Arial" w:hAnsi="Arial" w:cs="Arial"/>
              <w:color w:val="000000"/>
              <w:lang w:val="fr-CA"/>
            </w:rPr>
            <w:t xml:space="preserve">Date de </w:t>
          </w:r>
          <w:r w:rsidR="00526D00">
            <w:rPr>
              <w:rFonts w:ascii="Arial" w:hAnsi="Arial" w:cs="Arial"/>
              <w:color w:val="000000"/>
              <w:lang w:val="fr-CA"/>
            </w:rPr>
            <w:t>révision </w:t>
          </w:r>
          <w:r w:rsidRPr="0082137B">
            <w:rPr>
              <w:rFonts w:ascii="Arial" w:hAnsi="Arial" w:cs="Arial"/>
              <w:color w:val="000000"/>
              <w:lang w:val="fr-CA"/>
            </w:rPr>
            <w:t>:</w:t>
          </w:r>
          <w:r>
            <w:rPr>
              <w:rFonts w:ascii="Arial" w:hAnsi="Arial" w:cs="Arial"/>
              <w:color w:val="000000"/>
              <w:lang w:val="fr-CA"/>
            </w:rPr>
            <w:t xml:space="preserve"> </w:t>
          </w:r>
          <w:r>
            <w:rPr>
              <w:rFonts w:ascii="Arial" w:hAnsi="Arial" w:cs="Arial"/>
              <w:lang w:val="fr-CA"/>
            </w:rPr>
            <w:t>2009/12/31</w:t>
          </w:r>
          <w:r w:rsidR="00AB2E23">
            <w:rPr>
              <w:rFonts w:ascii="Arial" w:hAnsi="Arial" w:cs="Arial"/>
              <w:lang w:val="fr-CA"/>
            </w:rPr>
            <w:t>; 2014/03/01</w:t>
          </w:r>
        </w:p>
      </w:tc>
      <w:tc>
        <w:tcPr>
          <w:tcW w:w="4428" w:type="dxa"/>
        </w:tcPr>
        <w:p w:rsidR="007D523A" w:rsidRPr="00D76B11" w:rsidRDefault="00526D00">
          <w:pPr>
            <w:pStyle w:val="Header"/>
            <w:rPr>
              <w:rFonts w:ascii="Arial" w:hAnsi="Arial" w:cs="Arial"/>
              <w:lang w:val="fr-CA"/>
            </w:rPr>
          </w:pPr>
          <w:r>
            <w:rPr>
              <w:rFonts w:ascii="Arial" w:hAnsi="Arial" w:cs="Arial"/>
              <w:lang w:val="fr-CA"/>
            </w:rPr>
            <w:t>Pages </w:t>
          </w:r>
          <w:r w:rsidR="007D523A" w:rsidRPr="00D76B11">
            <w:rPr>
              <w:rFonts w:ascii="Arial" w:hAnsi="Arial" w:cs="Arial"/>
              <w:lang w:val="fr-CA"/>
            </w:rPr>
            <w:t xml:space="preserve">: </w:t>
          </w:r>
          <w:r w:rsidR="007D523A" w:rsidRPr="00D76B11">
            <w:rPr>
              <w:rFonts w:ascii="Arial" w:hAnsi="Arial" w:cs="Arial"/>
              <w:lang w:val="fr-CA"/>
            </w:rPr>
            <w:fldChar w:fldCharType="begin"/>
          </w:r>
          <w:r w:rsidR="007D523A" w:rsidRPr="00D76B11">
            <w:rPr>
              <w:rFonts w:ascii="Arial" w:hAnsi="Arial" w:cs="Arial"/>
              <w:lang w:val="fr-CA"/>
            </w:rPr>
            <w:instrText xml:space="preserve"> NUMPAGES </w:instrText>
          </w:r>
          <w:r w:rsidR="007D523A" w:rsidRPr="00D76B11">
            <w:rPr>
              <w:rFonts w:ascii="Arial" w:hAnsi="Arial" w:cs="Arial"/>
              <w:lang w:val="fr-CA"/>
            </w:rPr>
            <w:fldChar w:fldCharType="separate"/>
          </w:r>
          <w:r w:rsidR="000850AC">
            <w:rPr>
              <w:rFonts w:ascii="Arial" w:hAnsi="Arial" w:cs="Arial"/>
              <w:noProof/>
              <w:lang w:val="fr-CA"/>
            </w:rPr>
            <w:t>1</w:t>
          </w:r>
          <w:r w:rsidR="007D523A" w:rsidRPr="00D76B11">
            <w:rPr>
              <w:rFonts w:ascii="Arial" w:hAnsi="Arial" w:cs="Arial"/>
              <w:lang w:val="fr-CA"/>
            </w:rPr>
            <w:fldChar w:fldCharType="end"/>
          </w:r>
        </w:p>
      </w:tc>
    </w:tr>
  </w:tbl>
  <w:p w:rsidR="00892149" w:rsidRDefault="00AB30FB">
    <w:pPr>
      <w:pStyle w:val="Heade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117475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645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25pt" to="43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Knt&#10;EcXcAAAACAEAAA8AAAAAAAAAAAAAAAAAawQAAGRycy9kb3ducmV2LnhtbFBLBQYAAAAABAAEAPMA&#10;AAB0BQAAAAA=&#10;"/>
          </w:pict>
        </mc:Fallback>
      </mc:AlternateContent>
    </w:r>
    <w:r w:rsidR="00892149">
      <w:rPr>
        <w:rFonts w:ascii="Arial" w:hAnsi="Arial" w:cs="Arial"/>
      </w:rPr>
      <w:tab/>
    </w:r>
  </w:p>
  <w:p w:rsidR="00892149" w:rsidRDefault="0089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BA"/>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 w15:restartNumberingAfterBreak="0">
    <w:nsid w:val="224622A6"/>
    <w:multiLevelType w:val="hybridMultilevel"/>
    <w:tmpl w:val="F3D02C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501368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45300BFB"/>
    <w:multiLevelType w:val="hybridMultilevel"/>
    <w:tmpl w:val="C7A81B1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9F21E5D"/>
    <w:multiLevelType w:val="hybridMultilevel"/>
    <w:tmpl w:val="435ED4C2"/>
    <w:lvl w:ilvl="0" w:tplc="3AC0411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2B56D6"/>
    <w:multiLevelType w:val="hybridMultilevel"/>
    <w:tmpl w:val="53BCE6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CE3504"/>
    <w:multiLevelType w:val="multilevel"/>
    <w:tmpl w:val="42201B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1AF106F"/>
    <w:multiLevelType w:val="hybridMultilevel"/>
    <w:tmpl w:val="F0D01466"/>
    <w:lvl w:ilvl="0" w:tplc="10090001">
      <w:start w:val="1"/>
      <w:numFmt w:val="bullet"/>
      <w:lvlText w:val=""/>
      <w:lvlJc w:val="left"/>
      <w:pPr>
        <w:ind w:left="2700" w:hanging="360"/>
      </w:pPr>
      <w:rPr>
        <w:rFonts w:ascii="Symbol" w:hAnsi="Symbol" w:hint="default"/>
      </w:rPr>
    </w:lvl>
    <w:lvl w:ilvl="1" w:tplc="10090003">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8" w15:restartNumberingAfterBreak="0">
    <w:nsid w:val="76D52C4E"/>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7C395D09"/>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6"/>
  </w:num>
  <w:num w:numId="2">
    <w:abstractNumId w:val="8"/>
  </w:num>
  <w:num w:numId="3">
    <w:abstractNumId w:val="0"/>
  </w:num>
  <w:num w:numId="4">
    <w:abstractNumId w:val="2"/>
  </w:num>
  <w:num w:numId="5">
    <w:abstractNumId w:val="9"/>
  </w:num>
  <w:num w:numId="6">
    <w:abstractNumId w:val="4"/>
  </w:num>
  <w:num w:numId="7">
    <w:abstractNumId w:val="3"/>
  </w:num>
  <w:num w:numId="8">
    <w:abstractNumId w:val="1"/>
  </w:num>
  <w:num w:numId="9">
    <w:abstractNumId w:val="7"/>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92"/>
    <w:rsid w:val="000134D8"/>
    <w:rsid w:val="000243F3"/>
    <w:rsid w:val="000404E9"/>
    <w:rsid w:val="00055D7C"/>
    <w:rsid w:val="00063CB6"/>
    <w:rsid w:val="000850AC"/>
    <w:rsid w:val="00096E5F"/>
    <w:rsid w:val="0009739E"/>
    <w:rsid w:val="001303BB"/>
    <w:rsid w:val="00160E7E"/>
    <w:rsid w:val="001610E6"/>
    <w:rsid w:val="00197141"/>
    <w:rsid w:val="001A649F"/>
    <w:rsid w:val="00216C9C"/>
    <w:rsid w:val="0021765D"/>
    <w:rsid w:val="0025307B"/>
    <w:rsid w:val="002704F4"/>
    <w:rsid w:val="002808A6"/>
    <w:rsid w:val="0029359E"/>
    <w:rsid w:val="002E4A03"/>
    <w:rsid w:val="002F17AB"/>
    <w:rsid w:val="00304B44"/>
    <w:rsid w:val="00336F1A"/>
    <w:rsid w:val="00360F9E"/>
    <w:rsid w:val="00374F1E"/>
    <w:rsid w:val="003B328A"/>
    <w:rsid w:val="00414DDC"/>
    <w:rsid w:val="0043779B"/>
    <w:rsid w:val="00442D2C"/>
    <w:rsid w:val="004503D6"/>
    <w:rsid w:val="004A4543"/>
    <w:rsid w:val="004E36CD"/>
    <w:rsid w:val="004E37F7"/>
    <w:rsid w:val="004F3928"/>
    <w:rsid w:val="005213E4"/>
    <w:rsid w:val="00526D00"/>
    <w:rsid w:val="005A066F"/>
    <w:rsid w:val="0060762B"/>
    <w:rsid w:val="006204FF"/>
    <w:rsid w:val="006219A9"/>
    <w:rsid w:val="0062470C"/>
    <w:rsid w:val="006303B3"/>
    <w:rsid w:val="00662D6B"/>
    <w:rsid w:val="00676CDC"/>
    <w:rsid w:val="00691C53"/>
    <w:rsid w:val="00716407"/>
    <w:rsid w:val="007D523A"/>
    <w:rsid w:val="007D5826"/>
    <w:rsid w:val="008742F9"/>
    <w:rsid w:val="00892149"/>
    <w:rsid w:val="008A23A6"/>
    <w:rsid w:val="008F1EAF"/>
    <w:rsid w:val="008F5092"/>
    <w:rsid w:val="00900B43"/>
    <w:rsid w:val="00903368"/>
    <w:rsid w:val="00922675"/>
    <w:rsid w:val="00926485"/>
    <w:rsid w:val="00935468"/>
    <w:rsid w:val="00983E69"/>
    <w:rsid w:val="00997793"/>
    <w:rsid w:val="009D6BA0"/>
    <w:rsid w:val="00A1632D"/>
    <w:rsid w:val="00A31BCE"/>
    <w:rsid w:val="00A9119D"/>
    <w:rsid w:val="00A935F4"/>
    <w:rsid w:val="00AB27AA"/>
    <w:rsid w:val="00AB2E23"/>
    <w:rsid w:val="00AB30FB"/>
    <w:rsid w:val="00AB4650"/>
    <w:rsid w:val="00B4095D"/>
    <w:rsid w:val="00B41C46"/>
    <w:rsid w:val="00BC6001"/>
    <w:rsid w:val="00BE68EA"/>
    <w:rsid w:val="00BF3CB6"/>
    <w:rsid w:val="00C04EA3"/>
    <w:rsid w:val="00C63E91"/>
    <w:rsid w:val="00CB1D1C"/>
    <w:rsid w:val="00CC046E"/>
    <w:rsid w:val="00CC4A78"/>
    <w:rsid w:val="00CE1F1E"/>
    <w:rsid w:val="00CF1246"/>
    <w:rsid w:val="00D76B11"/>
    <w:rsid w:val="00D82A0E"/>
    <w:rsid w:val="00D976EC"/>
    <w:rsid w:val="00E413BC"/>
    <w:rsid w:val="00E67E9B"/>
    <w:rsid w:val="00E93E5E"/>
    <w:rsid w:val="00EB1F8F"/>
    <w:rsid w:val="00ED5B17"/>
    <w:rsid w:val="00EF324E"/>
    <w:rsid w:val="00F1368C"/>
    <w:rsid w:val="00F22BCD"/>
    <w:rsid w:val="00F53E0E"/>
    <w:rsid w:val="00FC4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C62DE4-9830-49E8-8EB5-D0A768A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widowControl w:val="0"/>
      <w:ind w:left="360" w:hanging="360"/>
    </w:pPr>
    <w:rPr>
      <w:rFonts w:ascii="CG Times" w:hAnsi="CG Times"/>
      <w:sz w:val="24"/>
    </w:rPr>
  </w:style>
  <w:style w:type="paragraph" w:styleId="BodyText">
    <w:name w:val="Body Text"/>
    <w:basedOn w:val="Normal"/>
    <w:rPr>
      <w:rFonts w:ascii="Arial" w:hAnsi="Arial"/>
      <w:b/>
      <w:sz w:val="24"/>
    </w:rPr>
  </w:style>
  <w:style w:type="paragraph" w:styleId="BodyTextIndent">
    <w:name w:val="Body Text Indent"/>
    <w:basedOn w:val="Normal"/>
    <w:pPr>
      <w:ind w:left="2160"/>
    </w:pPr>
    <w:rPr>
      <w:rFonts w:ascii="Arial" w:hAnsi="Arial"/>
      <w:sz w:val="24"/>
    </w:rPr>
  </w:style>
  <w:style w:type="character" w:styleId="PageNumber">
    <w:name w:val="page number"/>
    <w:basedOn w:val="DefaultParagraphFont"/>
  </w:style>
  <w:style w:type="character" w:styleId="CommentReference">
    <w:name w:val="annotation reference"/>
    <w:semiHidden/>
    <w:rsid w:val="00A9119D"/>
    <w:rPr>
      <w:sz w:val="16"/>
      <w:szCs w:val="16"/>
    </w:rPr>
  </w:style>
  <w:style w:type="paragraph" w:styleId="CommentText">
    <w:name w:val="annotation text"/>
    <w:basedOn w:val="Normal"/>
    <w:semiHidden/>
    <w:rsid w:val="00A9119D"/>
  </w:style>
  <w:style w:type="paragraph" w:styleId="CommentSubject">
    <w:name w:val="annotation subject"/>
    <w:basedOn w:val="CommentText"/>
    <w:next w:val="CommentText"/>
    <w:semiHidden/>
    <w:rsid w:val="00A9119D"/>
    <w:rPr>
      <w:b/>
      <w:bCs/>
    </w:rPr>
  </w:style>
  <w:style w:type="paragraph" w:styleId="BalloonText">
    <w:name w:val="Balloon Text"/>
    <w:basedOn w:val="Normal"/>
    <w:semiHidden/>
    <w:rsid w:val="00A9119D"/>
    <w:rPr>
      <w:rFonts w:ascii="Tahoma" w:hAnsi="Tahoma" w:cs="Tahoma"/>
      <w:sz w:val="16"/>
      <w:szCs w:val="16"/>
    </w:rPr>
  </w:style>
  <w:style w:type="paragraph" w:styleId="ListParagraph">
    <w:name w:val="List Paragraph"/>
    <w:basedOn w:val="Normal"/>
    <w:uiPriority w:val="34"/>
    <w:qFormat/>
    <w:rsid w:val="0043779B"/>
    <w:pPr>
      <w:ind w:left="708"/>
    </w:pPr>
  </w:style>
  <w:style w:type="character" w:customStyle="1" w:styleId="HeaderChar">
    <w:name w:val="Header Char"/>
    <w:link w:val="Header"/>
    <w:rsid w:val="00AB2E23"/>
    <w:rPr>
      <w:lang w:val="en-US" w:eastAsia="en-US"/>
    </w:rPr>
  </w:style>
  <w:style w:type="table" w:styleId="TableGrid">
    <w:name w:val="Table Grid"/>
    <w:basedOn w:val="TableNormal"/>
    <w:rsid w:val="005A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9C8-0951-401D-9F0D-26C69B68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NRT.007 Antibody Identification of Warm Reactive Antibodies</vt:lpstr>
      <vt:lpstr>NRT.007 Antibody Identification of Warm Reactive Antibodies</vt:lpstr>
    </vt:vector>
  </TitlesOfParts>
  <Company>Microsoft</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NRT.007 Antibody Identification of Warm Reactive Antibodies</dc:title>
  <dc:subject/>
  <dc:creator>Transfusion Ontario Program Office</dc:creator>
  <cp:keywords/>
  <cp:lastModifiedBy>Nesrallah, Heather</cp:lastModifiedBy>
  <cp:revision>2</cp:revision>
  <cp:lastPrinted>2011-02-04T16:40:00Z</cp:lastPrinted>
  <dcterms:created xsi:type="dcterms:W3CDTF">2020-08-11T12:40:00Z</dcterms:created>
  <dcterms:modified xsi:type="dcterms:W3CDTF">2020-08-11T12:40:00Z</dcterms:modified>
</cp:coreProperties>
</file>