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6C" w:rsidRDefault="00FC246C">
      <w:bookmarkStart w:id="0" w:name="_GoBack"/>
      <w:bookmarkEnd w:id="0"/>
    </w:p>
    <w:p w:rsidR="00A116A3" w:rsidRDefault="00A116A3"/>
    <w:p w:rsidR="00A116A3" w:rsidRDefault="00EA312F" w:rsidP="00A116A3">
      <w:pPr>
        <w:jc w:val="center"/>
      </w:pPr>
      <w:r>
        <w:rPr>
          <w:rFonts w:ascii="Arial" w:hAnsi="Arial"/>
          <w:b/>
          <w:sz w:val="28"/>
          <w:lang w:val="fr-CA"/>
        </w:rPr>
        <w:t>Feuille de contrôle</w:t>
      </w:r>
      <w:r w:rsidR="00A116A3">
        <w:rPr>
          <w:rFonts w:ascii="Arial" w:hAnsi="Arial"/>
          <w:b/>
          <w:sz w:val="28"/>
          <w:lang w:val="fr-CA"/>
        </w:rPr>
        <w:t xml:space="preserve"> - I</w:t>
      </w:r>
      <w:r w:rsidR="00A116A3" w:rsidRPr="00766EB0">
        <w:rPr>
          <w:rFonts w:ascii="Arial" w:hAnsi="Arial"/>
          <w:b/>
          <w:sz w:val="28"/>
          <w:lang w:val="fr-CA"/>
        </w:rPr>
        <w:t>dentification d’anticorps réactifs froids</w:t>
      </w:r>
    </w:p>
    <w:p w:rsidR="00A116A3" w:rsidRDefault="00A116A3"/>
    <w:p w:rsidR="00A116A3" w:rsidRDefault="00A116A3"/>
    <w:p w:rsidR="00A116A3" w:rsidRDefault="00A116A3"/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044"/>
      </w:tblGrid>
      <w:tr w:rsidR="00FC246C" w:rsidRPr="002A62DE">
        <w:trPr>
          <w:cantSplit/>
          <w:jc w:val="center"/>
        </w:trPr>
        <w:tc>
          <w:tcPr>
            <w:tcW w:w="7290" w:type="dxa"/>
            <w:tcBorders>
              <w:bottom w:val="nil"/>
            </w:tcBorders>
          </w:tcPr>
          <w:p w:rsidR="00FC246C" w:rsidRPr="002A62DE" w:rsidRDefault="00EA312F" w:rsidP="002C75BE">
            <w:pPr>
              <w:pStyle w:val="Heading9"/>
              <w:rPr>
                <w:lang w:val="fr-CA"/>
              </w:rPr>
            </w:pPr>
            <w:r>
              <w:rPr>
                <w:lang w:val="fr-CA"/>
              </w:rPr>
              <w:t>Feuille de contrôle</w:t>
            </w:r>
            <w:r w:rsidR="00FC246C" w:rsidRPr="002A62DE">
              <w:rPr>
                <w:lang w:val="fr-CA"/>
              </w:rPr>
              <w:t xml:space="preserve"> –</w:t>
            </w:r>
            <w:r>
              <w:rPr>
                <w:lang w:val="fr-CA"/>
              </w:rPr>
              <w:t xml:space="preserve"> </w:t>
            </w:r>
            <w:r w:rsidR="00682A49">
              <w:rPr>
                <w:lang w:val="fr-CA"/>
              </w:rPr>
              <w:t>Identification d’anticorps</w:t>
            </w:r>
          </w:p>
        </w:tc>
        <w:tc>
          <w:tcPr>
            <w:tcW w:w="1044" w:type="dxa"/>
            <w:tcBorders>
              <w:bottom w:val="nil"/>
            </w:tcBorders>
          </w:tcPr>
          <w:p w:rsidR="00FC246C" w:rsidRPr="005E4B04" w:rsidRDefault="00FC246C" w:rsidP="002C75B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  <w:r w:rsidRPr="005E4B04">
              <w:rPr>
                <w:rFonts w:ascii="Arial" w:hAnsi="Arial"/>
                <w:sz w:val="22"/>
                <w:szCs w:val="22"/>
                <w:lang w:val="fr-CA"/>
              </w:rPr>
              <w:t>Cocher</w:t>
            </w:r>
          </w:p>
        </w:tc>
      </w:tr>
      <w:tr w:rsidR="00FC246C" w:rsidRPr="002A62DE">
        <w:trPr>
          <w:cantSplit/>
          <w:jc w:val="center"/>
        </w:trPr>
        <w:tc>
          <w:tcPr>
            <w:tcW w:w="7290" w:type="dxa"/>
            <w:tcBorders>
              <w:top w:val="single" w:sz="4" w:space="0" w:color="auto"/>
              <w:bottom w:val="dotted" w:sz="4" w:space="0" w:color="auto"/>
            </w:tcBorders>
          </w:tcPr>
          <w:p w:rsidR="00FC246C" w:rsidRPr="002A62DE" w:rsidRDefault="00FC246C" w:rsidP="002C75BE">
            <w:pPr>
              <w:pStyle w:val="List"/>
              <w:widowControl/>
              <w:numPr>
                <w:ilvl w:val="0"/>
                <w:numId w:val="1"/>
              </w:numPr>
              <w:rPr>
                <w:rFonts w:ascii="Arial" w:hAnsi="Arial"/>
                <w:spacing w:val="-2"/>
                <w:kern w:val="24"/>
                <w:lang w:val="fr-CA"/>
              </w:rPr>
            </w:pPr>
            <w:r w:rsidRPr="002A62DE">
              <w:rPr>
                <w:rFonts w:ascii="Arial" w:hAnsi="Arial"/>
                <w:spacing w:val="-2"/>
                <w:kern w:val="24"/>
                <w:lang w:val="fr-CA"/>
              </w:rPr>
              <w:t xml:space="preserve">Exclusion d’anticorps </w:t>
            </w:r>
            <w:r w:rsidR="00F86AD2">
              <w:rPr>
                <w:rFonts w:ascii="Arial" w:hAnsi="Arial"/>
                <w:spacing w:val="-2"/>
                <w:kern w:val="24"/>
                <w:lang w:val="fr-CA"/>
              </w:rPr>
              <w:t>complétée</w:t>
            </w:r>
          </w:p>
        </w:tc>
        <w:tc>
          <w:tcPr>
            <w:tcW w:w="1044" w:type="dxa"/>
            <w:tcBorders>
              <w:top w:val="single" w:sz="4" w:space="0" w:color="auto"/>
              <w:bottom w:val="dotted" w:sz="4" w:space="0" w:color="auto"/>
            </w:tcBorders>
          </w:tcPr>
          <w:p w:rsidR="00FC246C" w:rsidRPr="002A62DE" w:rsidRDefault="00FC246C" w:rsidP="002C75B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z w:val="24"/>
                <w:lang w:val="fr-CA"/>
              </w:rPr>
            </w:pPr>
          </w:p>
        </w:tc>
      </w:tr>
      <w:tr w:rsidR="00FC246C" w:rsidRPr="002A62DE">
        <w:trPr>
          <w:cantSplit/>
          <w:jc w:val="center"/>
        </w:trPr>
        <w:tc>
          <w:tcPr>
            <w:tcW w:w="7290" w:type="dxa"/>
          </w:tcPr>
          <w:p w:rsidR="00FC246C" w:rsidRPr="002A62DE" w:rsidRDefault="00FC246C" w:rsidP="002C75BE">
            <w:pPr>
              <w:pStyle w:val="List"/>
              <w:widowControl/>
              <w:numPr>
                <w:ilvl w:val="0"/>
                <w:numId w:val="1"/>
              </w:numPr>
              <w:rPr>
                <w:rFonts w:ascii="Arial" w:hAnsi="Arial"/>
                <w:spacing w:val="-2"/>
                <w:kern w:val="24"/>
                <w:lang w:val="fr-CA"/>
              </w:rPr>
            </w:pPr>
            <w:r w:rsidRPr="002A62DE">
              <w:rPr>
                <w:rFonts w:ascii="Arial" w:hAnsi="Arial"/>
                <w:spacing w:val="-2"/>
                <w:kern w:val="24"/>
                <w:lang w:val="fr-CA"/>
              </w:rPr>
              <w:t xml:space="preserve">Choix de cellules appropriées pour les témoins positif et négatif (la cellule choisie pour le témoin positif </w:t>
            </w:r>
            <w:proofErr w:type="spellStart"/>
            <w:r w:rsidRPr="002A62DE">
              <w:rPr>
                <w:rFonts w:ascii="Arial" w:hAnsi="Arial"/>
                <w:spacing w:val="-2"/>
                <w:kern w:val="24"/>
                <w:lang w:val="fr-CA"/>
              </w:rPr>
              <w:t>a</w:t>
            </w:r>
            <w:proofErr w:type="spellEnd"/>
            <w:r w:rsidRPr="002A62DE">
              <w:rPr>
                <w:rFonts w:ascii="Arial" w:hAnsi="Arial"/>
                <w:spacing w:val="-2"/>
                <w:kern w:val="24"/>
                <w:lang w:val="fr-CA"/>
              </w:rPr>
              <w:t xml:space="preserve"> l’expression la plus faible de l’</w:t>
            </w:r>
            <w:r w:rsidRPr="002A62DE">
              <w:rPr>
                <w:rFonts w:ascii="Arial" w:hAnsi="Arial"/>
                <w:spacing w:val="-2"/>
                <w:lang w:val="fr-CA"/>
              </w:rPr>
              <w:t>antigène)</w:t>
            </w:r>
          </w:p>
        </w:tc>
        <w:tc>
          <w:tcPr>
            <w:tcW w:w="1044" w:type="dxa"/>
          </w:tcPr>
          <w:p w:rsidR="00FC246C" w:rsidRPr="002A62DE" w:rsidRDefault="00FC246C" w:rsidP="002C75B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z w:val="24"/>
                <w:lang w:val="fr-CA"/>
              </w:rPr>
            </w:pPr>
          </w:p>
        </w:tc>
      </w:tr>
      <w:tr w:rsidR="00FC246C" w:rsidRPr="002A62DE">
        <w:trPr>
          <w:cantSplit/>
          <w:jc w:val="center"/>
        </w:trPr>
        <w:tc>
          <w:tcPr>
            <w:tcW w:w="7290" w:type="dxa"/>
          </w:tcPr>
          <w:p w:rsidR="00FC246C" w:rsidRPr="002A62DE" w:rsidRDefault="00FC246C" w:rsidP="002C75BE">
            <w:pPr>
              <w:pStyle w:val="List"/>
              <w:widowControl/>
              <w:numPr>
                <w:ilvl w:val="0"/>
                <w:numId w:val="1"/>
              </w:numPr>
              <w:rPr>
                <w:rFonts w:ascii="Arial" w:hAnsi="Arial"/>
                <w:spacing w:val="-2"/>
                <w:kern w:val="24"/>
                <w:lang w:val="fr-CA"/>
              </w:rPr>
            </w:pPr>
            <w:r w:rsidRPr="002A62DE">
              <w:rPr>
                <w:rFonts w:ascii="Arial" w:hAnsi="Arial"/>
                <w:spacing w:val="-2"/>
                <w:kern w:val="24"/>
                <w:lang w:val="fr-CA"/>
              </w:rPr>
              <w:t xml:space="preserve">Inscription </w:t>
            </w:r>
            <w:r w:rsidR="00682A49">
              <w:rPr>
                <w:rFonts w:ascii="Arial" w:hAnsi="Arial"/>
                <w:spacing w:val="-2"/>
                <w:kern w:val="24"/>
                <w:lang w:val="fr-CA"/>
              </w:rPr>
              <w:t>de l’information pertinente</w:t>
            </w:r>
            <w:r w:rsidRPr="002A62DE">
              <w:rPr>
                <w:rFonts w:ascii="Arial" w:hAnsi="Arial"/>
                <w:spacing w:val="-2"/>
                <w:kern w:val="24"/>
                <w:lang w:val="fr-CA"/>
              </w:rPr>
              <w:t xml:space="preserve"> : </w:t>
            </w:r>
          </w:p>
          <w:p w:rsidR="00FC246C" w:rsidRPr="002A62DE" w:rsidRDefault="00FC246C" w:rsidP="002C75BE">
            <w:pPr>
              <w:ind w:left="720"/>
              <w:rPr>
                <w:rFonts w:ascii="Arial" w:hAnsi="Arial"/>
                <w:spacing w:val="-2"/>
                <w:sz w:val="24"/>
                <w:lang w:val="fr-CA"/>
              </w:rPr>
            </w:pPr>
            <w:r w:rsidRPr="002A62DE">
              <w:rPr>
                <w:rFonts w:ascii="Arial" w:hAnsi="Arial"/>
                <w:spacing w:val="-2"/>
                <w:sz w:val="24"/>
                <w:lang w:val="fr-CA"/>
              </w:rPr>
              <w:t xml:space="preserve">Numéro de lot et date de péremption de l’antisérum </w:t>
            </w:r>
          </w:p>
          <w:p w:rsidR="00EA312F" w:rsidRDefault="00EA312F" w:rsidP="002C75BE">
            <w:pPr>
              <w:ind w:left="720"/>
              <w:rPr>
                <w:rFonts w:ascii="Arial" w:hAnsi="Arial"/>
                <w:spacing w:val="-2"/>
                <w:sz w:val="24"/>
                <w:lang w:val="fr-CA"/>
              </w:rPr>
            </w:pPr>
            <w:r>
              <w:rPr>
                <w:rFonts w:ascii="Arial" w:hAnsi="Arial"/>
                <w:spacing w:val="-2"/>
                <w:sz w:val="24"/>
                <w:lang w:val="fr-CA"/>
              </w:rPr>
              <w:t>Identification de toute autre cellule requise</w:t>
            </w:r>
          </w:p>
          <w:p w:rsidR="00FC246C" w:rsidRPr="002A62DE" w:rsidRDefault="00FC246C" w:rsidP="002C75BE">
            <w:pPr>
              <w:ind w:left="720"/>
              <w:rPr>
                <w:rFonts w:ascii="Arial" w:hAnsi="Arial"/>
                <w:spacing w:val="-2"/>
                <w:sz w:val="24"/>
                <w:lang w:val="fr-CA"/>
              </w:rPr>
            </w:pPr>
            <w:r w:rsidRPr="002A62DE">
              <w:rPr>
                <w:rFonts w:ascii="Arial" w:hAnsi="Arial"/>
                <w:spacing w:val="-2"/>
                <w:sz w:val="24"/>
                <w:lang w:val="fr-CA"/>
              </w:rPr>
              <w:t>Initiales du technologue</w:t>
            </w:r>
          </w:p>
          <w:p w:rsidR="00FC246C" w:rsidRPr="002A62DE" w:rsidRDefault="00FC246C" w:rsidP="002C75BE">
            <w:pPr>
              <w:pStyle w:val="BodyTextIndent3"/>
              <w:rPr>
                <w:rFonts w:ascii="Arial" w:hAnsi="Arial"/>
                <w:lang w:val="fr-CA"/>
              </w:rPr>
            </w:pPr>
            <w:r w:rsidRPr="002A62DE">
              <w:rPr>
                <w:rFonts w:ascii="Arial" w:hAnsi="Arial"/>
                <w:lang w:val="fr-CA"/>
              </w:rPr>
              <w:t>Temps d’incubation et température à laquelle l’épreuve a été faite</w:t>
            </w:r>
          </w:p>
          <w:p w:rsidR="00FC246C" w:rsidRPr="002A62DE" w:rsidRDefault="00FC246C" w:rsidP="002C75BE">
            <w:pPr>
              <w:ind w:left="720"/>
              <w:rPr>
                <w:rFonts w:ascii="Arial" w:hAnsi="Arial"/>
                <w:spacing w:val="-2"/>
                <w:sz w:val="24"/>
                <w:lang w:val="fr-CA"/>
              </w:rPr>
            </w:pPr>
            <w:r w:rsidRPr="002A62DE">
              <w:rPr>
                <w:rFonts w:ascii="Arial" w:hAnsi="Arial"/>
                <w:spacing w:val="-2"/>
                <w:sz w:val="24"/>
                <w:lang w:val="fr-CA"/>
              </w:rPr>
              <w:t>Date (y compris l’année) de l’épreuve</w:t>
            </w:r>
          </w:p>
        </w:tc>
        <w:tc>
          <w:tcPr>
            <w:tcW w:w="1044" w:type="dxa"/>
          </w:tcPr>
          <w:p w:rsidR="00FC246C" w:rsidRPr="002A62DE" w:rsidRDefault="00FC246C" w:rsidP="002C75B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z w:val="24"/>
                <w:lang w:val="fr-CA"/>
              </w:rPr>
            </w:pPr>
          </w:p>
        </w:tc>
      </w:tr>
      <w:tr w:rsidR="00FC246C" w:rsidRPr="002A62DE">
        <w:trPr>
          <w:cantSplit/>
          <w:jc w:val="center"/>
        </w:trPr>
        <w:tc>
          <w:tcPr>
            <w:tcW w:w="7290" w:type="dxa"/>
            <w:tcBorders>
              <w:bottom w:val="nil"/>
            </w:tcBorders>
          </w:tcPr>
          <w:p w:rsidR="00FC246C" w:rsidRPr="002A62DE" w:rsidRDefault="00FC246C" w:rsidP="002C75BE">
            <w:pPr>
              <w:pStyle w:val="List"/>
              <w:ind w:left="288" w:hanging="288"/>
              <w:rPr>
                <w:rFonts w:ascii="Arial" w:hAnsi="Arial"/>
                <w:lang w:val="fr-CA"/>
              </w:rPr>
            </w:pPr>
            <w:r w:rsidRPr="002A62DE">
              <w:rPr>
                <w:rFonts w:ascii="Arial" w:hAnsi="Arial"/>
                <w:lang w:val="fr-CA"/>
              </w:rPr>
              <w:t>4. Si le patient n’a pas reçu de transfusion au cours des 3 derniers mois, on a procédé à un phénotypage pour l’antigène correspondant.</w:t>
            </w:r>
          </w:p>
        </w:tc>
        <w:tc>
          <w:tcPr>
            <w:tcW w:w="1044" w:type="dxa"/>
            <w:tcBorders>
              <w:bottom w:val="nil"/>
            </w:tcBorders>
          </w:tcPr>
          <w:p w:rsidR="00FC246C" w:rsidRPr="002A62DE" w:rsidRDefault="00FC246C" w:rsidP="002C75B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z w:val="24"/>
                <w:lang w:val="fr-CA"/>
              </w:rPr>
            </w:pPr>
          </w:p>
        </w:tc>
      </w:tr>
      <w:tr w:rsidR="00FC246C" w:rsidRPr="002A62DE">
        <w:trPr>
          <w:cantSplit/>
          <w:jc w:val="center"/>
        </w:trPr>
        <w:tc>
          <w:tcPr>
            <w:tcW w:w="7290" w:type="dxa"/>
            <w:tcBorders>
              <w:bottom w:val="single" w:sz="4" w:space="0" w:color="auto"/>
            </w:tcBorders>
          </w:tcPr>
          <w:p w:rsidR="00FC246C" w:rsidRPr="002A62DE" w:rsidRDefault="00FC246C" w:rsidP="00B45001">
            <w:pPr>
              <w:pStyle w:val="List"/>
              <w:ind w:left="279" w:hanging="279"/>
              <w:rPr>
                <w:rFonts w:ascii="Arial" w:hAnsi="Arial"/>
                <w:lang w:val="fr-CA"/>
              </w:rPr>
            </w:pPr>
            <w:r w:rsidRPr="002A62DE">
              <w:rPr>
                <w:rFonts w:ascii="Arial" w:hAnsi="Arial"/>
                <w:lang w:val="fr-CA"/>
              </w:rPr>
              <w:t>5. Seules des unités compatibles ont été réservées pour la mise en circulation</w:t>
            </w:r>
            <w:r w:rsidR="00682A49">
              <w:rPr>
                <w:rFonts w:ascii="Arial" w:hAnsi="Arial"/>
                <w:lang w:val="fr-CA"/>
              </w:rPr>
              <w:t>.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FC246C" w:rsidRPr="002A62DE" w:rsidRDefault="00FC246C" w:rsidP="002C75B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4C4DB9" w:rsidRDefault="004C4DB9"/>
    <w:p w:rsidR="004C4DB9" w:rsidRPr="004C4DB9" w:rsidRDefault="004C4DB9" w:rsidP="004C4DB9"/>
    <w:p w:rsidR="004C4DB9" w:rsidRPr="004C4DB9" w:rsidRDefault="004C4DB9" w:rsidP="004C4DB9"/>
    <w:p w:rsidR="004C4DB9" w:rsidRPr="004C4DB9" w:rsidRDefault="004C4DB9" w:rsidP="004C4DB9"/>
    <w:p w:rsidR="004C4DB9" w:rsidRPr="004C4DB9" w:rsidRDefault="004C4DB9" w:rsidP="004C4DB9"/>
    <w:p w:rsidR="004C4DB9" w:rsidRPr="004C4DB9" w:rsidRDefault="004C4DB9" w:rsidP="004C4DB9"/>
    <w:p w:rsidR="004C4DB9" w:rsidRPr="004C4DB9" w:rsidRDefault="004C4DB9" w:rsidP="004C4DB9"/>
    <w:p w:rsidR="004C4DB9" w:rsidRPr="004C4DB9" w:rsidRDefault="004C4DB9" w:rsidP="004C4DB9"/>
    <w:p w:rsidR="004C4DB9" w:rsidRPr="004C4DB9" w:rsidRDefault="004C4DB9" w:rsidP="004C4DB9"/>
    <w:p w:rsidR="004C4DB9" w:rsidRPr="004C4DB9" w:rsidRDefault="004C4DB9" w:rsidP="004C4DB9"/>
    <w:p w:rsidR="004C4DB9" w:rsidRPr="004C4DB9" w:rsidRDefault="004C4DB9" w:rsidP="004C4DB9"/>
    <w:p w:rsidR="004C4DB9" w:rsidRDefault="004C4DB9" w:rsidP="004C4DB9"/>
    <w:p w:rsidR="004C4DB9" w:rsidRDefault="004C4DB9" w:rsidP="004C4DB9"/>
    <w:p w:rsidR="00AF1845" w:rsidRPr="004C4DB9" w:rsidRDefault="00AF1845" w:rsidP="004C4DB9">
      <w:pPr>
        <w:jc w:val="right"/>
      </w:pPr>
    </w:p>
    <w:sectPr w:rsidR="00AF1845" w:rsidRPr="004C4DB9" w:rsidSect="00192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02" w:rsidRDefault="00835002">
      <w:r>
        <w:separator/>
      </w:r>
    </w:p>
  </w:endnote>
  <w:endnote w:type="continuationSeparator" w:id="0">
    <w:p w:rsidR="00835002" w:rsidRDefault="0083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91" w:rsidRDefault="00FB0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670"/>
      <w:gridCol w:w="1800"/>
    </w:tblGrid>
    <w:tr w:rsidR="00D81AA5">
      <w:trPr>
        <w:trHeight w:val="720"/>
      </w:trPr>
      <w:tc>
        <w:tcPr>
          <w:tcW w:w="1368" w:type="dxa"/>
          <w:tcBorders>
            <w:top w:val="nil"/>
          </w:tcBorders>
        </w:tcPr>
        <w:p w:rsidR="00D81AA5" w:rsidRDefault="00D81AA5" w:rsidP="00777D11">
          <w:pPr>
            <w:pStyle w:val="Footer"/>
            <w:jc w:val="center"/>
            <w:rPr>
              <w:rFonts w:ascii="Arial" w:hAnsi="Arial"/>
              <w:sz w:val="8"/>
            </w:rPr>
          </w:pPr>
        </w:p>
        <w:p w:rsidR="00D81AA5" w:rsidRDefault="001971E9" w:rsidP="00777D11">
          <w:pPr>
            <w:pStyle w:val="Footer"/>
            <w:jc w:val="center"/>
            <w:rPr>
              <w:rFonts w:ascii="Arial" w:hAnsi="Arial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nil"/>
          </w:tcBorders>
        </w:tcPr>
        <w:p w:rsidR="00D81AA5" w:rsidRDefault="00D81AA5" w:rsidP="00777D11">
          <w:pPr>
            <w:pStyle w:val="Footer"/>
            <w:jc w:val="center"/>
            <w:rPr>
              <w:rFonts w:ascii="Arial" w:hAnsi="Arial"/>
              <w:sz w:val="8"/>
            </w:rPr>
          </w:pPr>
        </w:p>
        <w:p w:rsidR="001D3776" w:rsidRDefault="001D3776" w:rsidP="001D377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1D3776" w:rsidRPr="00D52543" w:rsidRDefault="001D3776" w:rsidP="001D377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D81AA5" w:rsidRDefault="00D81AA5" w:rsidP="00777D11">
          <w:pPr>
            <w:pStyle w:val="Footer"/>
            <w:jc w:val="right"/>
            <w:rPr>
              <w:rFonts w:ascii="Arial" w:hAnsi="Arial"/>
              <w:sz w:val="18"/>
            </w:rPr>
          </w:pPr>
        </w:p>
      </w:tc>
      <w:tc>
        <w:tcPr>
          <w:tcW w:w="1800" w:type="dxa"/>
          <w:tcBorders>
            <w:top w:val="nil"/>
          </w:tcBorders>
        </w:tcPr>
        <w:p w:rsidR="00D81AA5" w:rsidRDefault="00D81AA5" w:rsidP="00777D11">
          <w:pPr>
            <w:pStyle w:val="Footer"/>
            <w:jc w:val="right"/>
            <w:rPr>
              <w:rFonts w:ascii="Arial" w:hAnsi="Arial"/>
              <w:sz w:val="8"/>
            </w:rPr>
          </w:pPr>
        </w:p>
        <w:p w:rsidR="00D81AA5" w:rsidRPr="00687EFC" w:rsidRDefault="00D81AA5" w:rsidP="00777D11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 EC</w:t>
          </w:r>
          <w:r w:rsidRPr="00092C6B">
            <w:rPr>
              <w:rFonts w:ascii="Arial" w:hAnsi="Arial"/>
              <w:sz w:val="17"/>
              <w:szCs w:val="17"/>
            </w:rPr>
            <w:t>.00</w:t>
          </w:r>
          <w:r>
            <w:rPr>
              <w:rFonts w:ascii="Arial" w:hAnsi="Arial"/>
              <w:sz w:val="17"/>
              <w:szCs w:val="17"/>
            </w:rPr>
            <w:t>6</w:t>
          </w:r>
          <w:r w:rsidR="00B45001">
            <w:rPr>
              <w:rFonts w:ascii="Arial" w:hAnsi="Arial"/>
              <w:sz w:val="17"/>
              <w:szCs w:val="17"/>
            </w:rPr>
            <w:t>F</w:t>
          </w:r>
          <w:r w:rsidRPr="00092C6B">
            <w:rPr>
              <w:rFonts w:ascii="Arial" w:hAnsi="Arial"/>
              <w:sz w:val="17"/>
              <w:szCs w:val="17"/>
            </w:rPr>
            <w:br/>
          </w:r>
          <w:r w:rsidRPr="00687EFC">
            <w:rPr>
              <w:rFonts w:ascii="Arial" w:hAnsi="Arial" w:cs="Arial"/>
              <w:sz w:val="17"/>
              <w:szCs w:val="17"/>
            </w:rPr>
            <w:t xml:space="preserve">Page </w:t>
          </w:r>
          <w:r w:rsidRPr="00687EFC">
            <w:rPr>
              <w:rStyle w:val="PageNumber"/>
              <w:rFonts w:ascii="Arial" w:hAnsi="Arial" w:cs="Arial"/>
              <w:sz w:val="17"/>
              <w:szCs w:val="17"/>
            </w:rPr>
            <w:fldChar w:fldCharType="begin"/>
          </w:r>
          <w:r w:rsidRPr="00687EFC">
            <w:rPr>
              <w:rStyle w:val="PageNumber"/>
              <w:rFonts w:ascii="Arial" w:hAnsi="Arial" w:cs="Arial"/>
              <w:sz w:val="17"/>
              <w:szCs w:val="17"/>
            </w:rPr>
            <w:instrText xml:space="preserve"> PAGE </w:instrText>
          </w:r>
          <w:r w:rsidRPr="00687EFC">
            <w:rPr>
              <w:rStyle w:val="PageNumber"/>
              <w:rFonts w:ascii="Arial" w:hAnsi="Arial" w:cs="Arial"/>
              <w:sz w:val="17"/>
              <w:szCs w:val="17"/>
            </w:rPr>
            <w:fldChar w:fldCharType="separate"/>
          </w:r>
          <w:r w:rsidR="00D22D5B">
            <w:rPr>
              <w:rStyle w:val="PageNumber"/>
              <w:rFonts w:ascii="Arial" w:hAnsi="Arial" w:cs="Arial"/>
              <w:noProof/>
              <w:sz w:val="17"/>
              <w:szCs w:val="17"/>
            </w:rPr>
            <w:t>1</w:t>
          </w:r>
          <w:r w:rsidRPr="00687EFC">
            <w:rPr>
              <w:rStyle w:val="PageNumber"/>
              <w:rFonts w:ascii="Arial" w:hAnsi="Arial" w:cs="Arial"/>
              <w:sz w:val="17"/>
              <w:szCs w:val="17"/>
            </w:rPr>
            <w:fldChar w:fldCharType="end"/>
          </w:r>
          <w:r w:rsidRPr="00687EFC">
            <w:rPr>
              <w:rFonts w:ascii="Arial" w:hAnsi="Arial" w:cs="Arial"/>
              <w:sz w:val="17"/>
              <w:szCs w:val="17"/>
            </w:rPr>
            <w:t xml:space="preserve"> de </w:t>
          </w:r>
          <w:r w:rsidRPr="00687EFC">
            <w:rPr>
              <w:rStyle w:val="PageNumber"/>
              <w:rFonts w:ascii="Arial" w:hAnsi="Arial" w:cs="Arial"/>
              <w:sz w:val="17"/>
              <w:szCs w:val="17"/>
            </w:rPr>
            <w:fldChar w:fldCharType="begin"/>
          </w:r>
          <w:r w:rsidRPr="00687EFC">
            <w:rPr>
              <w:rStyle w:val="PageNumber"/>
              <w:rFonts w:ascii="Arial" w:hAnsi="Arial" w:cs="Arial"/>
              <w:sz w:val="17"/>
              <w:szCs w:val="17"/>
            </w:rPr>
            <w:instrText xml:space="preserve"> NUMPAGES </w:instrText>
          </w:r>
          <w:r w:rsidRPr="00687EFC">
            <w:rPr>
              <w:rStyle w:val="PageNumber"/>
              <w:rFonts w:ascii="Arial" w:hAnsi="Arial" w:cs="Arial"/>
              <w:sz w:val="17"/>
              <w:szCs w:val="17"/>
            </w:rPr>
            <w:fldChar w:fldCharType="separate"/>
          </w:r>
          <w:r w:rsidR="00D22D5B">
            <w:rPr>
              <w:rStyle w:val="PageNumber"/>
              <w:rFonts w:ascii="Arial" w:hAnsi="Arial" w:cs="Arial"/>
              <w:noProof/>
              <w:sz w:val="17"/>
              <w:szCs w:val="17"/>
            </w:rPr>
            <w:t>1</w:t>
          </w:r>
          <w:r w:rsidRPr="00687EFC">
            <w:rPr>
              <w:rStyle w:val="PageNumber"/>
              <w:rFonts w:ascii="Arial" w:hAnsi="Arial" w:cs="Arial"/>
              <w:sz w:val="17"/>
              <w:szCs w:val="17"/>
            </w:rPr>
            <w:fldChar w:fldCharType="end"/>
          </w:r>
        </w:p>
        <w:p w:rsidR="00D81AA5" w:rsidRDefault="00D81AA5" w:rsidP="00777D11">
          <w:pPr>
            <w:pStyle w:val="Footer"/>
            <w:jc w:val="right"/>
            <w:rPr>
              <w:rFonts w:ascii="Arial" w:hAnsi="Arial"/>
              <w:sz w:val="18"/>
            </w:rPr>
          </w:pPr>
        </w:p>
      </w:tc>
    </w:tr>
  </w:tbl>
  <w:p w:rsidR="00D81AA5" w:rsidRDefault="00D81AA5" w:rsidP="00D81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91" w:rsidRDefault="00FB0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02" w:rsidRDefault="00835002">
      <w:r>
        <w:separator/>
      </w:r>
    </w:p>
  </w:footnote>
  <w:footnote w:type="continuationSeparator" w:id="0">
    <w:p w:rsidR="00835002" w:rsidRDefault="0083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91" w:rsidRDefault="00FB0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A3" w:rsidRPr="00766EB0" w:rsidRDefault="00A116A3" w:rsidP="00092C6B">
    <w:pPr>
      <w:pStyle w:val="Header"/>
      <w:jc w:val="center"/>
      <w:rPr>
        <w:rFonts w:ascii="Arial" w:hAnsi="Arial"/>
        <w:b/>
        <w:sz w:val="28"/>
        <w:lang w:val="fr-CA"/>
      </w:rPr>
    </w:pPr>
    <w:r w:rsidRPr="00766EB0">
      <w:rPr>
        <w:rFonts w:ascii="Arial" w:hAnsi="Arial"/>
        <w:b/>
        <w:sz w:val="28"/>
        <w:lang w:val="fr-CA"/>
      </w:rPr>
      <w:t>Identification d’anticorps réactifs froids</w:t>
    </w:r>
  </w:p>
  <w:p w:rsidR="00A116A3" w:rsidRDefault="00A116A3" w:rsidP="00174D1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91" w:rsidRDefault="00FB0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36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06"/>
    <w:rsid w:val="00002156"/>
    <w:rsid w:val="00005C57"/>
    <w:rsid w:val="0000702A"/>
    <w:rsid w:val="0002475F"/>
    <w:rsid w:val="000537D2"/>
    <w:rsid w:val="000708EB"/>
    <w:rsid w:val="00092C6B"/>
    <w:rsid w:val="000B4A01"/>
    <w:rsid w:val="000C6A07"/>
    <w:rsid w:val="00114EC0"/>
    <w:rsid w:val="00125D1D"/>
    <w:rsid w:val="001279C0"/>
    <w:rsid w:val="00141130"/>
    <w:rsid w:val="00144185"/>
    <w:rsid w:val="00172CE4"/>
    <w:rsid w:val="00174013"/>
    <w:rsid w:val="0017475F"/>
    <w:rsid w:val="00174D16"/>
    <w:rsid w:val="0019288B"/>
    <w:rsid w:val="001971E9"/>
    <w:rsid w:val="001A5D71"/>
    <w:rsid w:val="001A6877"/>
    <w:rsid w:val="001B568B"/>
    <w:rsid w:val="001B7E3C"/>
    <w:rsid w:val="001D1F8B"/>
    <w:rsid w:val="001D3776"/>
    <w:rsid w:val="0021360F"/>
    <w:rsid w:val="00216E2C"/>
    <w:rsid w:val="002225F1"/>
    <w:rsid w:val="00225FD4"/>
    <w:rsid w:val="002332F6"/>
    <w:rsid w:val="002363A6"/>
    <w:rsid w:val="002405C1"/>
    <w:rsid w:val="00243692"/>
    <w:rsid w:val="0024530E"/>
    <w:rsid w:val="00275D42"/>
    <w:rsid w:val="0028248C"/>
    <w:rsid w:val="002914CF"/>
    <w:rsid w:val="002A4921"/>
    <w:rsid w:val="002A4EA3"/>
    <w:rsid w:val="002A5EFD"/>
    <w:rsid w:val="002B5819"/>
    <w:rsid w:val="002C75BE"/>
    <w:rsid w:val="002F77C4"/>
    <w:rsid w:val="003016A6"/>
    <w:rsid w:val="00306EE4"/>
    <w:rsid w:val="00307B06"/>
    <w:rsid w:val="003330D7"/>
    <w:rsid w:val="00336210"/>
    <w:rsid w:val="0036259E"/>
    <w:rsid w:val="00374E72"/>
    <w:rsid w:val="003D2CB1"/>
    <w:rsid w:val="003F100E"/>
    <w:rsid w:val="00417E3A"/>
    <w:rsid w:val="0043021E"/>
    <w:rsid w:val="004306E3"/>
    <w:rsid w:val="00430AB7"/>
    <w:rsid w:val="00435B2A"/>
    <w:rsid w:val="00440254"/>
    <w:rsid w:val="004408D6"/>
    <w:rsid w:val="00440DB0"/>
    <w:rsid w:val="00441C34"/>
    <w:rsid w:val="00446178"/>
    <w:rsid w:val="0046666B"/>
    <w:rsid w:val="0047499C"/>
    <w:rsid w:val="00490978"/>
    <w:rsid w:val="0049534C"/>
    <w:rsid w:val="004A2C1E"/>
    <w:rsid w:val="004B0FF0"/>
    <w:rsid w:val="004B679F"/>
    <w:rsid w:val="004C4DB9"/>
    <w:rsid w:val="004C7AD0"/>
    <w:rsid w:val="004C7E80"/>
    <w:rsid w:val="004D26C3"/>
    <w:rsid w:val="004E6599"/>
    <w:rsid w:val="004F6D46"/>
    <w:rsid w:val="00521720"/>
    <w:rsid w:val="0053398F"/>
    <w:rsid w:val="00533FF3"/>
    <w:rsid w:val="005375ED"/>
    <w:rsid w:val="00564CD0"/>
    <w:rsid w:val="005703AE"/>
    <w:rsid w:val="00574D02"/>
    <w:rsid w:val="0059267B"/>
    <w:rsid w:val="005C52F0"/>
    <w:rsid w:val="005C5584"/>
    <w:rsid w:val="00605E2F"/>
    <w:rsid w:val="006305E0"/>
    <w:rsid w:val="00635193"/>
    <w:rsid w:val="00640AAB"/>
    <w:rsid w:val="00641A93"/>
    <w:rsid w:val="006513AE"/>
    <w:rsid w:val="006807E4"/>
    <w:rsid w:val="00681D53"/>
    <w:rsid w:val="00682A49"/>
    <w:rsid w:val="006C387D"/>
    <w:rsid w:val="006C3D94"/>
    <w:rsid w:val="006E0A14"/>
    <w:rsid w:val="006F0E41"/>
    <w:rsid w:val="007004FF"/>
    <w:rsid w:val="007321F5"/>
    <w:rsid w:val="00756030"/>
    <w:rsid w:val="00757EF0"/>
    <w:rsid w:val="00764D41"/>
    <w:rsid w:val="00766EB0"/>
    <w:rsid w:val="0077583F"/>
    <w:rsid w:val="00777D11"/>
    <w:rsid w:val="007829AC"/>
    <w:rsid w:val="0078513D"/>
    <w:rsid w:val="0079003C"/>
    <w:rsid w:val="007A124F"/>
    <w:rsid w:val="007A28D6"/>
    <w:rsid w:val="007A40F2"/>
    <w:rsid w:val="007B2858"/>
    <w:rsid w:val="007D4E60"/>
    <w:rsid w:val="00835002"/>
    <w:rsid w:val="008528BD"/>
    <w:rsid w:val="008530EE"/>
    <w:rsid w:val="008B7C10"/>
    <w:rsid w:val="008C2695"/>
    <w:rsid w:val="008C6D81"/>
    <w:rsid w:val="008C71C5"/>
    <w:rsid w:val="008D6036"/>
    <w:rsid w:val="008F108A"/>
    <w:rsid w:val="00914292"/>
    <w:rsid w:val="00967B1B"/>
    <w:rsid w:val="00975E03"/>
    <w:rsid w:val="00981E5A"/>
    <w:rsid w:val="009A18AD"/>
    <w:rsid w:val="009A6559"/>
    <w:rsid w:val="009E5588"/>
    <w:rsid w:val="009F7FD5"/>
    <w:rsid w:val="00A010BF"/>
    <w:rsid w:val="00A116A3"/>
    <w:rsid w:val="00A21A3E"/>
    <w:rsid w:val="00A45F57"/>
    <w:rsid w:val="00A46F75"/>
    <w:rsid w:val="00A52F86"/>
    <w:rsid w:val="00A5599D"/>
    <w:rsid w:val="00A84982"/>
    <w:rsid w:val="00A86418"/>
    <w:rsid w:val="00A9655A"/>
    <w:rsid w:val="00AB2C76"/>
    <w:rsid w:val="00AB4F2B"/>
    <w:rsid w:val="00AB5DE3"/>
    <w:rsid w:val="00AE6C06"/>
    <w:rsid w:val="00AE7518"/>
    <w:rsid w:val="00AF1845"/>
    <w:rsid w:val="00B1339D"/>
    <w:rsid w:val="00B34594"/>
    <w:rsid w:val="00B447F6"/>
    <w:rsid w:val="00B45001"/>
    <w:rsid w:val="00BA03D5"/>
    <w:rsid w:val="00BA5F97"/>
    <w:rsid w:val="00BD5782"/>
    <w:rsid w:val="00BE6F1D"/>
    <w:rsid w:val="00C156CB"/>
    <w:rsid w:val="00C5570F"/>
    <w:rsid w:val="00C7750A"/>
    <w:rsid w:val="00C96665"/>
    <w:rsid w:val="00CD750F"/>
    <w:rsid w:val="00CF2EF8"/>
    <w:rsid w:val="00D0058E"/>
    <w:rsid w:val="00D04AEC"/>
    <w:rsid w:val="00D209F9"/>
    <w:rsid w:val="00D22D5B"/>
    <w:rsid w:val="00D81AA5"/>
    <w:rsid w:val="00D81EDD"/>
    <w:rsid w:val="00D9345E"/>
    <w:rsid w:val="00DC167C"/>
    <w:rsid w:val="00DE169E"/>
    <w:rsid w:val="00DF01B6"/>
    <w:rsid w:val="00E0768C"/>
    <w:rsid w:val="00E16CCE"/>
    <w:rsid w:val="00E36FAA"/>
    <w:rsid w:val="00E400ED"/>
    <w:rsid w:val="00E52B2F"/>
    <w:rsid w:val="00E56E3C"/>
    <w:rsid w:val="00E71EA4"/>
    <w:rsid w:val="00EA312F"/>
    <w:rsid w:val="00EC556F"/>
    <w:rsid w:val="00ED0A30"/>
    <w:rsid w:val="00EF5F40"/>
    <w:rsid w:val="00F24B9A"/>
    <w:rsid w:val="00F26235"/>
    <w:rsid w:val="00F35C4E"/>
    <w:rsid w:val="00F518A7"/>
    <w:rsid w:val="00F62F06"/>
    <w:rsid w:val="00F743C6"/>
    <w:rsid w:val="00F82849"/>
    <w:rsid w:val="00F858F8"/>
    <w:rsid w:val="00F86AD2"/>
    <w:rsid w:val="00F87A9F"/>
    <w:rsid w:val="00F97C03"/>
    <w:rsid w:val="00FB0A91"/>
    <w:rsid w:val="00FC246C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87A42A-2B19-4908-98A1-17BB155C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9">
    <w:name w:val="heading 9"/>
    <w:basedOn w:val="Normal"/>
    <w:next w:val="Normal"/>
    <w:qFormat/>
    <w:rsid w:val="00FC246C"/>
    <w:pPr>
      <w:keepNext/>
      <w:jc w:val="center"/>
      <w:outlineLvl w:val="8"/>
    </w:pPr>
    <w:rPr>
      <w:rFonts w:ascii="Arial" w:hAnsi="Arial"/>
      <w:b/>
      <w:kern w:val="24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288B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C246C"/>
    <w:pPr>
      <w:widowControl w:val="0"/>
      <w:ind w:left="360" w:hanging="360"/>
    </w:pPr>
    <w:rPr>
      <w:rFonts w:ascii="CG Times" w:hAnsi="CG Times"/>
      <w:sz w:val="24"/>
    </w:rPr>
  </w:style>
  <w:style w:type="paragraph" w:styleId="BodyTextIndent3">
    <w:name w:val="Body Text Indent 3"/>
    <w:basedOn w:val="Normal"/>
    <w:rsid w:val="00FC246C"/>
    <w:pPr>
      <w:ind w:left="981" w:hanging="283"/>
    </w:pPr>
    <w:rPr>
      <w:rFonts w:ascii="Georgia" w:hAnsi="Georgia"/>
      <w:spacing w:val="-2"/>
      <w:kern w:val="24"/>
      <w:sz w:val="24"/>
      <w:lang w:val="en-GB"/>
    </w:rPr>
  </w:style>
  <w:style w:type="character" w:styleId="CommentReference">
    <w:name w:val="annotation reference"/>
    <w:semiHidden/>
    <w:rsid w:val="006F0E41"/>
    <w:rPr>
      <w:sz w:val="16"/>
      <w:szCs w:val="16"/>
    </w:rPr>
  </w:style>
  <w:style w:type="paragraph" w:styleId="CommentText">
    <w:name w:val="annotation text"/>
    <w:basedOn w:val="Normal"/>
    <w:semiHidden/>
    <w:rsid w:val="006F0E41"/>
  </w:style>
  <w:style w:type="paragraph" w:styleId="CommentSubject">
    <w:name w:val="annotation subject"/>
    <w:basedOn w:val="CommentText"/>
    <w:next w:val="CommentText"/>
    <w:semiHidden/>
    <w:rsid w:val="006F0E41"/>
    <w:rPr>
      <w:b/>
      <w:bCs/>
    </w:rPr>
  </w:style>
  <w:style w:type="character" w:customStyle="1" w:styleId="FooterChar">
    <w:name w:val="Footer Char"/>
    <w:link w:val="Footer"/>
    <w:rsid w:val="001D37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FF79-7611-4A71-B50F-2C8C4615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BMT.003WA DAT</vt:lpstr>
      <vt:lpstr>BMT.003WA DAT</vt:lpstr>
    </vt:vector>
  </TitlesOfParts>
  <Company>The Ottawa Hospital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BMT.003WA DAT</dc:title>
  <dc:subject/>
  <dc:creator>Transfusion Ontario Program Office</dc:creator>
  <cp:keywords/>
  <cp:lastModifiedBy>Nesrallah, Heather</cp:lastModifiedBy>
  <cp:revision>2</cp:revision>
  <cp:lastPrinted>2011-02-04T16:26:00Z</cp:lastPrinted>
  <dcterms:created xsi:type="dcterms:W3CDTF">2020-08-11T12:40:00Z</dcterms:created>
  <dcterms:modified xsi:type="dcterms:W3CDTF">2020-08-11T12:40:00Z</dcterms:modified>
</cp:coreProperties>
</file>