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3A2" w:rsidRPr="00E95E08" w:rsidRDefault="005135DD">
      <w:pPr>
        <w:numPr>
          <w:ilvl w:val="0"/>
          <w:numId w:val="1"/>
        </w:numPr>
        <w:rPr>
          <w:rFonts w:ascii="Arial" w:hAnsi="Arial"/>
          <w:b/>
          <w:sz w:val="28"/>
          <w:lang w:val="fr-CA"/>
        </w:rPr>
      </w:pPr>
      <w:bookmarkStart w:id="0" w:name="_GoBack"/>
      <w:bookmarkEnd w:id="0"/>
      <w:r w:rsidRPr="00E95E08">
        <w:rPr>
          <w:rFonts w:ascii="Arial" w:hAnsi="Arial"/>
          <w:b/>
          <w:sz w:val="28"/>
          <w:lang w:val="fr-CA"/>
        </w:rPr>
        <w:t>Principe</w:t>
      </w:r>
    </w:p>
    <w:p w:rsidR="003273A2" w:rsidRPr="00E95E08" w:rsidRDefault="003273A2">
      <w:pPr>
        <w:rPr>
          <w:rFonts w:ascii="Arial" w:hAnsi="Arial"/>
          <w:sz w:val="24"/>
          <w:lang w:val="fr-CA"/>
        </w:rPr>
      </w:pPr>
    </w:p>
    <w:p w:rsidR="003273A2" w:rsidRPr="00E95E08" w:rsidRDefault="00E95E08">
      <w:pPr>
        <w:ind w:left="720"/>
        <w:rPr>
          <w:rFonts w:ascii="Arial" w:hAnsi="Arial"/>
          <w:sz w:val="24"/>
          <w:lang w:val="fr-CA"/>
        </w:rPr>
      </w:pPr>
      <w:r w:rsidRPr="00E95E08">
        <w:rPr>
          <w:rFonts w:ascii="Arial" w:hAnsi="Arial"/>
          <w:sz w:val="24"/>
          <w:lang w:val="fr-CA"/>
        </w:rPr>
        <w:t>Pour investiguer les causes possibles d’un résultat positif au test direct à l’antiglobuline (TDA)</w:t>
      </w:r>
      <w:r w:rsidR="003273A2" w:rsidRPr="00E95E08">
        <w:rPr>
          <w:rFonts w:ascii="Arial" w:hAnsi="Arial"/>
          <w:sz w:val="24"/>
          <w:lang w:val="fr-CA"/>
        </w:rPr>
        <w:t>.</w:t>
      </w:r>
    </w:p>
    <w:p w:rsidR="003273A2" w:rsidRPr="00E95E08" w:rsidRDefault="003273A2">
      <w:pPr>
        <w:ind w:left="720"/>
        <w:rPr>
          <w:rFonts w:ascii="Arial" w:hAnsi="Arial"/>
          <w:sz w:val="24"/>
          <w:lang w:val="fr-CA"/>
        </w:rPr>
      </w:pPr>
    </w:p>
    <w:p w:rsidR="003273A2" w:rsidRPr="00E95E08" w:rsidRDefault="00E95E08">
      <w:pPr>
        <w:ind w:left="720"/>
        <w:rPr>
          <w:rFonts w:ascii="Arial" w:hAnsi="Arial"/>
          <w:sz w:val="24"/>
          <w:lang w:val="fr-CA"/>
        </w:rPr>
      </w:pPr>
      <w:r w:rsidRPr="00E95E08">
        <w:rPr>
          <w:rFonts w:ascii="Arial" w:hAnsi="Arial"/>
          <w:sz w:val="24"/>
          <w:lang w:val="fr-CA"/>
        </w:rPr>
        <w:t>L’investigation d’un TDA positif aidera à poser un diagnostic et/ou à établir le traitement transfusionnel approprié.</w:t>
      </w:r>
    </w:p>
    <w:p w:rsidR="003273A2" w:rsidRDefault="003273A2">
      <w:pPr>
        <w:ind w:left="720"/>
        <w:rPr>
          <w:rFonts w:ascii="Arial" w:hAnsi="Arial"/>
          <w:sz w:val="24"/>
          <w:lang w:val="fr-CA"/>
        </w:rPr>
      </w:pPr>
    </w:p>
    <w:p w:rsidR="005E6A8A" w:rsidRPr="00C273D4" w:rsidRDefault="005E6A8A">
      <w:pPr>
        <w:ind w:left="720"/>
        <w:rPr>
          <w:rFonts w:ascii="Arial" w:hAnsi="Arial"/>
          <w:sz w:val="24"/>
          <w:lang w:val="fr-CA"/>
        </w:rPr>
      </w:pPr>
    </w:p>
    <w:p w:rsidR="003273A2" w:rsidRPr="00E95E08" w:rsidRDefault="005135DD">
      <w:pPr>
        <w:numPr>
          <w:ilvl w:val="0"/>
          <w:numId w:val="1"/>
        </w:numPr>
        <w:rPr>
          <w:rFonts w:ascii="Arial" w:hAnsi="Arial"/>
          <w:b/>
          <w:sz w:val="28"/>
          <w:lang w:val="fr-CA"/>
        </w:rPr>
      </w:pPr>
      <w:r w:rsidRPr="00E95E08">
        <w:rPr>
          <w:rFonts w:ascii="Arial" w:hAnsi="Arial"/>
          <w:b/>
          <w:sz w:val="28"/>
          <w:lang w:val="fr-CA"/>
        </w:rPr>
        <w:t>Portée et politiques connexes</w:t>
      </w:r>
    </w:p>
    <w:p w:rsidR="003273A2" w:rsidRPr="00E95E08" w:rsidRDefault="003273A2">
      <w:pPr>
        <w:rPr>
          <w:rFonts w:ascii="Arial" w:hAnsi="Arial"/>
          <w:sz w:val="24"/>
          <w:lang w:val="fr-CA"/>
        </w:rPr>
      </w:pPr>
    </w:p>
    <w:p w:rsidR="003273A2" w:rsidRPr="00E95E08" w:rsidRDefault="005135DD">
      <w:pPr>
        <w:numPr>
          <w:ilvl w:val="1"/>
          <w:numId w:val="1"/>
        </w:numPr>
        <w:rPr>
          <w:rFonts w:ascii="Arial" w:hAnsi="Arial"/>
          <w:sz w:val="24"/>
          <w:lang w:val="fr-CA"/>
        </w:rPr>
      </w:pPr>
      <w:r w:rsidRPr="00E95E08">
        <w:rPr>
          <w:rFonts w:ascii="Arial" w:hAnsi="Arial"/>
          <w:sz w:val="24"/>
          <w:lang w:val="fr-CA"/>
        </w:rPr>
        <w:t>Si l</w:t>
      </w:r>
      <w:r w:rsidR="00E36E60">
        <w:rPr>
          <w:rFonts w:ascii="Arial" w:hAnsi="Arial"/>
          <w:sz w:val="24"/>
          <w:lang w:val="fr-CA"/>
        </w:rPr>
        <w:t>’</w:t>
      </w:r>
      <w:r w:rsidRPr="00E95E08">
        <w:rPr>
          <w:rFonts w:ascii="Arial" w:hAnsi="Arial"/>
          <w:sz w:val="24"/>
          <w:lang w:val="fr-CA"/>
        </w:rPr>
        <w:t>échantillon de plasma du nouveau-né est insuffisant, on peut utiliser un échantillon maternel pour effectuer les épreuves de compatibilité et le dépistage d</w:t>
      </w:r>
      <w:r w:rsidR="00E36E60">
        <w:rPr>
          <w:rFonts w:ascii="Arial" w:hAnsi="Arial"/>
          <w:sz w:val="24"/>
          <w:lang w:val="fr-CA"/>
        </w:rPr>
        <w:t>’</w:t>
      </w:r>
      <w:r w:rsidRPr="00E95E08">
        <w:rPr>
          <w:rFonts w:ascii="Arial" w:hAnsi="Arial"/>
          <w:sz w:val="24"/>
          <w:lang w:val="fr-CA"/>
        </w:rPr>
        <w:t>anticorps</w:t>
      </w:r>
      <w:r w:rsidRPr="00E95E08">
        <w:rPr>
          <w:rFonts w:ascii="Arial" w:hAnsi="Arial"/>
          <w:sz w:val="24"/>
          <w:vertAlign w:val="superscript"/>
          <w:lang w:val="fr-CA"/>
        </w:rPr>
        <w:t>9.1</w:t>
      </w:r>
      <w:r w:rsidRPr="00E95E08">
        <w:rPr>
          <w:rFonts w:ascii="Arial" w:hAnsi="Arial"/>
          <w:sz w:val="24"/>
          <w:lang w:val="fr-CA"/>
        </w:rPr>
        <w:t>.</w:t>
      </w:r>
    </w:p>
    <w:p w:rsidR="003273A2" w:rsidRPr="00C273D4" w:rsidRDefault="003273A2">
      <w:pPr>
        <w:ind w:left="720"/>
        <w:rPr>
          <w:rFonts w:ascii="Arial" w:hAnsi="Arial"/>
          <w:sz w:val="24"/>
          <w:lang w:val="fr-CA"/>
        </w:rPr>
      </w:pPr>
    </w:p>
    <w:p w:rsidR="00F219EA" w:rsidRDefault="00F219EA" w:rsidP="00F219EA">
      <w:pPr>
        <w:numPr>
          <w:ilvl w:val="1"/>
          <w:numId w:val="1"/>
        </w:numPr>
        <w:rPr>
          <w:rFonts w:ascii="Arial" w:hAnsi="Arial"/>
          <w:sz w:val="24"/>
          <w:lang w:val="fr-CA"/>
        </w:rPr>
      </w:pPr>
      <w:r>
        <w:rPr>
          <w:rFonts w:ascii="Arial" w:hAnsi="Arial"/>
          <w:sz w:val="24"/>
          <w:lang w:val="fr-CA"/>
        </w:rPr>
        <w:t>Le réactif à l’antiglobuline utilisé pour l’investigation d’un test direct à l’antiglobuline doit contenir des anti-IgG et des anti-C3d, sauf, s’il s’agit de nouveau-nés. Pour les nouveau-nés, un réactif contenant seulement des anti-IgG peut servir</w:t>
      </w:r>
      <w:r w:rsidRPr="00E95E08">
        <w:rPr>
          <w:rFonts w:ascii="Arial" w:hAnsi="Arial"/>
          <w:sz w:val="24"/>
          <w:vertAlign w:val="superscript"/>
          <w:lang w:val="fr-CA"/>
        </w:rPr>
        <w:t>9.1</w:t>
      </w:r>
      <w:r w:rsidRPr="00E95E08">
        <w:rPr>
          <w:rFonts w:ascii="Arial" w:hAnsi="Arial"/>
          <w:sz w:val="24"/>
          <w:lang w:val="fr-CA"/>
        </w:rPr>
        <w:t>.</w:t>
      </w:r>
    </w:p>
    <w:p w:rsidR="00F219EA" w:rsidRDefault="00F219EA" w:rsidP="00F219EA">
      <w:pPr>
        <w:pStyle w:val="ListParagraph"/>
        <w:rPr>
          <w:rFonts w:ascii="Arial" w:hAnsi="Arial"/>
          <w:sz w:val="24"/>
          <w:lang w:val="fr-CA"/>
        </w:rPr>
      </w:pPr>
    </w:p>
    <w:p w:rsidR="00F219EA" w:rsidRDefault="00F219EA" w:rsidP="00F219EA">
      <w:pPr>
        <w:numPr>
          <w:ilvl w:val="1"/>
          <w:numId w:val="1"/>
        </w:numPr>
        <w:rPr>
          <w:rFonts w:ascii="Arial" w:hAnsi="Arial"/>
          <w:sz w:val="24"/>
          <w:lang w:val="fr-CA"/>
        </w:rPr>
      </w:pPr>
      <w:r>
        <w:rPr>
          <w:rFonts w:ascii="Arial" w:hAnsi="Arial"/>
          <w:sz w:val="24"/>
          <w:lang w:val="fr-CA"/>
        </w:rPr>
        <w:t>Si le TDA confirme la présence de C</w:t>
      </w:r>
      <w:r w:rsidR="008D0A3A">
        <w:rPr>
          <w:rFonts w:ascii="Arial" w:hAnsi="Arial"/>
          <w:sz w:val="24"/>
          <w:lang w:val="fr-CA"/>
        </w:rPr>
        <w:t>3</w:t>
      </w:r>
      <w:r>
        <w:rPr>
          <w:rFonts w:ascii="Arial" w:hAnsi="Arial"/>
          <w:sz w:val="24"/>
          <w:lang w:val="fr-CA"/>
        </w:rPr>
        <w:t>d dans un échantillon coagulé, le résultat doit être vérifié avec un échantillon</w:t>
      </w:r>
      <w:r w:rsidR="00E36E60">
        <w:rPr>
          <w:rFonts w:ascii="Arial" w:hAnsi="Arial"/>
          <w:sz w:val="24"/>
          <w:lang w:val="fr-CA"/>
        </w:rPr>
        <w:t> </w:t>
      </w:r>
      <w:r>
        <w:rPr>
          <w:rFonts w:ascii="Arial" w:hAnsi="Arial"/>
          <w:sz w:val="24"/>
          <w:lang w:val="fr-CA"/>
        </w:rPr>
        <w:t>EDTA</w:t>
      </w:r>
      <w:r w:rsidRPr="00E95E08">
        <w:rPr>
          <w:rFonts w:ascii="Arial" w:hAnsi="Arial"/>
          <w:sz w:val="24"/>
          <w:vertAlign w:val="superscript"/>
          <w:lang w:val="fr-CA"/>
        </w:rPr>
        <w:t>9.1</w:t>
      </w:r>
      <w:r w:rsidRPr="00E95E08">
        <w:rPr>
          <w:rFonts w:ascii="Arial" w:hAnsi="Arial"/>
          <w:sz w:val="24"/>
          <w:lang w:val="fr-CA"/>
        </w:rPr>
        <w:t>.</w:t>
      </w:r>
    </w:p>
    <w:p w:rsidR="005D39DC" w:rsidRDefault="005D39DC" w:rsidP="005D39DC">
      <w:pPr>
        <w:pStyle w:val="ListParagraph"/>
        <w:rPr>
          <w:rFonts w:ascii="Arial" w:hAnsi="Arial"/>
          <w:sz w:val="24"/>
          <w:lang w:val="fr-CA"/>
        </w:rPr>
      </w:pPr>
    </w:p>
    <w:p w:rsidR="005D39DC" w:rsidRPr="00E95E08" w:rsidRDefault="005D39DC" w:rsidP="005D39DC">
      <w:pPr>
        <w:numPr>
          <w:ilvl w:val="1"/>
          <w:numId w:val="1"/>
        </w:numPr>
        <w:rPr>
          <w:rFonts w:ascii="Arial" w:hAnsi="Arial"/>
          <w:sz w:val="24"/>
          <w:lang w:val="fr-CA"/>
        </w:rPr>
      </w:pPr>
      <w:r>
        <w:rPr>
          <w:rFonts w:ascii="Arial" w:hAnsi="Arial"/>
          <w:sz w:val="24"/>
          <w:lang w:val="fr-CA"/>
        </w:rPr>
        <w:t>L’investigation de tout soupçon de réaction transfusionnelle hémolytique doit comprendre un TDA</w:t>
      </w:r>
      <w:r w:rsidRPr="00E95E08">
        <w:rPr>
          <w:rFonts w:ascii="Arial" w:hAnsi="Arial"/>
          <w:sz w:val="24"/>
          <w:vertAlign w:val="superscript"/>
          <w:lang w:val="fr-CA"/>
        </w:rPr>
        <w:t>9</w:t>
      </w:r>
      <w:r>
        <w:rPr>
          <w:rFonts w:ascii="Arial" w:hAnsi="Arial"/>
          <w:sz w:val="24"/>
          <w:vertAlign w:val="superscript"/>
          <w:lang w:val="fr-CA"/>
        </w:rPr>
        <w:t>.2</w:t>
      </w:r>
      <w:r w:rsidRPr="00E95E08">
        <w:rPr>
          <w:rFonts w:ascii="Arial" w:hAnsi="Arial"/>
          <w:sz w:val="24"/>
          <w:lang w:val="fr-CA"/>
        </w:rPr>
        <w:t>.</w:t>
      </w:r>
    </w:p>
    <w:p w:rsidR="005D39DC" w:rsidRPr="00E95E08" w:rsidRDefault="005D39DC" w:rsidP="005D39DC">
      <w:pPr>
        <w:ind w:left="1440"/>
        <w:rPr>
          <w:rFonts w:ascii="Arial" w:hAnsi="Arial"/>
          <w:sz w:val="24"/>
          <w:lang w:val="fr-CA"/>
        </w:rPr>
      </w:pPr>
    </w:p>
    <w:p w:rsidR="003273A2" w:rsidRPr="005D39DC" w:rsidRDefault="005135DD">
      <w:pPr>
        <w:numPr>
          <w:ilvl w:val="0"/>
          <w:numId w:val="1"/>
        </w:numPr>
        <w:rPr>
          <w:rFonts w:ascii="Arial" w:hAnsi="Arial"/>
          <w:b/>
          <w:sz w:val="28"/>
          <w:lang w:val="fr-CA"/>
        </w:rPr>
      </w:pPr>
      <w:r w:rsidRPr="00C273D4">
        <w:rPr>
          <w:rFonts w:ascii="Arial" w:hAnsi="Arial"/>
          <w:b/>
          <w:color w:val="000000"/>
          <w:sz w:val="28"/>
          <w:lang w:val="fr-CA"/>
        </w:rPr>
        <w:t>Échantillons - S.O.</w:t>
      </w:r>
    </w:p>
    <w:p w:rsidR="005D39DC" w:rsidRDefault="005D39DC" w:rsidP="005D39DC">
      <w:pPr>
        <w:rPr>
          <w:rFonts w:ascii="Arial" w:hAnsi="Arial"/>
          <w:b/>
          <w:color w:val="000000"/>
          <w:sz w:val="28"/>
          <w:lang w:val="fr-CA"/>
        </w:rPr>
      </w:pPr>
    </w:p>
    <w:p w:rsidR="003273A2" w:rsidRPr="00E95E08" w:rsidRDefault="005135DD">
      <w:pPr>
        <w:numPr>
          <w:ilvl w:val="0"/>
          <w:numId w:val="1"/>
        </w:numPr>
        <w:rPr>
          <w:rFonts w:ascii="Arial" w:hAnsi="Arial"/>
          <w:b/>
          <w:sz w:val="28"/>
          <w:lang w:val="fr-CA"/>
        </w:rPr>
      </w:pPr>
      <w:r w:rsidRPr="00E95E08">
        <w:rPr>
          <w:rFonts w:ascii="Arial" w:hAnsi="Arial"/>
          <w:b/>
          <w:sz w:val="28"/>
          <w:lang w:val="fr-CA"/>
        </w:rPr>
        <w:t>Matériel - S.O.</w:t>
      </w:r>
    </w:p>
    <w:p w:rsidR="00603FBD" w:rsidRDefault="00603FBD" w:rsidP="00603FBD">
      <w:pPr>
        <w:ind w:left="720"/>
        <w:rPr>
          <w:rFonts w:ascii="Arial" w:hAnsi="Arial"/>
          <w:b/>
          <w:sz w:val="28"/>
          <w:lang w:val="fr-CA"/>
        </w:rPr>
      </w:pPr>
    </w:p>
    <w:p w:rsidR="003273A2" w:rsidRPr="00E95E08" w:rsidRDefault="005135DD">
      <w:pPr>
        <w:numPr>
          <w:ilvl w:val="0"/>
          <w:numId w:val="1"/>
        </w:numPr>
        <w:rPr>
          <w:rFonts w:ascii="Arial" w:hAnsi="Arial"/>
          <w:b/>
          <w:sz w:val="28"/>
          <w:lang w:val="fr-CA"/>
        </w:rPr>
      </w:pPr>
      <w:r w:rsidRPr="00E95E08">
        <w:rPr>
          <w:rFonts w:ascii="Arial" w:hAnsi="Arial"/>
          <w:b/>
          <w:sz w:val="28"/>
          <w:lang w:val="fr-CA"/>
        </w:rPr>
        <w:t>Contrôle de la qualité - S.O.</w:t>
      </w:r>
    </w:p>
    <w:p w:rsidR="003273A2" w:rsidRDefault="003273A2">
      <w:pPr>
        <w:ind w:left="720"/>
        <w:rPr>
          <w:rFonts w:ascii="Arial" w:hAnsi="Arial"/>
          <w:sz w:val="24"/>
          <w:lang w:val="fr-CA"/>
        </w:rPr>
      </w:pPr>
    </w:p>
    <w:p w:rsidR="005D39DC" w:rsidRPr="00E95E08" w:rsidRDefault="005D39DC">
      <w:pPr>
        <w:ind w:left="720"/>
        <w:rPr>
          <w:rFonts w:ascii="Arial" w:hAnsi="Arial"/>
          <w:sz w:val="24"/>
          <w:lang w:val="fr-CA"/>
        </w:rPr>
      </w:pPr>
    </w:p>
    <w:p w:rsidR="003273A2" w:rsidRPr="00E95E08" w:rsidRDefault="005135DD">
      <w:pPr>
        <w:numPr>
          <w:ilvl w:val="0"/>
          <w:numId w:val="1"/>
        </w:numPr>
        <w:rPr>
          <w:rFonts w:ascii="Arial" w:hAnsi="Arial"/>
          <w:b/>
          <w:sz w:val="28"/>
          <w:lang w:val="fr-CA"/>
        </w:rPr>
      </w:pPr>
      <w:r w:rsidRPr="00E95E08">
        <w:rPr>
          <w:rFonts w:ascii="Arial" w:hAnsi="Arial"/>
          <w:b/>
          <w:sz w:val="28"/>
          <w:lang w:val="fr-CA"/>
        </w:rPr>
        <w:lastRenderedPageBreak/>
        <w:t>Procédure</w:t>
      </w:r>
    </w:p>
    <w:p w:rsidR="003273A2" w:rsidRPr="00E95E08" w:rsidRDefault="003273A2">
      <w:pPr>
        <w:spacing w:line="228" w:lineRule="auto"/>
        <w:ind w:left="720"/>
        <w:rPr>
          <w:rFonts w:ascii="Arial" w:hAnsi="Arial"/>
          <w:sz w:val="24"/>
          <w:lang w:val="fr-CA"/>
        </w:rPr>
      </w:pPr>
    </w:p>
    <w:p w:rsidR="005D39DC" w:rsidRDefault="005D39DC">
      <w:pPr>
        <w:numPr>
          <w:ilvl w:val="1"/>
          <w:numId w:val="1"/>
        </w:numPr>
        <w:spacing w:line="228" w:lineRule="auto"/>
        <w:rPr>
          <w:rFonts w:ascii="Arial" w:hAnsi="Arial"/>
          <w:sz w:val="24"/>
          <w:lang w:val="fr-CA"/>
        </w:rPr>
      </w:pPr>
      <w:r>
        <w:rPr>
          <w:rFonts w:ascii="Arial" w:hAnsi="Arial"/>
          <w:sz w:val="24"/>
          <w:lang w:val="fr-CA"/>
        </w:rPr>
        <w:t>Envoi des échantillons à un laboratoire de référence si l’épreuve n’est pas faite sur place.</w:t>
      </w:r>
      <w:r>
        <w:rPr>
          <w:rFonts w:ascii="Arial" w:hAnsi="Arial"/>
          <w:sz w:val="24"/>
          <w:lang w:val="fr-CA"/>
        </w:rPr>
        <w:br/>
      </w:r>
    </w:p>
    <w:p w:rsidR="00B630A2" w:rsidRDefault="00B630A2" w:rsidP="005D39DC">
      <w:pPr>
        <w:numPr>
          <w:ilvl w:val="2"/>
          <w:numId w:val="1"/>
        </w:numPr>
        <w:spacing w:line="228" w:lineRule="auto"/>
        <w:rPr>
          <w:rFonts w:ascii="Arial" w:hAnsi="Arial"/>
          <w:sz w:val="24"/>
          <w:lang w:val="fr-CA"/>
        </w:rPr>
      </w:pPr>
      <w:r>
        <w:rPr>
          <w:rFonts w:ascii="Arial" w:hAnsi="Arial"/>
          <w:sz w:val="24"/>
          <w:lang w:val="fr-CA"/>
        </w:rPr>
        <w:t>Suivre la procédure d’envoi des échantillons</w:t>
      </w:r>
    </w:p>
    <w:p w:rsidR="003273A2" w:rsidRPr="00E95E08" w:rsidRDefault="00B630A2" w:rsidP="00B630A2">
      <w:pPr>
        <w:spacing w:line="228" w:lineRule="auto"/>
        <w:ind w:left="2070"/>
        <w:rPr>
          <w:rFonts w:ascii="Arial" w:hAnsi="Arial"/>
          <w:sz w:val="24"/>
          <w:lang w:val="fr-CA"/>
        </w:rPr>
      </w:pPr>
      <w:r>
        <w:rPr>
          <w:rFonts w:ascii="Arial" w:hAnsi="Arial"/>
          <w:sz w:val="24"/>
          <w:lang w:val="fr-CA"/>
        </w:rPr>
        <w:t>Obtenir</w:t>
      </w:r>
      <w:r w:rsidR="00E95E08" w:rsidRPr="00E95E08">
        <w:rPr>
          <w:rFonts w:ascii="Arial" w:hAnsi="Arial"/>
          <w:sz w:val="24"/>
          <w:lang w:val="fr-CA"/>
        </w:rPr>
        <w:t xml:space="preserve"> les renseignements suivants : </w:t>
      </w:r>
    </w:p>
    <w:p w:rsidR="003273A2" w:rsidRDefault="00F219EA" w:rsidP="005D39DC">
      <w:pPr>
        <w:numPr>
          <w:ilvl w:val="0"/>
          <w:numId w:val="2"/>
        </w:numPr>
        <w:tabs>
          <w:tab w:val="clear" w:pos="360"/>
          <w:tab w:val="num" w:pos="2430"/>
        </w:tabs>
        <w:spacing w:line="228" w:lineRule="auto"/>
        <w:ind w:left="2430"/>
        <w:rPr>
          <w:rFonts w:ascii="Arial" w:hAnsi="Arial"/>
          <w:sz w:val="24"/>
          <w:lang w:val="fr-CA"/>
        </w:rPr>
      </w:pPr>
      <w:r>
        <w:rPr>
          <w:rFonts w:ascii="Arial" w:hAnsi="Arial"/>
          <w:sz w:val="24"/>
          <w:lang w:val="fr-CA"/>
        </w:rPr>
        <w:t>antécédents cliniques (y compris ceux de la mère, s’il s’agit d’un nouveau-né)</w:t>
      </w:r>
    </w:p>
    <w:p w:rsidR="003273A2" w:rsidRPr="00F219EA" w:rsidRDefault="00F219EA" w:rsidP="005D39DC">
      <w:pPr>
        <w:numPr>
          <w:ilvl w:val="0"/>
          <w:numId w:val="2"/>
        </w:numPr>
        <w:tabs>
          <w:tab w:val="clear" w:pos="360"/>
          <w:tab w:val="num" w:pos="2430"/>
        </w:tabs>
        <w:spacing w:line="228" w:lineRule="auto"/>
        <w:ind w:left="2070" w:hanging="22"/>
        <w:rPr>
          <w:rFonts w:ascii="Arial" w:hAnsi="Arial"/>
          <w:sz w:val="24"/>
          <w:lang w:val="fr-CA"/>
        </w:rPr>
      </w:pPr>
      <w:r w:rsidRPr="00F219EA">
        <w:rPr>
          <w:rFonts w:ascii="Arial" w:hAnsi="Arial"/>
          <w:sz w:val="24"/>
          <w:lang w:val="fr-CA"/>
        </w:rPr>
        <w:t>médicaments utilisés</w:t>
      </w:r>
    </w:p>
    <w:p w:rsidR="003273A2" w:rsidRPr="00E95E08" w:rsidRDefault="00E95E08" w:rsidP="005D39DC">
      <w:pPr>
        <w:numPr>
          <w:ilvl w:val="0"/>
          <w:numId w:val="2"/>
        </w:numPr>
        <w:tabs>
          <w:tab w:val="clear" w:pos="360"/>
          <w:tab w:val="num" w:pos="2430"/>
        </w:tabs>
        <w:spacing w:line="228" w:lineRule="auto"/>
        <w:ind w:left="2430"/>
        <w:rPr>
          <w:rFonts w:ascii="Arial" w:hAnsi="Arial"/>
          <w:sz w:val="24"/>
          <w:lang w:val="fr-CA"/>
        </w:rPr>
      </w:pPr>
      <w:r w:rsidRPr="00E95E08">
        <w:rPr>
          <w:rFonts w:ascii="Arial" w:hAnsi="Arial"/>
          <w:sz w:val="24"/>
          <w:lang w:val="fr-CA"/>
        </w:rPr>
        <w:t>t</w:t>
      </w:r>
      <w:r w:rsidR="003273A2" w:rsidRPr="00E95E08">
        <w:rPr>
          <w:rFonts w:ascii="Arial" w:hAnsi="Arial"/>
          <w:sz w:val="24"/>
          <w:lang w:val="fr-CA"/>
        </w:rPr>
        <w:t xml:space="preserve">ransfusion(s) </w:t>
      </w:r>
      <w:r w:rsidRPr="00E95E08">
        <w:rPr>
          <w:rFonts w:ascii="Arial" w:hAnsi="Arial"/>
          <w:sz w:val="24"/>
          <w:lang w:val="fr-CA"/>
        </w:rPr>
        <w:t xml:space="preserve">reçues au cours des </w:t>
      </w:r>
      <w:r w:rsidR="003273A2" w:rsidRPr="00E95E08">
        <w:rPr>
          <w:rFonts w:ascii="Arial" w:hAnsi="Arial"/>
          <w:sz w:val="24"/>
          <w:lang w:val="fr-CA"/>
        </w:rPr>
        <w:t xml:space="preserve">3 </w:t>
      </w:r>
      <w:r w:rsidRPr="00E95E08">
        <w:rPr>
          <w:rFonts w:ascii="Arial" w:hAnsi="Arial"/>
          <w:sz w:val="24"/>
          <w:lang w:val="fr-CA"/>
        </w:rPr>
        <w:t>derniers mois</w:t>
      </w:r>
    </w:p>
    <w:p w:rsidR="003273A2" w:rsidRPr="00E95E08" w:rsidRDefault="003273A2" w:rsidP="005D39DC">
      <w:pPr>
        <w:spacing w:line="228" w:lineRule="auto"/>
        <w:ind w:left="630"/>
        <w:rPr>
          <w:rFonts w:ascii="Arial" w:hAnsi="Arial"/>
          <w:sz w:val="24"/>
          <w:lang w:val="fr-CA"/>
        </w:rPr>
      </w:pPr>
    </w:p>
    <w:p w:rsidR="003273A2" w:rsidRPr="00C273D4" w:rsidRDefault="005135DD">
      <w:pPr>
        <w:pStyle w:val="BodyTextIndent"/>
        <w:spacing w:line="228" w:lineRule="auto"/>
        <w:rPr>
          <w:lang w:val="fr-CA"/>
        </w:rPr>
      </w:pPr>
      <w:r w:rsidRPr="00E95E08">
        <w:rPr>
          <w:lang w:val="fr-CA"/>
        </w:rPr>
        <w:t>Pour obtenir des antécédents précis, il sera peut-être nécessaire de consulter le patient ou sa famille, l</w:t>
      </w:r>
      <w:r w:rsidR="00E36E60">
        <w:rPr>
          <w:lang w:val="fr-CA"/>
        </w:rPr>
        <w:t>’</w:t>
      </w:r>
      <w:r w:rsidRPr="00E95E08">
        <w:rPr>
          <w:lang w:val="fr-CA"/>
        </w:rPr>
        <w:t>infirmière et/ou le médecin</w:t>
      </w:r>
      <w:r w:rsidRPr="00C273D4">
        <w:rPr>
          <w:lang w:val="fr-CA"/>
        </w:rPr>
        <w:t>.</w:t>
      </w:r>
    </w:p>
    <w:p w:rsidR="003273A2" w:rsidRPr="00C273D4" w:rsidRDefault="003273A2">
      <w:pPr>
        <w:spacing w:line="228" w:lineRule="auto"/>
        <w:rPr>
          <w:rFonts w:ascii="Arial" w:hAnsi="Arial"/>
          <w:sz w:val="24"/>
          <w:lang w:val="fr-CA"/>
        </w:rPr>
      </w:pPr>
    </w:p>
    <w:p w:rsidR="005D39DC" w:rsidRDefault="005D39DC">
      <w:pPr>
        <w:numPr>
          <w:ilvl w:val="1"/>
          <w:numId w:val="1"/>
        </w:numPr>
        <w:spacing w:line="228" w:lineRule="auto"/>
        <w:rPr>
          <w:rFonts w:ascii="Arial" w:hAnsi="Arial"/>
          <w:sz w:val="24"/>
          <w:lang w:val="fr-CA"/>
        </w:rPr>
      </w:pPr>
      <w:r>
        <w:rPr>
          <w:rFonts w:ascii="Arial" w:hAnsi="Arial"/>
          <w:sz w:val="24"/>
          <w:lang w:val="fr-CA"/>
        </w:rPr>
        <w:t>Épreuve faite sur place.</w:t>
      </w:r>
    </w:p>
    <w:p w:rsidR="005D39DC" w:rsidRDefault="005D39DC" w:rsidP="005D39DC">
      <w:pPr>
        <w:spacing w:line="228" w:lineRule="auto"/>
        <w:ind w:left="1440"/>
        <w:rPr>
          <w:rFonts w:ascii="Arial" w:hAnsi="Arial"/>
          <w:sz w:val="24"/>
          <w:lang w:val="fr-CA"/>
        </w:rPr>
      </w:pPr>
    </w:p>
    <w:p w:rsidR="003273A2" w:rsidRPr="00A66673" w:rsidRDefault="00A66673" w:rsidP="005D39DC">
      <w:pPr>
        <w:numPr>
          <w:ilvl w:val="2"/>
          <w:numId w:val="1"/>
        </w:numPr>
        <w:spacing w:line="228" w:lineRule="auto"/>
        <w:rPr>
          <w:rFonts w:ascii="Arial" w:hAnsi="Arial"/>
          <w:sz w:val="24"/>
          <w:lang w:val="fr-CA"/>
        </w:rPr>
      </w:pPr>
      <w:r w:rsidRPr="00A66673">
        <w:rPr>
          <w:rFonts w:ascii="Arial" w:hAnsi="Arial"/>
          <w:sz w:val="24"/>
          <w:lang w:val="fr-CA"/>
        </w:rPr>
        <w:t xml:space="preserve">Envisager la possibilité d’une réaction transfusionnelle hémolytique tardive si le patient a </w:t>
      </w:r>
      <w:r w:rsidRPr="00F219EA">
        <w:rPr>
          <w:rFonts w:ascii="Arial" w:hAnsi="Arial"/>
          <w:sz w:val="24"/>
          <w:lang w:val="fr-CA"/>
        </w:rPr>
        <w:t>reçu une transfusion</w:t>
      </w:r>
      <w:r w:rsidRPr="00A66673">
        <w:rPr>
          <w:rFonts w:ascii="Arial" w:hAnsi="Arial"/>
          <w:sz w:val="24"/>
          <w:lang w:val="fr-CA"/>
        </w:rPr>
        <w:t xml:space="preserve"> au cours des 3 derniers mois</w:t>
      </w:r>
      <w:r>
        <w:rPr>
          <w:rFonts w:ascii="Arial" w:hAnsi="Arial"/>
          <w:sz w:val="24"/>
          <w:lang w:val="fr-CA"/>
        </w:rPr>
        <w:t xml:space="preserve"> </w:t>
      </w:r>
      <w:r w:rsidR="003273A2" w:rsidRPr="00A66673">
        <w:rPr>
          <w:rFonts w:ascii="Arial" w:hAnsi="Arial"/>
          <w:sz w:val="24"/>
          <w:lang w:val="fr-CA"/>
        </w:rPr>
        <w:t>(o</w:t>
      </w:r>
      <w:r w:rsidRPr="00A66673">
        <w:rPr>
          <w:rFonts w:ascii="Arial" w:hAnsi="Arial"/>
          <w:sz w:val="24"/>
          <w:lang w:val="fr-CA"/>
        </w:rPr>
        <w:t xml:space="preserve">u si les antécédents transfusionnels sont </w:t>
      </w:r>
      <w:r w:rsidR="00802783">
        <w:rPr>
          <w:rFonts w:ascii="Arial" w:hAnsi="Arial"/>
          <w:sz w:val="24"/>
          <w:lang w:val="fr-CA"/>
        </w:rPr>
        <w:t xml:space="preserve">incertains </w:t>
      </w:r>
      <w:r w:rsidRPr="00A66673">
        <w:rPr>
          <w:rFonts w:ascii="Arial" w:hAnsi="Arial"/>
          <w:sz w:val="24"/>
          <w:lang w:val="fr-CA"/>
        </w:rPr>
        <w:t>ou inconnus</w:t>
      </w:r>
      <w:r w:rsidR="003273A2" w:rsidRPr="00A66673">
        <w:rPr>
          <w:rFonts w:ascii="Arial" w:hAnsi="Arial"/>
          <w:sz w:val="24"/>
          <w:lang w:val="fr-CA"/>
        </w:rPr>
        <w:t xml:space="preserve">). </w:t>
      </w:r>
      <w:r w:rsidR="005135DD" w:rsidRPr="00A66673">
        <w:rPr>
          <w:rFonts w:ascii="Arial" w:hAnsi="Arial"/>
          <w:sz w:val="24"/>
          <w:lang w:val="fr-CA"/>
        </w:rPr>
        <w:t xml:space="preserve">Voir </w:t>
      </w:r>
      <w:r w:rsidR="00605ACD">
        <w:rPr>
          <w:rFonts w:ascii="Arial" w:hAnsi="Arial"/>
          <w:sz w:val="24"/>
          <w:lang w:val="fr-CA"/>
        </w:rPr>
        <w:t xml:space="preserve">la </w:t>
      </w:r>
      <w:r w:rsidR="005135DD" w:rsidRPr="00A66673">
        <w:rPr>
          <w:rFonts w:ascii="Arial" w:hAnsi="Arial"/>
          <w:sz w:val="24"/>
          <w:lang w:val="fr-CA"/>
        </w:rPr>
        <w:t>Remarque</w:t>
      </w:r>
      <w:r w:rsidR="00E36E60">
        <w:rPr>
          <w:rFonts w:ascii="Arial" w:hAnsi="Arial"/>
          <w:sz w:val="24"/>
          <w:lang w:val="fr-CA"/>
        </w:rPr>
        <w:t> </w:t>
      </w:r>
      <w:r w:rsidR="005135DD" w:rsidRPr="00A66673">
        <w:rPr>
          <w:rFonts w:ascii="Arial" w:hAnsi="Arial"/>
          <w:sz w:val="24"/>
          <w:lang w:val="fr-CA"/>
        </w:rPr>
        <w:t>8.1.</w:t>
      </w:r>
    </w:p>
    <w:p w:rsidR="003273A2" w:rsidRPr="00C273D4" w:rsidRDefault="00A66673">
      <w:pPr>
        <w:numPr>
          <w:ilvl w:val="2"/>
          <w:numId w:val="1"/>
        </w:numPr>
        <w:spacing w:line="228" w:lineRule="auto"/>
        <w:rPr>
          <w:rFonts w:ascii="Arial" w:hAnsi="Arial"/>
          <w:sz w:val="24"/>
          <w:lang w:val="fr-CA"/>
        </w:rPr>
      </w:pPr>
      <w:r>
        <w:rPr>
          <w:rFonts w:ascii="Arial" w:hAnsi="Arial"/>
          <w:sz w:val="24"/>
          <w:lang w:val="fr-CA"/>
        </w:rPr>
        <w:t>Trouver où la transfusion a eu lieu et communiquer avec l’établissement pour se renseigner sur le dépistage d’anticorps prétransfusionnel et les résultats du TDA</w:t>
      </w:r>
      <w:r w:rsidR="003273A2" w:rsidRPr="00C273D4">
        <w:rPr>
          <w:rFonts w:ascii="Arial" w:hAnsi="Arial"/>
          <w:sz w:val="24"/>
          <w:lang w:val="fr-CA"/>
        </w:rPr>
        <w:t>.</w:t>
      </w:r>
    </w:p>
    <w:p w:rsidR="003273A2" w:rsidRDefault="00A66673">
      <w:pPr>
        <w:numPr>
          <w:ilvl w:val="2"/>
          <w:numId w:val="1"/>
        </w:numPr>
        <w:spacing w:line="228" w:lineRule="auto"/>
        <w:rPr>
          <w:rFonts w:ascii="Arial" w:hAnsi="Arial"/>
          <w:sz w:val="24"/>
          <w:lang w:val="fr-CA"/>
        </w:rPr>
      </w:pPr>
      <w:r w:rsidRPr="00A66673">
        <w:rPr>
          <w:rFonts w:ascii="Arial" w:hAnsi="Arial"/>
          <w:sz w:val="24"/>
          <w:lang w:val="fr-CA"/>
        </w:rPr>
        <w:t>Procéder à un dépistage d’anticorps ou à un</w:t>
      </w:r>
      <w:r w:rsidR="00A8556C">
        <w:rPr>
          <w:rFonts w:ascii="Arial" w:hAnsi="Arial"/>
          <w:sz w:val="24"/>
          <w:lang w:val="fr-CA"/>
        </w:rPr>
        <w:t>e procédure de</w:t>
      </w:r>
      <w:r w:rsidRPr="00A66673">
        <w:rPr>
          <w:rFonts w:ascii="Arial" w:hAnsi="Arial"/>
          <w:sz w:val="24"/>
          <w:lang w:val="fr-CA"/>
        </w:rPr>
        <w:t xml:space="preserve"> </w:t>
      </w:r>
      <w:r w:rsidR="003273A2" w:rsidRPr="00A8556C">
        <w:rPr>
          <w:rFonts w:ascii="Arial" w:hAnsi="Arial"/>
          <w:sz w:val="24"/>
          <w:lang w:val="fr-CA"/>
        </w:rPr>
        <w:t>group</w:t>
      </w:r>
      <w:r w:rsidR="00A8556C" w:rsidRPr="00A8556C">
        <w:rPr>
          <w:rFonts w:ascii="Arial" w:hAnsi="Arial"/>
          <w:sz w:val="24"/>
          <w:lang w:val="fr-CA"/>
        </w:rPr>
        <w:t xml:space="preserve">age et dépistage </w:t>
      </w:r>
      <w:r w:rsidRPr="00A8556C">
        <w:rPr>
          <w:rFonts w:ascii="Arial" w:hAnsi="Arial"/>
          <w:sz w:val="24"/>
          <w:lang w:val="fr-CA"/>
        </w:rPr>
        <w:t>sur l’échantillon courant</w:t>
      </w:r>
      <w:r w:rsidR="003273A2" w:rsidRPr="00C273D4">
        <w:rPr>
          <w:rFonts w:ascii="Arial" w:hAnsi="Arial"/>
          <w:sz w:val="24"/>
          <w:lang w:val="fr-CA"/>
        </w:rPr>
        <w:t>.</w:t>
      </w:r>
    </w:p>
    <w:p w:rsidR="005D39DC" w:rsidRPr="00C273D4" w:rsidRDefault="005D39DC" w:rsidP="005D39DC">
      <w:pPr>
        <w:spacing w:line="228" w:lineRule="auto"/>
        <w:ind w:left="2070"/>
        <w:rPr>
          <w:rFonts w:ascii="Arial" w:hAnsi="Arial"/>
          <w:sz w:val="24"/>
          <w:lang w:val="fr-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890"/>
      </w:tblGrid>
      <w:tr w:rsidR="005D39DC" w:rsidRPr="00075681" w:rsidTr="00075681">
        <w:tc>
          <w:tcPr>
            <w:tcW w:w="2354" w:type="dxa"/>
          </w:tcPr>
          <w:p w:rsidR="005D39DC" w:rsidRPr="00075681" w:rsidRDefault="005D39DC" w:rsidP="00075681">
            <w:pPr>
              <w:spacing w:line="228" w:lineRule="auto"/>
              <w:rPr>
                <w:rFonts w:ascii="Arial" w:hAnsi="Arial"/>
                <w:b/>
                <w:i/>
                <w:sz w:val="22"/>
                <w:szCs w:val="22"/>
                <w:lang w:val="fr-CA"/>
              </w:rPr>
            </w:pPr>
            <w:r w:rsidRPr="00075681">
              <w:rPr>
                <w:rFonts w:ascii="Arial" w:hAnsi="Arial"/>
                <w:b/>
                <w:i/>
                <w:sz w:val="22"/>
                <w:szCs w:val="22"/>
                <w:lang w:val="fr-CA"/>
              </w:rPr>
              <w:t>Si…</w:t>
            </w:r>
          </w:p>
        </w:tc>
        <w:tc>
          <w:tcPr>
            <w:tcW w:w="5062" w:type="dxa"/>
          </w:tcPr>
          <w:p w:rsidR="005D39DC" w:rsidRPr="00075681" w:rsidRDefault="005D39DC" w:rsidP="00075681">
            <w:pPr>
              <w:spacing w:line="228" w:lineRule="auto"/>
              <w:rPr>
                <w:rFonts w:ascii="Arial" w:hAnsi="Arial"/>
                <w:b/>
                <w:i/>
                <w:sz w:val="22"/>
                <w:szCs w:val="22"/>
                <w:lang w:val="fr-CA"/>
              </w:rPr>
            </w:pPr>
            <w:r w:rsidRPr="00075681">
              <w:rPr>
                <w:rFonts w:ascii="Arial" w:hAnsi="Arial"/>
                <w:b/>
                <w:i/>
                <w:sz w:val="22"/>
                <w:szCs w:val="22"/>
                <w:lang w:val="fr-CA"/>
              </w:rPr>
              <w:t>vous devez…</w:t>
            </w:r>
          </w:p>
        </w:tc>
      </w:tr>
      <w:tr w:rsidR="005D39DC" w:rsidRPr="00075681" w:rsidTr="00075681">
        <w:tc>
          <w:tcPr>
            <w:tcW w:w="2354" w:type="dxa"/>
          </w:tcPr>
          <w:p w:rsidR="005D39DC" w:rsidRPr="00075681" w:rsidRDefault="005D39DC" w:rsidP="00075681">
            <w:pPr>
              <w:spacing w:line="228" w:lineRule="auto"/>
              <w:rPr>
                <w:rFonts w:ascii="Arial" w:hAnsi="Arial"/>
                <w:sz w:val="22"/>
                <w:szCs w:val="22"/>
                <w:lang w:val="fr-CA"/>
              </w:rPr>
            </w:pPr>
            <w:r w:rsidRPr="00075681">
              <w:rPr>
                <w:rFonts w:ascii="Arial" w:hAnsi="Arial"/>
                <w:sz w:val="22"/>
                <w:szCs w:val="22"/>
                <w:lang w:val="fr-CA"/>
              </w:rPr>
              <w:t>le dépistage d’anticorps est positif</w:t>
            </w:r>
            <w:r w:rsidR="006B228D" w:rsidRPr="00075681">
              <w:rPr>
                <w:rFonts w:ascii="Arial" w:hAnsi="Arial"/>
                <w:sz w:val="22"/>
                <w:szCs w:val="22"/>
                <w:lang w:val="fr-CA"/>
              </w:rPr>
              <w:t>,</w:t>
            </w:r>
          </w:p>
        </w:tc>
        <w:tc>
          <w:tcPr>
            <w:tcW w:w="5062" w:type="dxa"/>
          </w:tcPr>
          <w:p w:rsidR="005D39DC" w:rsidRPr="00075681" w:rsidRDefault="00605ACD" w:rsidP="00075681">
            <w:pPr>
              <w:spacing w:line="228" w:lineRule="auto"/>
              <w:rPr>
                <w:rFonts w:ascii="Arial" w:hAnsi="Arial"/>
                <w:sz w:val="22"/>
                <w:szCs w:val="22"/>
                <w:lang w:val="fr-CA"/>
              </w:rPr>
            </w:pPr>
            <w:r w:rsidRPr="00075681">
              <w:rPr>
                <w:rFonts w:ascii="Arial" w:hAnsi="Arial"/>
                <w:sz w:val="22"/>
                <w:szCs w:val="22"/>
                <w:lang w:val="fr-CA"/>
              </w:rPr>
              <w:t>faire une identification d’anticorps. Voir EC.007- Identification d’anticorps réactifs chauds</w:t>
            </w:r>
          </w:p>
        </w:tc>
      </w:tr>
      <w:tr w:rsidR="005D39DC" w:rsidRPr="00075681" w:rsidTr="00075681">
        <w:tc>
          <w:tcPr>
            <w:tcW w:w="2354" w:type="dxa"/>
          </w:tcPr>
          <w:p w:rsidR="005D39DC" w:rsidRPr="00075681" w:rsidRDefault="00605ACD" w:rsidP="00075681">
            <w:pPr>
              <w:spacing w:line="228" w:lineRule="auto"/>
              <w:rPr>
                <w:rFonts w:ascii="Arial" w:hAnsi="Arial"/>
                <w:sz w:val="22"/>
                <w:szCs w:val="22"/>
                <w:lang w:val="fr-CA"/>
              </w:rPr>
            </w:pPr>
            <w:r w:rsidRPr="00075681">
              <w:rPr>
                <w:rFonts w:ascii="Arial" w:hAnsi="Arial"/>
                <w:sz w:val="22"/>
                <w:szCs w:val="22"/>
                <w:lang w:val="fr-CA"/>
              </w:rPr>
              <w:t>toutes les cellules (de dépistage et de panel) sont positives</w:t>
            </w:r>
            <w:r w:rsidR="006B228D" w:rsidRPr="00075681">
              <w:rPr>
                <w:rFonts w:ascii="Arial" w:hAnsi="Arial"/>
                <w:sz w:val="22"/>
                <w:szCs w:val="22"/>
                <w:lang w:val="fr-CA"/>
              </w:rPr>
              <w:t>,</w:t>
            </w:r>
          </w:p>
        </w:tc>
        <w:tc>
          <w:tcPr>
            <w:tcW w:w="5062" w:type="dxa"/>
          </w:tcPr>
          <w:p w:rsidR="005D39DC" w:rsidRPr="00075681" w:rsidRDefault="00605ACD" w:rsidP="00075681">
            <w:pPr>
              <w:spacing w:line="228" w:lineRule="auto"/>
              <w:rPr>
                <w:rFonts w:ascii="Arial" w:hAnsi="Arial"/>
                <w:sz w:val="22"/>
                <w:szCs w:val="22"/>
                <w:lang w:val="fr-CA"/>
              </w:rPr>
            </w:pPr>
            <w:r w:rsidRPr="00075681">
              <w:rPr>
                <w:rFonts w:ascii="Arial" w:hAnsi="Arial"/>
                <w:sz w:val="22"/>
                <w:szCs w:val="22"/>
                <w:lang w:val="fr-CA"/>
              </w:rPr>
              <w:t>envisager la possibilité de procéder à une adsorption allogénique ou d’envoyer les échantillons à un laboratoire de référence pour investigation. Voir la Remarque</w:t>
            </w:r>
            <w:r w:rsidR="00E36E60" w:rsidRPr="00075681">
              <w:rPr>
                <w:rFonts w:ascii="Arial" w:hAnsi="Arial"/>
                <w:sz w:val="22"/>
                <w:szCs w:val="22"/>
                <w:lang w:val="fr-CA"/>
              </w:rPr>
              <w:t> </w:t>
            </w:r>
            <w:r w:rsidRPr="00075681">
              <w:rPr>
                <w:rFonts w:ascii="Arial" w:hAnsi="Arial"/>
                <w:sz w:val="22"/>
                <w:szCs w:val="22"/>
                <w:lang w:val="fr-CA"/>
              </w:rPr>
              <w:t>8.2.</w:t>
            </w:r>
          </w:p>
        </w:tc>
      </w:tr>
    </w:tbl>
    <w:p w:rsidR="003273A2" w:rsidRPr="005D39DC" w:rsidRDefault="003273A2">
      <w:pPr>
        <w:spacing w:line="228" w:lineRule="auto"/>
        <w:ind w:left="1440"/>
        <w:rPr>
          <w:rFonts w:ascii="Arial" w:hAnsi="Arial"/>
          <w:sz w:val="22"/>
          <w:szCs w:val="22"/>
          <w:lang w:val="fr-CA"/>
        </w:rPr>
      </w:pPr>
    </w:p>
    <w:p w:rsidR="003273A2" w:rsidRPr="00E219C8" w:rsidRDefault="00E219C8">
      <w:pPr>
        <w:numPr>
          <w:ilvl w:val="2"/>
          <w:numId w:val="1"/>
        </w:numPr>
        <w:spacing w:line="228" w:lineRule="auto"/>
        <w:rPr>
          <w:rFonts w:ascii="Arial" w:hAnsi="Arial"/>
          <w:sz w:val="24"/>
          <w:lang w:val="fr-CA"/>
        </w:rPr>
      </w:pPr>
      <w:r w:rsidRPr="00E219C8">
        <w:rPr>
          <w:rFonts w:ascii="Arial" w:hAnsi="Arial"/>
          <w:sz w:val="24"/>
          <w:lang w:val="fr-CA"/>
        </w:rPr>
        <w:t xml:space="preserve">Préparer un éluat ou envoyer l’échantillon à un laboratoire </w:t>
      </w:r>
      <w:r w:rsidR="001623C1">
        <w:rPr>
          <w:rFonts w:ascii="Arial" w:hAnsi="Arial"/>
          <w:sz w:val="24"/>
          <w:lang w:val="fr-CA"/>
        </w:rPr>
        <w:t>de référence</w:t>
      </w:r>
      <w:r w:rsidRPr="00E219C8">
        <w:rPr>
          <w:rFonts w:ascii="Arial" w:hAnsi="Arial"/>
          <w:sz w:val="24"/>
          <w:lang w:val="fr-CA"/>
        </w:rPr>
        <w:t xml:space="preserve"> qui fera l</w:t>
      </w:r>
      <w:r>
        <w:rPr>
          <w:rFonts w:ascii="Arial" w:hAnsi="Arial"/>
          <w:sz w:val="24"/>
          <w:lang w:val="fr-CA"/>
        </w:rPr>
        <w:t>a procédure d’élution</w:t>
      </w:r>
      <w:r w:rsidR="003273A2" w:rsidRPr="00E219C8">
        <w:rPr>
          <w:rFonts w:ascii="Arial" w:hAnsi="Arial"/>
          <w:sz w:val="24"/>
          <w:lang w:val="fr-CA"/>
        </w:rPr>
        <w:t>.</w:t>
      </w:r>
      <w:r w:rsidR="00A66673" w:rsidRPr="00E219C8">
        <w:rPr>
          <w:rFonts w:ascii="Arial" w:hAnsi="Arial"/>
          <w:sz w:val="24"/>
          <w:lang w:val="fr-CA"/>
        </w:rPr>
        <w:t xml:space="preserve"> </w:t>
      </w:r>
      <w:r w:rsidR="005135DD" w:rsidRPr="00E219C8">
        <w:rPr>
          <w:rFonts w:ascii="Arial" w:hAnsi="Arial"/>
          <w:sz w:val="24"/>
          <w:lang w:val="fr-CA"/>
        </w:rPr>
        <w:t>Voir EC.010 – Élution avec une solution acide.</w:t>
      </w:r>
      <w:r w:rsidR="003273A2" w:rsidRPr="00E219C8">
        <w:rPr>
          <w:rFonts w:ascii="Arial" w:hAnsi="Arial"/>
          <w:sz w:val="24"/>
          <w:lang w:val="fr-CA"/>
        </w:rPr>
        <w:t xml:space="preserve"> </w:t>
      </w:r>
      <w:r w:rsidR="00E95E08" w:rsidRPr="00E219C8">
        <w:rPr>
          <w:rFonts w:ascii="Arial" w:hAnsi="Arial"/>
          <w:sz w:val="24"/>
          <w:lang w:val="fr-CA"/>
        </w:rPr>
        <w:t>On peut omettre l’élution si tous les critères mentionnés à la Remarque</w:t>
      </w:r>
      <w:r w:rsidR="00E36E60">
        <w:rPr>
          <w:rFonts w:ascii="Arial" w:hAnsi="Arial"/>
          <w:sz w:val="24"/>
          <w:lang w:val="fr-CA"/>
        </w:rPr>
        <w:t> </w:t>
      </w:r>
      <w:r w:rsidR="003273A2" w:rsidRPr="00E219C8">
        <w:rPr>
          <w:rFonts w:ascii="Arial" w:hAnsi="Arial"/>
          <w:sz w:val="24"/>
          <w:lang w:val="fr-CA"/>
        </w:rPr>
        <w:t xml:space="preserve">8.3 </w:t>
      </w:r>
      <w:r w:rsidR="00E95E08" w:rsidRPr="00E219C8">
        <w:rPr>
          <w:rFonts w:ascii="Arial" w:hAnsi="Arial"/>
          <w:sz w:val="24"/>
          <w:lang w:val="fr-CA"/>
        </w:rPr>
        <w:t>sont respectés ou si ce sont les directives d’un médecin affecté au laboratoire</w:t>
      </w:r>
      <w:r w:rsidR="003273A2" w:rsidRPr="00E219C8">
        <w:rPr>
          <w:rFonts w:ascii="Arial" w:hAnsi="Arial"/>
          <w:sz w:val="24"/>
          <w:lang w:val="fr-CA"/>
        </w:rPr>
        <w:t>.</w:t>
      </w:r>
    </w:p>
    <w:p w:rsidR="00605ACD" w:rsidRPr="00C273D4" w:rsidRDefault="00605ACD" w:rsidP="00605ACD">
      <w:pPr>
        <w:spacing w:line="228" w:lineRule="auto"/>
        <w:ind w:left="720"/>
        <w:rPr>
          <w:rFonts w:ascii="Arial" w:hAnsi="Arial"/>
          <w:sz w:val="24"/>
          <w:lang w:val="fr-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4891"/>
      </w:tblGrid>
      <w:tr w:rsidR="00605ACD" w:rsidRPr="00075681" w:rsidTr="00075681">
        <w:tc>
          <w:tcPr>
            <w:tcW w:w="2354" w:type="dxa"/>
          </w:tcPr>
          <w:p w:rsidR="00605ACD" w:rsidRPr="00075681" w:rsidRDefault="00605ACD" w:rsidP="00075681">
            <w:pPr>
              <w:spacing w:line="228" w:lineRule="auto"/>
              <w:rPr>
                <w:rFonts w:ascii="Arial" w:hAnsi="Arial"/>
                <w:b/>
                <w:i/>
                <w:sz w:val="22"/>
                <w:szCs w:val="22"/>
                <w:lang w:val="fr-CA"/>
              </w:rPr>
            </w:pPr>
            <w:r w:rsidRPr="00075681">
              <w:rPr>
                <w:rFonts w:ascii="Arial" w:hAnsi="Arial"/>
                <w:b/>
                <w:i/>
                <w:sz w:val="22"/>
                <w:szCs w:val="22"/>
                <w:lang w:val="fr-CA"/>
              </w:rPr>
              <w:t>Si…</w:t>
            </w:r>
          </w:p>
        </w:tc>
        <w:tc>
          <w:tcPr>
            <w:tcW w:w="5062" w:type="dxa"/>
          </w:tcPr>
          <w:p w:rsidR="00605ACD" w:rsidRPr="00075681" w:rsidRDefault="00605ACD" w:rsidP="00075681">
            <w:pPr>
              <w:spacing w:line="228" w:lineRule="auto"/>
              <w:rPr>
                <w:rFonts w:ascii="Arial" w:hAnsi="Arial"/>
                <w:b/>
                <w:i/>
                <w:sz w:val="22"/>
                <w:szCs w:val="22"/>
                <w:lang w:val="fr-CA"/>
              </w:rPr>
            </w:pPr>
          </w:p>
        </w:tc>
      </w:tr>
      <w:tr w:rsidR="00605ACD" w:rsidRPr="00075681" w:rsidTr="00075681">
        <w:tc>
          <w:tcPr>
            <w:tcW w:w="2354" w:type="dxa"/>
          </w:tcPr>
          <w:p w:rsidR="00605ACD" w:rsidRPr="00075681" w:rsidRDefault="00605ACD" w:rsidP="00075681">
            <w:pPr>
              <w:spacing w:line="228" w:lineRule="auto"/>
              <w:rPr>
                <w:rFonts w:ascii="Arial" w:hAnsi="Arial"/>
                <w:sz w:val="22"/>
                <w:szCs w:val="22"/>
                <w:lang w:val="fr-CA"/>
              </w:rPr>
            </w:pPr>
            <w:r w:rsidRPr="00075681">
              <w:rPr>
                <w:rFonts w:ascii="Arial" w:hAnsi="Arial"/>
                <w:sz w:val="22"/>
                <w:lang w:val="fr-CA"/>
              </w:rPr>
              <w:t>le patient n’a pas reçu de transfusion au cours des 3 derniers mois,</w:t>
            </w:r>
          </w:p>
        </w:tc>
        <w:tc>
          <w:tcPr>
            <w:tcW w:w="5062" w:type="dxa"/>
          </w:tcPr>
          <w:p w:rsidR="00605ACD" w:rsidRPr="00075681" w:rsidRDefault="00605ACD" w:rsidP="00075681">
            <w:pPr>
              <w:spacing w:line="228" w:lineRule="auto"/>
              <w:ind w:left="34"/>
              <w:rPr>
                <w:rFonts w:ascii="Arial" w:hAnsi="Arial"/>
                <w:sz w:val="22"/>
                <w:lang w:val="fr-CA"/>
              </w:rPr>
            </w:pPr>
            <w:r w:rsidRPr="00075681">
              <w:rPr>
                <w:rFonts w:ascii="Arial" w:hAnsi="Arial"/>
                <w:sz w:val="22"/>
                <w:lang w:val="fr-CA"/>
              </w:rPr>
              <w:t>un éluat n’est pas requis. Voir Remarque</w:t>
            </w:r>
            <w:r w:rsidR="00E36E60" w:rsidRPr="00075681">
              <w:rPr>
                <w:rFonts w:ascii="Arial" w:hAnsi="Arial"/>
                <w:sz w:val="22"/>
                <w:lang w:val="fr-CA"/>
              </w:rPr>
              <w:t> </w:t>
            </w:r>
            <w:r w:rsidRPr="00075681">
              <w:rPr>
                <w:rFonts w:ascii="Arial" w:hAnsi="Arial"/>
                <w:sz w:val="22"/>
                <w:lang w:val="fr-CA"/>
              </w:rPr>
              <w:t>8.4.</w:t>
            </w:r>
          </w:p>
          <w:p w:rsidR="00605ACD" w:rsidRPr="00075681" w:rsidRDefault="00605ACD" w:rsidP="00075681">
            <w:pPr>
              <w:spacing w:line="228" w:lineRule="auto"/>
              <w:ind w:left="34"/>
              <w:rPr>
                <w:rFonts w:ascii="Arial" w:hAnsi="Arial"/>
                <w:sz w:val="22"/>
                <w:lang w:val="fr-CA"/>
              </w:rPr>
            </w:pPr>
          </w:p>
          <w:p w:rsidR="00605ACD" w:rsidRPr="00075681" w:rsidRDefault="00605ACD" w:rsidP="00075681">
            <w:pPr>
              <w:spacing w:line="228" w:lineRule="auto"/>
              <w:rPr>
                <w:rFonts w:ascii="Arial" w:hAnsi="Arial"/>
                <w:sz w:val="22"/>
                <w:szCs w:val="22"/>
                <w:lang w:val="fr-CA"/>
              </w:rPr>
            </w:pPr>
          </w:p>
        </w:tc>
      </w:tr>
      <w:tr w:rsidR="00605ACD" w:rsidRPr="00075681" w:rsidTr="00075681">
        <w:tc>
          <w:tcPr>
            <w:tcW w:w="2354" w:type="dxa"/>
          </w:tcPr>
          <w:p w:rsidR="00605ACD" w:rsidRPr="00075681" w:rsidRDefault="00605ACD" w:rsidP="00075681">
            <w:pPr>
              <w:spacing w:line="228" w:lineRule="auto"/>
              <w:rPr>
                <w:rFonts w:ascii="Arial" w:hAnsi="Arial"/>
                <w:sz w:val="22"/>
                <w:szCs w:val="22"/>
                <w:lang w:val="fr-CA"/>
              </w:rPr>
            </w:pPr>
            <w:r w:rsidRPr="00075681">
              <w:rPr>
                <w:rFonts w:ascii="Arial" w:hAnsi="Arial"/>
                <w:sz w:val="22"/>
                <w:lang w:val="fr-CA"/>
              </w:rPr>
              <w:t>le TDA détecte un anti-C3 mais non un anti-IgG</w:t>
            </w:r>
            <w:r w:rsidR="006B228D" w:rsidRPr="00075681">
              <w:rPr>
                <w:rFonts w:ascii="Arial" w:hAnsi="Arial"/>
                <w:sz w:val="22"/>
                <w:lang w:val="fr-CA"/>
              </w:rPr>
              <w:t>,</w:t>
            </w:r>
          </w:p>
        </w:tc>
        <w:tc>
          <w:tcPr>
            <w:tcW w:w="5062" w:type="dxa"/>
          </w:tcPr>
          <w:p w:rsidR="00605ACD" w:rsidRPr="00075681" w:rsidRDefault="006B228D" w:rsidP="00075681">
            <w:pPr>
              <w:spacing w:line="228" w:lineRule="auto"/>
              <w:rPr>
                <w:rFonts w:ascii="Arial" w:hAnsi="Arial"/>
                <w:sz w:val="22"/>
                <w:lang w:val="fr-CA"/>
              </w:rPr>
            </w:pPr>
            <w:r w:rsidRPr="00075681">
              <w:rPr>
                <w:rFonts w:ascii="Arial" w:hAnsi="Arial"/>
                <w:sz w:val="22"/>
                <w:lang w:val="fr-CA"/>
              </w:rPr>
              <w:t>un</w:t>
            </w:r>
            <w:r w:rsidR="00605ACD" w:rsidRPr="00075681">
              <w:rPr>
                <w:rFonts w:ascii="Arial" w:hAnsi="Arial"/>
                <w:sz w:val="22"/>
                <w:lang w:val="fr-CA"/>
              </w:rPr>
              <w:t xml:space="preserve"> éluat n’est pas requis. Envisager la possibilité d’une maladie des agglutinines froides ou d’une hémoglobinurie froide paroxystique (HFP). Les résultats sont habituellement fortement positifs dans de tels cas</w:t>
            </w:r>
            <w:r w:rsidR="00C07203" w:rsidRPr="00075681">
              <w:rPr>
                <w:rFonts w:ascii="Arial" w:hAnsi="Arial"/>
                <w:sz w:val="22"/>
                <w:vertAlign w:val="superscript"/>
                <w:lang w:val="fr-CA"/>
              </w:rPr>
              <w:t>9.2</w:t>
            </w:r>
            <w:r w:rsidR="00605ACD" w:rsidRPr="00075681">
              <w:rPr>
                <w:rFonts w:ascii="Arial" w:hAnsi="Arial"/>
                <w:sz w:val="22"/>
                <w:lang w:val="fr-CA"/>
              </w:rPr>
              <w:t xml:space="preserve">. En cas de soupçon de tels états cliniques, on peut procéder à une ou plusieurs des épreuves suivantes : </w:t>
            </w:r>
          </w:p>
          <w:p w:rsidR="00605ACD" w:rsidRPr="00075681" w:rsidRDefault="00605ACD" w:rsidP="00075681">
            <w:pPr>
              <w:numPr>
                <w:ilvl w:val="2"/>
                <w:numId w:val="8"/>
              </w:numPr>
              <w:tabs>
                <w:tab w:val="clear" w:pos="1710"/>
                <w:tab w:val="num" w:pos="175"/>
              </w:tabs>
              <w:spacing w:line="228" w:lineRule="auto"/>
              <w:ind w:left="175" w:hanging="175"/>
              <w:rPr>
                <w:rFonts w:ascii="Arial" w:hAnsi="Arial"/>
                <w:sz w:val="22"/>
                <w:lang w:val="fr-CA"/>
              </w:rPr>
            </w:pPr>
            <w:r w:rsidRPr="00075681">
              <w:rPr>
                <w:rFonts w:ascii="Arial" w:hAnsi="Arial"/>
                <w:sz w:val="22"/>
                <w:lang w:val="fr-CA"/>
              </w:rPr>
              <w:t>Dépistage des agglutinines froides pour confirmer la maladie des agglutinines froides</w:t>
            </w:r>
            <w:r w:rsidR="00B630A2" w:rsidRPr="00075681">
              <w:rPr>
                <w:rFonts w:ascii="Arial" w:hAnsi="Arial"/>
                <w:sz w:val="22"/>
                <w:lang w:val="fr-CA"/>
              </w:rPr>
              <w:t>. Voir PS.003 – Dépistage d’agglutinines froides</w:t>
            </w:r>
          </w:p>
          <w:p w:rsidR="00605ACD" w:rsidRPr="0090086C" w:rsidRDefault="00605ACD" w:rsidP="00075681">
            <w:pPr>
              <w:numPr>
                <w:ilvl w:val="2"/>
                <w:numId w:val="8"/>
              </w:numPr>
              <w:tabs>
                <w:tab w:val="clear" w:pos="1710"/>
                <w:tab w:val="num" w:pos="175"/>
              </w:tabs>
              <w:spacing w:line="228" w:lineRule="auto"/>
              <w:ind w:left="175" w:hanging="175"/>
              <w:rPr>
                <w:rFonts w:ascii="Arial" w:hAnsi="Arial"/>
                <w:sz w:val="22"/>
                <w:lang w:val="fr-CA"/>
              </w:rPr>
            </w:pPr>
            <w:r w:rsidRPr="00075681">
              <w:rPr>
                <w:rFonts w:ascii="Arial" w:hAnsi="Arial"/>
                <w:sz w:val="22"/>
                <w:lang w:val="fr-CA"/>
              </w:rPr>
              <w:t>Test de Donath-Landsteiner (D-L) pour confirmer l’HFP. Voir PS.006 - Test de Donath-Landsteiner - HFP</w:t>
            </w:r>
          </w:p>
        </w:tc>
      </w:tr>
    </w:tbl>
    <w:p w:rsidR="00F16F86" w:rsidRDefault="00F16F86" w:rsidP="00F16F86">
      <w:pPr>
        <w:spacing w:line="228" w:lineRule="auto"/>
        <w:ind w:left="1440"/>
        <w:rPr>
          <w:rFonts w:ascii="Arial" w:hAnsi="Arial"/>
          <w:sz w:val="24"/>
          <w:lang w:val="fr-CA"/>
        </w:rPr>
      </w:pPr>
    </w:p>
    <w:p w:rsidR="006B228D" w:rsidRDefault="006B228D" w:rsidP="00F16F86">
      <w:pPr>
        <w:numPr>
          <w:ilvl w:val="1"/>
          <w:numId w:val="1"/>
        </w:numPr>
        <w:spacing w:line="228" w:lineRule="auto"/>
        <w:rPr>
          <w:rFonts w:ascii="Arial" w:hAnsi="Arial"/>
          <w:sz w:val="24"/>
          <w:lang w:val="fr-CA"/>
        </w:rPr>
      </w:pPr>
      <w:r>
        <w:rPr>
          <w:rFonts w:ascii="Arial" w:hAnsi="Arial"/>
          <w:sz w:val="24"/>
          <w:lang w:val="fr-CA"/>
        </w:rPr>
        <w:t>Évaluation de manifestations d’hémolyse</w:t>
      </w:r>
      <w:r>
        <w:rPr>
          <w:rFonts w:ascii="Arial" w:hAnsi="Arial"/>
          <w:sz w:val="24"/>
          <w:lang w:val="fr-CA"/>
        </w:rPr>
        <w:br/>
      </w:r>
    </w:p>
    <w:p w:rsidR="003273A2" w:rsidRPr="008E52DE" w:rsidRDefault="00E219C8" w:rsidP="006B228D">
      <w:pPr>
        <w:numPr>
          <w:ilvl w:val="2"/>
          <w:numId w:val="1"/>
        </w:numPr>
        <w:spacing w:line="228" w:lineRule="auto"/>
        <w:rPr>
          <w:rFonts w:ascii="Arial" w:hAnsi="Arial"/>
          <w:sz w:val="24"/>
          <w:lang w:val="fr-CA"/>
        </w:rPr>
      </w:pPr>
      <w:r w:rsidRPr="008E52DE">
        <w:rPr>
          <w:rFonts w:ascii="Arial" w:hAnsi="Arial"/>
          <w:sz w:val="24"/>
          <w:lang w:val="fr-CA"/>
        </w:rPr>
        <w:t>Que le patient ait reçu ou non une transfusion, il peut être nécessaire d</w:t>
      </w:r>
      <w:r w:rsidR="008D0A3A">
        <w:rPr>
          <w:rFonts w:ascii="Arial" w:hAnsi="Arial"/>
          <w:sz w:val="24"/>
          <w:lang w:val="fr-CA"/>
        </w:rPr>
        <w:t>e l</w:t>
      </w:r>
      <w:r w:rsidRPr="008E52DE">
        <w:rPr>
          <w:rFonts w:ascii="Arial" w:hAnsi="Arial"/>
          <w:sz w:val="24"/>
          <w:lang w:val="fr-CA"/>
        </w:rPr>
        <w:t>’évaluer à la recherche de manifestations d’</w:t>
      </w:r>
      <w:r w:rsidR="003273A2" w:rsidRPr="008E52DE">
        <w:rPr>
          <w:rFonts w:ascii="Arial" w:hAnsi="Arial"/>
          <w:sz w:val="24"/>
          <w:lang w:val="fr-CA"/>
        </w:rPr>
        <w:t>h</w:t>
      </w:r>
      <w:r w:rsidR="008E52DE" w:rsidRPr="008E52DE">
        <w:rPr>
          <w:rFonts w:ascii="Arial" w:hAnsi="Arial"/>
          <w:sz w:val="24"/>
          <w:lang w:val="fr-CA"/>
        </w:rPr>
        <w:t>é</w:t>
      </w:r>
      <w:r w:rsidR="003273A2" w:rsidRPr="008E52DE">
        <w:rPr>
          <w:rFonts w:ascii="Arial" w:hAnsi="Arial"/>
          <w:sz w:val="24"/>
          <w:lang w:val="fr-CA"/>
        </w:rPr>
        <w:t>molys</w:t>
      </w:r>
      <w:r w:rsidR="008E52DE" w:rsidRPr="008E52DE">
        <w:rPr>
          <w:rFonts w:ascii="Arial" w:hAnsi="Arial"/>
          <w:sz w:val="24"/>
          <w:lang w:val="fr-CA"/>
        </w:rPr>
        <w:t>e due à une destruction prématurée des globules rouges recouvert</w:t>
      </w:r>
      <w:r w:rsidR="003273A2" w:rsidRPr="008E52DE">
        <w:rPr>
          <w:rFonts w:ascii="Arial" w:hAnsi="Arial"/>
          <w:sz w:val="24"/>
          <w:lang w:val="fr-CA"/>
        </w:rPr>
        <w:t>s.</w:t>
      </w:r>
      <w:r w:rsidR="00A66673" w:rsidRPr="008E52DE">
        <w:rPr>
          <w:rFonts w:ascii="Arial" w:hAnsi="Arial"/>
          <w:sz w:val="24"/>
          <w:lang w:val="fr-CA"/>
        </w:rPr>
        <w:t xml:space="preserve"> </w:t>
      </w:r>
      <w:r w:rsidR="008E52DE" w:rsidRPr="008E52DE">
        <w:rPr>
          <w:rFonts w:ascii="Arial" w:hAnsi="Arial"/>
          <w:sz w:val="24"/>
          <w:lang w:val="fr-CA"/>
        </w:rPr>
        <w:t>Cette décision dépend de la présentation clinique et des investigations; toute épreuve supplémentaire doit être demandée par un médecin</w:t>
      </w:r>
      <w:r w:rsidR="003273A2" w:rsidRPr="008E52DE">
        <w:rPr>
          <w:rFonts w:ascii="Arial" w:hAnsi="Arial"/>
          <w:sz w:val="24"/>
          <w:lang w:val="fr-CA"/>
        </w:rPr>
        <w:t xml:space="preserve">. </w:t>
      </w:r>
      <w:r w:rsidR="005135DD" w:rsidRPr="008E52DE">
        <w:rPr>
          <w:rFonts w:ascii="Arial" w:hAnsi="Arial"/>
          <w:sz w:val="24"/>
          <w:lang w:val="fr-CA"/>
        </w:rPr>
        <w:t>Voir Remarque</w:t>
      </w:r>
      <w:r w:rsidR="00E36E60">
        <w:rPr>
          <w:rFonts w:ascii="Arial" w:hAnsi="Arial"/>
          <w:sz w:val="24"/>
          <w:lang w:val="fr-CA"/>
        </w:rPr>
        <w:t> </w:t>
      </w:r>
      <w:r w:rsidR="005135DD" w:rsidRPr="008E52DE">
        <w:rPr>
          <w:rFonts w:ascii="Arial" w:hAnsi="Arial"/>
          <w:sz w:val="24"/>
          <w:lang w:val="fr-CA"/>
        </w:rPr>
        <w:t>8.5.</w:t>
      </w:r>
    </w:p>
    <w:p w:rsidR="003273A2" w:rsidRPr="008E52DE" w:rsidRDefault="003273A2">
      <w:pPr>
        <w:spacing w:line="228" w:lineRule="auto"/>
        <w:ind w:left="720"/>
        <w:rPr>
          <w:rFonts w:ascii="Arial" w:hAnsi="Arial"/>
          <w:sz w:val="24"/>
          <w:lang w:val="fr-CA"/>
        </w:rPr>
      </w:pPr>
    </w:p>
    <w:p w:rsidR="003273A2" w:rsidRPr="008E52DE" w:rsidRDefault="00E219C8" w:rsidP="006B228D">
      <w:pPr>
        <w:numPr>
          <w:ilvl w:val="2"/>
          <w:numId w:val="1"/>
        </w:numPr>
        <w:spacing w:line="228" w:lineRule="auto"/>
        <w:rPr>
          <w:rFonts w:ascii="Arial" w:hAnsi="Arial"/>
          <w:sz w:val="24"/>
          <w:lang w:val="fr-CA"/>
        </w:rPr>
      </w:pPr>
      <w:r w:rsidRPr="008E52DE">
        <w:rPr>
          <w:rFonts w:ascii="Arial" w:hAnsi="Arial"/>
          <w:sz w:val="24"/>
          <w:lang w:val="fr-CA"/>
        </w:rPr>
        <w:t xml:space="preserve">Les analyses suivantes peuvent être demandées par le </w:t>
      </w:r>
      <w:r w:rsidR="00995821">
        <w:rPr>
          <w:rFonts w:ascii="Arial" w:hAnsi="Arial"/>
          <w:sz w:val="24"/>
          <w:lang w:val="fr-CA"/>
        </w:rPr>
        <w:t>directeur médical</w:t>
      </w:r>
      <w:r w:rsidR="003273A2" w:rsidRPr="008E52DE">
        <w:rPr>
          <w:rFonts w:ascii="Arial" w:hAnsi="Arial"/>
          <w:sz w:val="24"/>
          <w:lang w:val="fr-CA"/>
        </w:rPr>
        <w:t xml:space="preserve"> </w:t>
      </w:r>
      <w:r w:rsidR="00B630A2">
        <w:rPr>
          <w:rFonts w:ascii="Arial" w:hAnsi="Arial"/>
          <w:sz w:val="24"/>
          <w:lang w:val="fr-CA"/>
        </w:rPr>
        <w:t>des Services transfusionnels (ST)</w:t>
      </w:r>
      <w:r w:rsidR="006B228D">
        <w:rPr>
          <w:rFonts w:ascii="Arial" w:hAnsi="Arial"/>
          <w:sz w:val="24"/>
          <w:lang w:val="fr-CA"/>
        </w:rPr>
        <w:t xml:space="preserve"> </w:t>
      </w:r>
      <w:r w:rsidR="003273A2" w:rsidRPr="008E52DE">
        <w:rPr>
          <w:rFonts w:ascii="Arial" w:hAnsi="Arial"/>
          <w:sz w:val="24"/>
          <w:lang w:val="fr-CA"/>
        </w:rPr>
        <w:t>o</w:t>
      </w:r>
      <w:r w:rsidRPr="008E52DE">
        <w:rPr>
          <w:rFonts w:ascii="Arial" w:hAnsi="Arial"/>
          <w:sz w:val="24"/>
          <w:lang w:val="fr-CA"/>
        </w:rPr>
        <w:t xml:space="preserve">u son </w:t>
      </w:r>
      <w:r w:rsidR="009E42FD">
        <w:rPr>
          <w:rFonts w:ascii="Arial" w:hAnsi="Arial"/>
          <w:sz w:val="24"/>
          <w:lang w:val="fr-CA"/>
        </w:rPr>
        <w:t>représentant </w:t>
      </w:r>
      <w:r w:rsidR="003273A2" w:rsidRPr="008E52DE">
        <w:rPr>
          <w:rFonts w:ascii="Arial" w:hAnsi="Arial"/>
          <w:sz w:val="24"/>
          <w:lang w:val="fr-CA"/>
        </w:rPr>
        <w:t>:</w:t>
      </w:r>
    </w:p>
    <w:p w:rsidR="003273A2" w:rsidRPr="008E52DE" w:rsidRDefault="003273A2">
      <w:pPr>
        <w:numPr>
          <w:ilvl w:val="0"/>
          <w:numId w:val="3"/>
        </w:numPr>
        <w:tabs>
          <w:tab w:val="clear" w:pos="360"/>
          <w:tab w:val="num" w:pos="2520"/>
        </w:tabs>
        <w:spacing w:line="228" w:lineRule="auto"/>
        <w:ind w:left="2520"/>
        <w:rPr>
          <w:rFonts w:ascii="Arial" w:hAnsi="Arial"/>
          <w:sz w:val="24"/>
          <w:lang w:val="fr-CA"/>
        </w:rPr>
      </w:pPr>
      <w:r w:rsidRPr="008E52DE">
        <w:rPr>
          <w:rFonts w:ascii="Arial" w:hAnsi="Arial"/>
          <w:sz w:val="24"/>
          <w:lang w:val="fr-CA"/>
        </w:rPr>
        <w:t>H</w:t>
      </w:r>
      <w:r w:rsidR="00B428D3" w:rsidRPr="008E52DE">
        <w:rPr>
          <w:rFonts w:ascii="Arial" w:hAnsi="Arial"/>
          <w:sz w:val="24"/>
          <w:lang w:val="fr-CA"/>
        </w:rPr>
        <w:t>é</w:t>
      </w:r>
      <w:r w:rsidRPr="008E52DE">
        <w:rPr>
          <w:rFonts w:ascii="Arial" w:hAnsi="Arial"/>
          <w:sz w:val="24"/>
          <w:lang w:val="fr-CA"/>
        </w:rPr>
        <w:t>moglobin</w:t>
      </w:r>
      <w:r w:rsidR="00B428D3" w:rsidRPr="008E52DE">
        <w:rPr>
          <w:rFonts w:ascii="Arial" w:hAnsi="Arial"/>
          <w:sz w:val="24"/>
          <w:lang w:val="fr-CA"/>
        </w:rPr>
        <w:t>e</w:t>
      </w:r>
    </w:p>
    <w:p w:rsidR="003273A2" w:rsidRPr="008E52DE" w:rsidRDefault="00B428D3">
      <w:pPr>
        <w:numPr>
          <w:ilvl w:val="0"/>
          <w:numId w:val="3"/>
        </w:numPr>
        <w:tabs>
          <w:tab w:val="clear" w:pos="360"/>
          <w:tab w:val="num" w:pos="2520"/>
        </w:tabs>
        <w:spacing w:line="228" w:lineRule="auto"/>
        <w:ind w:left="2520"/>
        <w:rPr>
          <w:rFonts w:ascii="Arial" w:hAnsi="Arial"/>
          <w:sz w:val="24"/>
          <w:lang w:val="fr-CA"/>
        </w:rPr>
      </w:pPr>
      <w:r w:rsidRPr="008E52DE">
        <w:rPr>
          <w:rFonts w:ascii="Arial" w:hAnsi="Arial"/>
          <w:sz w:val="24"/>
          <w:lang w:val="fr-CA"/>
        </w:rPr>
        <w:t>Morphologie des globules rouges</w:t>
      </w:r>
    </w:p>
    <w:p w:rsidR="003273A2" w:rsidRPr="008E52DE" w:rsidRDefault="00E219C8">
      <w:pPr>
        <w:numPr>
          <w:ilvl w:val="0"/>
          <w:numId w:val="3"/>
        </w:numPr>
        <w:tabs>
          <w:tab w:val="clear" w:pos="360"/>
          <w:tab w:val="num" w:pos="2520"/>
        </w:tabs>
        <w:spacing w:line="228" w:lineRule="auto"/>
        <w:ind w:left="2520"/>
        <w:rPr>
          <w:rFonts w:ascii="Arial" w:hAnsi="Arial"/>
          <w:sz w:val="24"/>
          <w:lang w:val="fr-CA"/>
        </w:rPr>
      </w:pPr>
      <w:r w:rsidRPr="008E52DE">
        <w:rPr>
          <w:rFonts w:ascii="Arial" w:hAnsi="Arial"/>
          <w:sz w:val="24"/>
          <w:lang w:val="fr-CA"/>
        </w:rPr>
        <w:t xml:space="preserve">Épreuves supplémentaires, notamment </w:t>
      </w:r>
      <w:r w:rsidR="003273A2" w:rsidRPr="008E52DE">
        <w:rPr>
          <w:rFonts w:ascii="Arial" w:hAnsi="Arial"/>
          <w:sz w:val="24"/>
          <w:lang w:val="fr-CA"/>
        </w:rPr>
        <w:t>r</w:t>
      </w:r>
      <w:r w:rsidRPr="008E52DE">
        <w:rPr>
          <w:rFonts w:ascii="Arial" w:hAnsi="Arial"/>
          <w:sz w:val="24"/>
          <w:lang w:val="fr-CA"/>
        </w:rPr>
        <w:t>é</w:t>
      </w:r>
      <w:r w:rsidR="003273A2" w:rsidRPr="008E52DE">
        <w:rPr>
          <w:rFonts w:ascii="Arial" w:hAnsi="Arial"/>
          <w:sz w:val="24"/>
          <w:lang w:val="fr-CA"/>
        </w:rPr>
        <w:t>ticulocyte</w:t>
      </w:r>
      <w:r w:rsidRPr="008E52DE">
        <w:rPr>
          <w:rFonts w:ascii="Arial" w:hAnsi="Arial"/>
          <w:sz w:val="24"/>
          <w:lang w:val="fr-CA"/>
        </w:rPr>
        <w:t xml:space="preserve">s, </w:t>
      </w:r>
      <w:r w:rsidR="00995821" w:rsidRPr="008E52DE">
        <w:rPr>
          <w:rFonts w:ascii="Arial" w:hAnsi="Arial"/>
          <w:sz w:val="24"/>
          <w:lang w:val="fr-CA"/>
        </w:rPr>
        <w:t>bilirubines</w:t>
      </w:r>
      <w:r w:rsidR="003273A2" w:rsidRPr="008E52DE">
        <w:rPr>
          <w:rFonts w:ascii="Arial" w:hAnsi="Arial"/>
          <w:sz w:val="24"/>
          <w:lang w:val="fr-CA"/>
        </w:rPr>
        <w:t xml:space="preserve">, </w:t>
      </w:r>
      <w:r w:rsidR="008D0A3A">
        <w:rPr>
          <w:rFonts w:ascii="Arial" w:hAnsi="Arial"/>
          <w:sz w:val="24"/>
          <w:lang w:val="fr-CA"/>
        </w:rPr>
        <w:t xml:space="preserve">LDH, </w:t>
      </w:r>
      <w:r w:rsidR="003273A2" w:rsidRPr="008E52DE">
        <w:rPr>
          <w:rFonts w:ascii="Arial" w:hAnsi="Arial"/>
          <w:sz w:val="24"/>
          <w:lang w:val="fr-CA"/>
        </w:rPr>
        <w:t>etc.</w:t>
      </w:r>
      <w:r w:rsidR="00A66673" w:rsidRPr="008E52DE">
        <w:rPr>
          <w:rFonts w:ascii="Arial" w:hAnsi="Arial"/>
          <w:sz w:val="24"/>
          <w:lang w:val="fr-CA"/>
        </w:rPr>
        <w:t xml:space="preserve"> </w:t>
      </w:r>
    </w:p>
    <w:p w:rsidR="006B228D" w:rsidRPr="00C273D4" w:rsidRDefault="006B228D" w:rsidP="006B228D">
      <w:pPr>
        <w:spacing w:line="228" w:lineRule="auto"/>
        <w:ind w:left="360"/>
        <w:rPr>
          <w:rFonts w:ascii="Arial" w:hAnsi="Arial"/>
          <w:sz w:val="24"/>
          <w:lang w:val="fr-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56"/>
      </w:tblGrid>
      <w:tr w:rsidR="006B228D" w:rsidRPr="00075681" w:rsidTr="00075681">
        <w:tc>
          <w:tcPr>
            <w:tcW w:w="2354" w:type="dxa"/>
          </w:tcPr>
          <w:p w:rsidR="006B228D" w:rsidRPr="00075681" w:rsidRDefault="006B228D" w:rsidP="00075681">
            <w:pPr>
              <w:spacing w:line="228" w:lineRule="auto"/>
              <w:rPr>
                <w:rFonts w:ascii="Arial" w:hAnsi="Arial"/>
                <w:b/>
                <w:i/>
                <w:sz w:val="22"/>
                <w:szCs w:val="22"/>
                <w:lang w:val="fr-CA"/>
              </w:rPr>
            </w:pPr>
            <w:r w:rsidRPr="00075681">
              <w:rPr>
                <w:rFonts w:ascii="Arial" w:hAnsi="Arial"/>
                <w:b/>
                <w:i/>
                <w:sz w:val="22"/>
                <w:szCs w:val="22"/>
                <w:lang w:val="fr-CA"/>
              </w:rPr>
              <w:t>Si…</w:t>
            </w:r>
          </w:p>
        </w:tc>
        <w:tc>
          <w:tcPr>
            <w:tcW w:w="5062" w:type="dxa"/>
          </w:tcPr>
          <w:p w:rsidR="006B228D" w:rsidRPr="00075681" w:rsidRDefault="006B228D" w:rsidP="00075681">
            <w:pPr>
              <w:spacing w:line="228" w:lineRule="auto"/>
              <w:rPr>
                <w:rFonts w:ascii="Arial" w:hAnsi="Arial"/>
                <w:b/>
                <w:i/>
                <w:sz w:val="22"/>
                <w:szCs w:val="22"/>
                <w:lang w:val="fr-CA"/>
              </w:rPr>
            </w:pPr>
            <w:r w:rsidRPr="00075681">
              <w:rPr>
                <w:rFonts w:ascii="Arial" w:hAnsi="Arial"/>
                <w:b/>
                <w:i/>
                <w:sz w:val="22"/>
                <w:szCs w:val="22"/>
                <w:lang w:val="fr-CA"/>
              </w:rPr>
              <w:t>vous devez…</w:t>
            </w:r>
          </w:p>
        </w:tc>
      </w:tr>
      <w:tr w:rsidR="006B228D" w:rsidRPr="00075681" w:rsidTr="00075681">
        <w:tc>
          <w:tcPr>
            <w:tcW w:w="2354" w:type="dxa"/>
          </w:tcPr>
          <w:p w:rsidR="006B228D" w:rsidRPr="00075681" w:rsidRDefault="006B228D" w:rsidP="00075681">
            <w:pPr>
              <w:spacing w:line="228" w:lineRule="auto"/>
              <w:rPr>
                <w:rFonts w:ascii="Arial" w:hAnsi="Arial"/>
                <w:sz w:val="22"/>
                <w:szCs w:val="22"/>
                <w:lang w:val="fr-CA"/>
              </w:rPr>
            </w:pPr>
            <w:r w:rsidRPr="00075681">
              <w:rPr>
                <w:rFonts w:ascii="Arial" w:hAnsi="Arial"/>
                <w:sz w:val="22"/>
                <w:lang w:val="fr-CA"/>
              </w:rPr>
              <w:t>le patient ne présente</w:t>
            </w:r>
            <w:r w:rsidRPr="00075681">
              <w:rPr>
                <w:rFonts w:ascii="Arial" w:hAnsi="Arial"/>
                <w:b/>
                <w:sz w:val="22"/>
                <w:lang w:val="fr-CA"/>
              </w:rPr>
              <w:t xml:space="preserve"> </w:t>
            </w:r>
            <w:r w:rsidRPr="00075681">
              <w:rPr>
                <w:rFonts w:ascii="Arial" w:hAnsi="Arial"/>
                <w:sz w:val="22"/>
                <w:lang w:val="fr-CA"/>
              </w:rPr>
              <w:t>pas d’hémolyse</w:t>
            </w:r>
            <w:r w:rsidRPr="00075681">
              <w:rPr>
                <w:rFonts w:ascii="Arial" w:hAnsi="Arial"/>
                <w:sz w:val="24"/>
                <w:lang w:val="fr-CA"/>
              </w:rPr>
              <w:t xml:space="preserve"> </w:t>
            </w:r>
            <w:r w:rsidRPr="00075681">
              <w:rPr>
                <w:rFonts w:ascii="Arial" w:hAnsi="Arial"/>
                <w:sz w:val="22"/>
                <w:lang w:val="fr-CA"/>
              </w:rPr>
              <w:t>selon l’évaluation d’un médecin,</w:t>
            </w:r>
            <w:r w:rsidRPr="00075681">
              <w:rPr>
                <w:rFonts w:ascii="Arial" w:hAnsi="Arial"/>
                <w:sz w:val="22"/>
                <w:szCs w:val="22"/>
                <w:lang w:val="fr-CA"/>
              </w:rPr>
              <w:t xml:space="preserve"> </w:t>
            </w:r>
          </w:p>
        </w:tc>
        <w:tc>
          <w:tcPr>
            <w:tcW w:w="5062" w:type="dxa"/>
          </w:tcPr>
          <w:p w:rsidR="006B228D" w:rsidRPr="00075681" w:rsidRDefault="006B228D" w:rsidP="00075681">
            <w:pPr>
              <w:spacing w:line="228" w:lineRule="auto"/>
              <w:rPr>
                <w:rFonts w:ascii="Arial" w:hAnsi="Arial"/>
                <w:sz w:val="22"/>
                <w:szCs w:val="22"/>
                <w:lang w:val="fr-CA"/>
              </w:rPr>
            </w:pPr>
            <w:r w:rsidRPr="00075681">
              <w:rPr>
                <w:rFonts w:ascii="Arial" w:hAnsi="Arial"/>
                <w:sz w:val="22"/>
                <w:lang w:val="fr-CA"/>
              </w:rPr>
              <w:t>voir la Remarque</w:t>
            </w:r>
            <w:r w:rsidR="00E36E60" w:rsidRPr="00075681">
              <w:rPr>
                <w:rFonts w:ascii="Arial" w:hAnsi="Arial"/>
                <w:sz w:val="22"/>
                <w:lang w:val="fr-CA"/>
              </w:rPr>
              <w:t> </w:t>
            </w:r>
            <w:r w:rsidRPr="00075681">
              <w:rPr>
                <w:rFonts w:ascii="Arial" w:hAnsi="Arial"/>
                <w:sz w:val="22"/>
                <w:lang w:val="fr-CA"/>
              </w:rPr>
              <w:t>8.4 et inscrire conformément à 7.1 – Documentation</w:t>
            </w:r>
          </w:p>
        </w:tc>
      </w:tr>
      <w:tr w:rsidR="006B228D" w:rsidRPr="00075681" w:rsidTr="00075681">
        <w:tc>
          <w:tcPr>
            <w:tcW w:w="2354" w:type="dxa"/>
          </w:tcPr>
          <w:p w:rsidR="006B228D" w:rsidRPr="00075681" w:rsidRDefault="006B228D" w:rsidP="00075681">
            <w:pPr>
              <w:spacing w:line="228" w:lineRule="auto"/>
              <w:rPr>
                <w:rFonts w:ascii="Arial" w:hAnsi="Arial"/>
                <w:sz w:val="22"/>
                <w:szCs w:val="22"/>
                <w:lang w:val="fr-CA"/>
              </w:rPr>
            </w:pPr>
            <w:r w:rsidRPr="00075681">
              <w:rPr>
                <w:rFonts w:ascii="Arial" w:hAnsi="Arial"/>
                <w:sz w:val="22"/>
                <w:lang w:val="fr-CA"/>
              </w:rPr>
              <w:t>aucune transfusion n’est prévue,</w:t>
            </w:r>
            <w:r w:rsidRPr="00075681">
              <w:rPr>
                <w:rFonts w:ascii="Arial" w:hAnsi="Arial"/>
                <w:sz w:val="22"/>
                <w:szCs w:val="22"/>
                <w:lang w:val="fr-CA"/>
              </w:rPr>
              <w:t xml:space="preserve"> </w:t>
            </w:r>
          </w:p>
        </w:tc>
        <w:tc>
          <w:tcPr>
            <w:tcW w:w="5062" w:type="dxa"/>
          </w:tcPr>
          <w:p w:rsidR="006B228D" w:rsidRPr="00075681" w:rsidRDefault="006B228D" w:rsidP="00075681">
            <w:pPr>
              <w:spacing w:line="228" w:lineRule="auto"/>
              <w:rPr>
                <w:rFonts w:ascii="Arial" w:hAnsi="Arial"/>
                <w:sz w:val="22"/>
                <w:szCs w:val="22"/>
                <w:lang w:val="fr-CA"/>
              </w:rPr>
            </w:pPr>
            <w:r w:rsidRPr="00075681">
              <w:rPr>
                <w:rFonts w:ascii="Arial" w:hAnsi="Arial"/>
                <w:sz w:val="22"/>
                <w:lang w:val="fr-CA"/>
              </w:rPr>
              <w:t>voir la Remarque</w:t>
            </w:r>
            <w:r w:rsidR="00E36E60" w:rsidRPr="00075681">
              <w:rPr>
                <w:rFonts w:ascii="Arial" w:hAnsi="Arial"/>
                <w:sz w:val="22"/>
                <w:lang w:val="fr-CA"/>
              </w:rPr>
              <w:t> </w:t>
            </w:r>
            <w:r w:rsidRPr="00075681">
              <w:rPr>
                <w:rFonts w:ascii="Arial" w:hAnsi="Arial"/>
                <w:sz w:val="22"/>
                <w:lang w:val="fr-CA"/>
              </w:rPr>
              <w:t>8.4 et inscrire conformément à 7.1 – Documentation</w:t>
            </w:r>
            <w:r w:rsidRPr="00075681">
              <w:rPr>
                <w:rFonts w:ascii="Arial" w:hAnsi="Arial"/>
                <w:sz w:val="22"/>
                <w:szCs w:val="22"/>
                <w:lang w:val="fr-CA"/>
              </w:rPr>
              <w:t>.</w:t>
            </w:r>
          </w:p>
        </w:tc>
      </w:tr>
      <w:tr w:rsidR="006B228D" w:rsidRPr="00075681" w:rsidTr="00075681">
        <w:tc>
          <w:tcPr>
            <w:tcW w:w="2354" w:type="dxa"/>
          </w:tcPr>
          <w:p w:rsidR="006B228D" w:rsidRPr="00075681" w:rsidRDefault="006B228D" w:rsidP="00075681">
            <w:pPr>
              <w:spacing w:line="228" w:lineRule="auto"/>
              <w:rPr>
                <w:rFonts w:ascii="Arial" w:hAnsi="Arial"/>
                <w:sz w:val="24"/>
                <w:lang w:val="fr-CA"/>
              </w:rPr>
            </w:pPr>
            <w:r w:rsidRPr="00075681">
              <w:rPr>
                <w:rFonts w:ascii="Arial" w:hAnsi="Arial"/>
                <w:sz w:val="22"/>
                <w:lang w:val="fr-CA"/>
              </w:rPr>
              <w:t xml:space="preserve">le patient manifeste des signes d’hémolyse, en raison des risques d’aggravation de l’hémolyse et/ou d’alloimmunisation du patient, </w:t>
            </w:r>
          </w:p>
        </w:tc>
        <w:tc>
          <w:tcPr>
            <w:tcW w:w="5062" w:type="dxa"/>
          </w:tcPr>
          <w:p w:rsidR="006B228D" w:rsidRPr="00075681" w:rsidRDefault="00C07203" w:rsidP="00075681">
            <w:pPr>
              <w:spacing w:line="228" w:lineRule="auto"/>
              <w:ind w:left="34"/>
              <w:rPr>
                <w:rFonts w:ascii="Arial" w:hAnsi="Arial"/>
                <w:sz w:val="22"/>
                <w:lang w:val="fr-CA"/>
              </w:rPr>
            </w:pPr>
            <w:r w:rsidRPr="00075681">
              <w:rPr>
                <w:rFonts w:ascii="Arial" w:hAnsi="Arial"/>
                <w:sz w:val="22"/>
                <w:lang w:val="fr-CA"/>
              </w:rPr>
              <w:t>t</w:t>
            </w:r>
            <w:r w:rsidR="006B228D" w:rsidRPr="00075681">
              <w:rPr>
                <w:rFonts w:ascii="Arial" w:hAnsi="Arial"/>
                <w:sz w:val="22"/>
                <w:lang w:val="fr-CA"/>
              </w:rPr>
              <w:t xml:space="preserve">ransmettre toute demande de transfusion au directeur médical </w:t>
            </w:r>
            <w:r w:rsidRPr="00075681">
              <w:rPr>
                <w:rFonts w:ascii="Arial" w:hAnsi="Arial"/>
                <w:sz w:val="22"/>
                <w:lang w:val="fr-CA"/>
              </w:rPr>
              <w:t xml:space="preserve">des ST </w:t>
            </w:r>
            <w:r w:rsidR="006B228D" w:rsidRPr="00075681">
              <w:rPr>
                <w:rFonts w:ascii="Arial" w:hAnsi="Arial"/>
                <w:sz w:val="22"/>
                <w:lang w:val="fr-CA"/>
              </w:rPr>
              <w:t>ou à son représentant. Voir</w:t>
            </w:r>
            <w:r w:rsidR="006B228D" w:rsidRPr="00075681">
              <w:rPr>
                <w:rFonts w:ascii="Arial" w:hAnsi="Arial"/>
                <w:color w:val="000000"/>
                <w:sz w:val="22"/>
                <w:lang w:val="fr-CA"/>
              </w:rPr>
              <w:t xml:space="preserve"> </w:t>
            </w:r>
            <w:r w:rsidRPr="00075681">
              <w:rPr>
                <w:rFonts w:ascii="Arial" w:hAnsi="Arial"/>
                <w:color w:val="000000"/>
                <w:sz w:val="22"/>
                <w:lang w:val="fr-CA"/>
              </w:rPr>
              <w:t xml:space="preserve">les </w:t>
            </w:r>
            <w:r w:rsidR="006B228D" w:rsidRPr="00075681">
              <w:rPr>
                <w:rFonts w:ascii="Arial" w:hAnsi="Arial"/>
                <w:color w:val="000000"/>
                <w:sz w:val="22"/>
                <w:lang w:val="fr-CA"/>
              </w:rPr>
              <w:t>Remarques</w:t>
            </w:r>
            <w:r w:rsidR="00E36E60" w:rsidRPr="00075681">
              <w:rPr>
                <w:rFonts w:ascii="Arial" w:hAnsi="Arial"/>
                <w:color w:val="000000"/>
                <w:sz w:val="22"/>
                <w:lang w:val="fr-CA"/>
              </w:rPr>
              <w:t> </w:t>
            </w:r>
            <w:r w:rsidR="006B228D" w:rsidRPr="00075681">
              <w:rPr>
                <w:rFonts w:ascii="Arial" w:hAnsi="Arial"/>
                <w:color w:val="000000"/>
                <w:sz w:val="22"/>
                <w:lang w:val="fr-CA"/>
              </w:rPr>
              <w:t>8.6 et 8.7.</w:t>
            </w:r>
          </w:p>
          <w:p w:rsidR="006B228D" w:rsidRPr="00075681" w:rsidRDefault="006B228D" w:rsidP="00075681">
            <w:pPr>
              <w:spacing w:line="228" w:lineRule="auto"/>
              <w:rPr>
                <w:rFonts w:ascii="Arial" w:hAnsi="Arial"/>
                <w:sz w:val="22"/>
                <w:szCs w:val="22"/>
                <w:lang w:val="fr-CA"/>
              </w:rPr>
            </w:pPr>
          </w:p>
        </w:tc>
      </w:tr>
    </w:tbl>
    <w:p w:rsidR="00603FBD" w:rsidRDefault="00603FBD" w:rsidP="00603FBD">
      <w:pPr>
        <w:spacing w:line="228" w:lineRule="auto"/>
        <w:ind w:left="1440"/>
        <w:rPr>
          <w:rFonts w:ascii="Arial" w:hAnsi="Arial"/>
          <w:sz w:val="24"/>
          <w:lang w:val="fr-CA"/>
        </w:rPr>
      </w:pPr>
    </w:p>
    <w:p w:rsidR="00E62D5B" w:rsidRDefault="00E62D5B" w:rsidP="00E62D5B">
      <w:pPr>
        <w:numPr>
          <w:ilvl w:val="1"/>
          <w:numId w:val="1"/>
        </w:numPr>
        <w:spacing w:line="228" w:lineRule="auto"/>
        <w:rPr>
          <w:rFonts w:ascii="Arial" w:hAnsi="Arial"/>
          <w:sz w:val="24"/>
          <w:lang w:val="fr-CA"/>
        </w:rPr>
      </w:pPr>
      <w:r>
        <w:rPr>
          <w:rFonts w:ascii="Arial" w:hAnsi="Arial"/>
          <w:sz w:val="24"/>
          <w:lang w:val="fr-CA"/>
        </w:rPr>
        <w:t>Patient nouveau-né et TDA positif</w:t>
      </w:r>
    </w:p>
    <w:p w:rsidR="00306B50" w:rsidRDefault="00E62D5B" w:rsidP="00E62D5B">
      <w:pPr>
        <w:spacing w:line="228" w:lineRule="auto"/>
        <w:ind w:left="2127" w:hanging="777"/>
        <w:rPr>
          <w:rFonts w:ascii="Arial" w:hAnsi="Arial"/>
          <w:sz w:val="24"/>
          <w:lang w:val="fr-CA"/>
        </w:rPr>
      </w:pPr>
      <w:r>
        <w:rPr>
          <w:rFonts w:ascii="Arial" w:hAnsi="Arial"/>
          <w:sz w:val="24"/>
          <w:lang w:val="fr-CA"/>
        </w:rPr>
        <w:t>6.4.1</w:t>
      </w:r>
      <w:r>
        <w:rPr>
          <w:rFonts w:ascii="Arial" w:hAnsi="Arial"/>
          <w:sz w:val="24"/>
          <w:lang w:val="fr-CA"/>
        </w:rPr>
        <w:tab/>
      </w:r>
      <w:r w:rsidR="005B41AC" w:rsidRPr="005B41AC">
        <w:rPr>
          <w:rFonts w:ascii="Arial" w:hAnsi="Arial"/>
          <w:sz w:val="24"/>
          <w:lang w:val="fr-CA"/>
        </w:rPr>
        <w:t xml:space="preserve">Si le patient est un </w:t>
      </w:r>
      <w:r w:rsidR="003273A2" w:rsidRPr="00306B50">
        <w:rPr>
          <w:rFonts w:ascii="Arial" w:hAnsi="Arial"/>
          <w:sz w:val="24"/>
          <w:lang w:val="fr-CA"/>
        </w:rPr>
        <w:t>n</w:t>
      </w:r>
      <w:r w:rsidR="005B41AC" w:rsidRPr="00306B50">
        <w:rPr>
          <w:rFonts w:ascii="Arial" w:hAnsi="Arial"/>
          <w:sz w:val="24"/>
          <w:lang w:val="fr-CA"/>
        </w:rPr>
        <w:t>ouveau-né</w:t>
      </w:r>
      <w:r w:rsidR="003273A2" w:rsidRPr="005B41AC">
        <w:rPr>
          <w:rFonts w:ascii="Arial" w:hAnsi="Arial"/>
          <w:sz w:val="24"/>
          <w:lang w:val="fr-CA"/>
        </w:rPr>
        <w:t xml:space="preserve"> </w:t>
      </w:r>
      <w:r w:rsidR="005B41AC" w:rsidRPr="005B41AC">
        <w:rPr>
          <w:rFonts w:ascii="Arial" w:hAnsi="Arial"/>
          <w:sz w:val="24"/>
          <w:lang w:val="fr-CA"/>
        </w:rPr>
        <w:t>et qu’il a un TDA positif ou qu’il a la jaunisse et que son TDA est négatif,</w:t>
      </w:r>
      <w:r w:rsidR="003273A2" w:rsidRPr="005B41AC">
        <w:rPr>
          <w:rFonts w:ascii="Arial" w:hAnsi="Arial"/>
          <w:sz w:val="24"/>
          <w:lang w:val="fr-CA"/>
        </w:rPr>
        <w:t xml:space="preserve"> </w:t>
      </w:r>
      <w:r w:rsidR="00481C76" w:rsidRPr="005B41AC">
        <w:rPr>
          <w:rFonts w:ascii="Arial" w:hAnsi="Arial"/>
          <w:sz w:val="24"/>
          <w:lang w:val="fr-CA"/>
        </w:rPr>
        <w:t>le médecin d</w:t>
      </w:r>
      <w:r w:rsidR="00306B50">
        <w:rPr>
          <w:rFonts w:ascii="Arial" w:hAnsi="Arial"/>
          <w:sz w:val="24"/>
          <w:lang w:val="fr-CA"/>
        </w:rPr>
        <w:t>oit</w:t>
      </w:r>
      <w:r w:rsidR="00481C76" w:rsidRPr="005B41AC">
        <w:rPr>
          <w:rFonts w:ascii="Arial" w:hAnsi="Arial"/>
          <w:sz w:val="24"/>
          <w:lang w:val="fr-CA"/>
        </w:rPr>
        <w:t xml:space="preserve"> envisager la possibilité d’une maladie hémolytique du nouveau-né</w:t>
      </w:r>
      <w:r w:rsidR="003273A2" w:rsidRPr="005B41AC">
        <w:rPr>
          <w:rFonts w:ascii="Arial" w:hAnsi="Arial"/>
          <w:sz w:val="24"/>
          <w:lang w:val="fr-CA"/>
        </w:rPr>
        <w:t>.</w:t>
      </w:r>
      <w:r w:rsidR="00306B50" w:rsidRPr="00306B50">
        <w:rPr>
          <w:rFonts w:ascii="Arial" w:hAnsi="Arial"/>
          <w:sz w:val="24"/>
          <w:lang w:val="fr-CA"/>
        </w:rPr>
        <w:t xml:space="preserve"> </w:t>
      </w:r>
    </w:p>
    <w:p w:rsidR="00373CEB" w:rsidRDefault="00AA3754" w:rsidP="00E62D5B">
      <w:pPr>
        <w:numPr>
          <w:ilvl w:val="2"/>
          <w:numId w:val="30"/>
        </w:numPr>
        <w:spacing w:line="228" w:lineRule="auto"/>
        <w:rPr>
          <w:rFonts w:ascii="Arial" w:hAnsi="Arial"/>
          <w:sz w:val="24"/>
          <w:lang w:val="fr-CA"/>
        </w:rPr>
      </w:pPr>
      <w:r w:rsidRPr="00373CEB">
        <w:rPr>
          <w:rFonts w:ascii="Arial" w:hAnsi="Arial"/>
          <w:sz w:val="24"/>
          <w:lang w:val="fr-CA"/>
        </w:rPr>
        <w:t>Procéder aux épreuves suivantes :</w:t>
      </w:r>
    </w:p>
    <w:p w:rsidR="00C129E1" w:rsidRPr="00C129E1" w:rsidRDefault="00306B50" w:rsidP="00E62D5B">
      <w:pPr>
        <w:numPr>
          <w:ilvl w:val="3"/>
          <w:numId w:val="31"/>
        </w:numPr>
        <w:tabs>
          <w:tab w:val="clear" w:pos="3150"/>
          <w:tab w:val="num" w:pos="2268"/>
        </w:tabs>
        <w:spacing w:line="228" w:lineRule="auto"/>
        <w:ind w:left="2268" w:hanging="198"/>
        <w:rPr>
          <w:rFonts w:ascii="Arial" w:hAnsi="Arial"/>
          <w:sz w:val="24"/>
          <w:lang w:val="fr-CA"/>
        </w:rPr>
      </w:pPr>
      <w:r w:rsidRPr="00C129E1">
        <w:rPr>
          <w:rFonts w:ascii="Arial" w:hAnsi="Arial"/>
          <w:sz w:val="24"/>
          <w:lang w:val="fr-CA"/>
        </w:rPr>
        <w:t>Groupage ABO sur les échantillons de la mère et du nouveau-né</w:t>
      </w:r>
    </w:p>
    <w:p w:rsidR="00C129E1" w:rsidRDefault="005B41AC" w:rsidP="00E62D5B">
      <w:pPr>
        <w:numPr>
          <w:ilvl w:val="3"/>
          <w:numId w:val="31"/>
        </w:numPr>
        <w:tabs>
          <w:tab w:val="clear" w:pos="3150"/>
          <w:tab w:val="num" w:pos="2268"/>
          <w:tab w:val="num" w:pos="4320"/>
        </w:tabs>
        <w:spacing w:line="228" w:lineRule="auto"/>
        <w:ind w:left="2268" w:hanging="198"/>
        <w:rPr>
          <w:rFonts w:ascii="Arial" w:hAnsi="Arial"/>
          <w:sz w:val="24"/>
          <w:lang w:val="fr-CA"/>
        </w:rPr>
      </w:pPr>
      <w:r w:rsidRPr="00C129E1">
        <w:rPr>
          <w:rFonts w:ascii="Arial" w:hAnsi="Arial"/>
          <w:sz w:val="24"/>
          <w:lang w:val="fr-CA"/>
        </w:rPr>
        <w:t>Dépistage d’anticorps sur l’échantillon maternel</w:t>
      </w:r>
      <w:r w:rsidR="003273A2" w:rsidRPr="00C129E1">
        <w:rPr>
          <w:rFonts w:ascii="Arial" w:hAnsi="Arial"/>
          <w:sz w:val="24"/>
          <w:lang w:val="fr-CA"/>
        </w:rPr>
        <w:t xml:space="preserve"> </w:t>
      </w:r>
      <w:r w:rsidR="00C129E1">
        <w:rPr>
          <w:rFonts w:ascii="Arial" w:hAnsi="Arial"/>
          <w:sz w:val="24"/>
          <w:lang w:val="fr-CA"/>
        </w:rPr>
        <w:br/>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4477"/>
      </w:tblGrid>
      <w:tr w:rsidR="00E62D5B" w:rsidRPr="00075681" w:rsidTr="00075681">
        <w:tc>
          <w:tcPr>
            <w:tcW w:w="2779" w:type="dxa"/>
          </w:tcPr>
          <w:p w:rsidR="00E62D5B" w:rsidRPr="00075681" w:rsidRDefault="00E62D5B" w:rsidP="00075681">
            <w:pPr>
              <w:spacing w:line="228" w:lineRule="auto"/>
              <w:rPr>
                <w:rFonts w:ascii="Arial" w:hAnsi="Arial"/>
                <w:b/>
                <w:i/>
                <w:sz w:val="22"/>
                <w:szCs w:val="22"/>
                <w:lang w:val="fr-CA"/>
              </w:rPr>
            </w:pPr>
            <w:r w:rsidRPr="00075681">
              <w:rPr>
                <w:rFonts w:ascii="Arial" w:hAnsi="Arial"/>
                <w:b/>
                <w:i/>
                <w:sz w:val="22"/>
                <w:szCs w:val="22"/>
                <w:lang w:val="fr-CA"/>
              </w:rPr>
              <w:t>Si…</w:t>
            </w:r>
          </w:p>
        </w:tc>
        <w:tc>
          <w:tcPr>
            <w:tcW w:w="4637" w:type="dxa"/>
          </w:tcPr>
          <w:p w:rsidR="00E62D5B" w:rsidRPr="00075681" w:rsidRDefault="00E62D5B" w:rsidP="00075681">
            <w:pPr>
              <w:spacing w:line="228" w:lineRule="auto"/>
              <w:rPr>
                <w:rFonts w:ascii="Arial" w:hAnsi="Arial"/>
                <w:b/>
                <w:i/>
                <w:sz w:val="22"/>
                <w:szCs w:val="22"/>
                <w:lang w:val="fr-CA"/>
              </w:rPr>
            </w:pPr>
            <w:r w:rsidRPr="00075681">
              <w:rPr>
                <w:rFonts w:ascii="Arial" w:hAnsi="Arial"/>
                <w:b/>
                <w:i/>
                <w:sz w:val="22"/>
                <w:szCs w:val="22"/>
                <w:lang w:val="fr-CA"/>
              </w:rPr>
              <w:t>vous devez…</w:t>
            </w:r>
          </w:p>
        </w:tc>
      </w:tr>
      <w:tr w:rsidR="00E62D5B" w:rsidRPr="00075681" w:rsidTr="00075681">
        <w:tc>
          <w:tcPr>
            <w:tcW w:w="2779" w:type="dxa"/>
          </w:tcPr>
          <w:p w:rsidR="00E62D5B" w:rsidRPr="00075681" w:rsidRDefault="00E62D5B" w:rsidP="00075681">
            <w:pPr>
              <w:spacing w:line="228" w:lineRule="auto"/>
              <w:rPr>
                <w:rFonts w:ascii="Arial" w:hAnsi="Arial"/>
                <w:sz w:val="22"/>
                <w:szCs w:val="22"/>
                <w:lang w:val="fr-CA"/>
              </w:rPr>
            </w:pPr>
            <w:r w:rsidRPr="00075681">
              <w:rPr>
                <w:rFonts w:ascii="Arial" w:hAnsi="Arial"/>
                <w:sz w:val="22"/>
                <w:szCs w:val="22"/>
                <w:lang w:val="fr-CA"/>
              </w:rPr>
              <w:t>le dépistage d’anticorps est positif,</w:t>
            </w:r>
          </w:p>
        </w:tc>
        <w:tc>
          <w:tcPr>
            <w:tcW w:w="4637" w:type="dxa"/>
          </w:tcPr>
          <w:p w:rsidR="00E62D5B" w:rsidRPr="00075681" w:rsidRDefault="00E62D5B" w:rsidP="00075681">
            <w:pPr>
              <w:spacing w:line="228" w:lineRule="auto"/>
              <w:rPr>
                <w:rFonts w:ascii="Arial" w:hAnsi="Arial"/>
                <w:sz w:val="22"/>
                <w:szCs w:val="22"/>
                <w:lang w:val="fr-CA"/>
              </w:rPr>
            </w:pPr>
            <w:r w:rsidRPr="00075681">
              <w:rPr>
                <w:rFonts w:ascii="Arial" w:hAnsi="Arial"/>
                <w:sz w:val="22"/>
                <w:szCs w:val="22"/>
                <w:lang w:val="fr-CA"/>
              </w:rPr>
              <w:t>faire une identification d’anticorps. Voir EC.007- Identification d’anticorps réactifs chauds</w:t>
            </w:r>
          </w:p>
        </w:tc>
      </w:tr>
      <w:tr w:rsidR="00E62D5B" w:rsidRPr="00075681" w:rsidTr="00075681">
        <w:tc>
          <w:tcPr>
            <w:tcW w:w="2779" w:type="dxa"/>
          </w:tcPr>
          <w:p w:rsidR="00E62D5B" w:rsidRPr="00075681" w:rsidRDefault="00E62D5B" w:rsidP="00075681">
            <w:pPr>
              <w:spacing w:line="228" w:lineRule="auto"/>
              <w:rPr>
                <w:rFonts w:ascii="Arial" w:hAnsi="Arial"/>
                <w:sz w:val="22"/>
                <w:szCs w:val="22"/>
                <w:lang w:val="fr-CA"/>
              </w:rPr>
            </w:pPr>
            <w:r w:rsidRPr="00075681">
              <w:rPr>
                <w:rFonts w:ascii="Arial" w:hAnsi="Arial"/>
                <w:sz w:val="22"/>
                <w:lang w:val="fr-CA"/>
              </w:rPr>
              <w:t xml:space="preserve">le dépistage d’anticorps est négatif et que le bébé a un groupe ABO incompatible avec celui de la mère, </w:t>
            </w:r>
          </w:p>
        </w:tc>
        <w:tc>
          <w:tcPr>
            <w:tcW w:w="4637" w:type="dxa"/>
          </w:tcPr>
          <w:p w:rsidR="00E62D5B" w:rsidRPr="00075681" w:rsidRDefault="00E62D5B" w:rsidP="00075681">
            <w:pPr>
              <w:spacing w:line="228" w:lineRule="auto"/>
              <w:rPr>
                <w:rFonts w:ascii="Arial" w:hAnsi="Arial"/>
                <w:sz w:val="22"/>
                <w:szCs w:val="22"/>
                <w:lang w:val="fr-CA"/>
              </w:rPr>
            </w:pPr>
            <w:r w:rsidRPr="00075681">
              <w:rPr>
                <w:rFonts w:ascii="Arial" w:hAnsi="Arial"/>
                <w:sz w:val="22"/>
                <w:lang w:val="fr-CA"/>
              </w:rPr>
              <w:t>faire un dépistage d’anticorps à la recherche d’anti-A/anti-B immuns. Voir AR.014 - Dépistage d’anticorps – Anti-A et/ou –B immuns</w:t>
            </w:r>
            <w:r w:rsidRPr="00075681">
              <w:rPr>
                <w:rFonts w:ascii="Arial" w:hAnsi="Arial" w:cs="Arial"/>
                <w:sz w:val="22"/>
                <w:szCs w:val="24"/>
                <w:lang w:val="fr-CA"/>
              </w:rPr>
              <w:t xml:space="preserve">. </w:t>
            </w:r>
          </w:p>
        </w:tc>
      </w:tr>
    </w:tbl>
    <w:p w:rsidR="00E62D5B" w:rsidRDefault="00E62D5B" w:rsidP="00E62D5B">
      <w:pPr>
        <w:ind w:firstLine="720"/>
        <w:rPr>
          <w:rFonts w:ascii="Arial" w:hAnsi="Arial"/>
          <w:sz w:val="24"/>
          <w:lang w:val="fr-CA"/>
        </w:rPr>
      </w:pPr>
    </w:p>
    <w:p w:rsidR="00236849" w:rsidRDefault="003273A2" w:rsidP="00236849">
      <w:pPr>
        <w:numPr>
          <w:ilvl w:val="1"/>
          <w:numId w:val="30"/>
        </w:numPr>
        <w:rPr>
          <w:rFonts w:ascii="Arial" w:hAnsi="Arial"/>
          <w:sz w:val="24"/>
          <w:lang w:val="fr-CA"/>
        </w:rPr>
      </w:pPr>
      <w:r w:rsidRPr="00236849">
        <w:rPr>
          <w:rFonts w:ascii="Arial" w:hAnsi="Arial"/>
          <w:sz w:val="24"/>
          <w:lang w:val="fr-CA"/>
        </w:rPr>
        <w:t>Interpr</w:t>
      </w:r>
      <w:r w:rsidR="00B428D3" w:rsidRPr="00236849">
        <w:rPr>
          <w:rFonts w:ascii="Arial" w:hAnsi="Arial"/>
          <w:sz w:val="24"/>
          <w:lang w:val="fr-CA"/>
        </w:rPr>
        <w:t>ét</w:t>
      </w:r>
      <w:r w:rsidR="00E62D5B" w:rsidRPr="00236849">
        <w:rPr>
          <w:rFonts w:ascii="Arial" w:hAnsi="Arial"/>
          <w:sz w:val="24"/>
          <w:lang w:val="fr-CA"/>
        </w:rPr>
        <w:t>ation d</w:t>
      </w:r>
      <w:r w:rsidR="00B428D3" w:rsidRPr="00236849">
        <w:rPr>
          <w:rFonts w:ascii="Arial" w:hAnsi="Arial"/>
          <w:sz w:val="24"/>
          <w:lang w:val="fr-CA"/>
        </w:rPr>
        <w:t>e</w:t>
      </w:r>
      <w:r w:rsidR="00E62D5B" w:rsidRPr="00236849">
        <w:rPr>
          <w:rFonts w:ascii="Arial" w:hAnsi="Arial"/>
          <w:sz w:val="24"/>
          <w:lang w:val="fr-CA"/>
        </w:rPr>
        <w:t>s</w:t>
      </w:r>
      <w:r w:rsidR="00B428D3" w:rsidRPr="00236849">
        <w:rPr>
          <w:rFonts w:ascii="Arial" w:hAnsi="Arial"/>
          <w:sz w:val="24"/>
          <w:lang w:val="fr-CA"/>
        </w:rPr>
        <w:t xml:space="preserve"> résultats</w:t>
      </w:r>
      <w:r w:rsidRPr="00236849">
        <w:rPr>
          <w:rFonts w:ascii="Arial" w:hAnsi="Arial"/>
          <w:sz w:val="24"/>
          <w:lang w:val="fr-CA"/>
        </w:rPr>
        <w:t>.</w:t>
      </w:r>
      <w:r w:rsidR="00236849">
        <w:rPr>
          <w:rFonts w:ascii="Arial" w:hAnsi="Arial"/>
          <w:sz w:val="24"/>
          <w:lang w:val="fr-CA"/>
        </w:rPr>
        <w:br/>
      </w:r>
    </w:p>
    <w:p w:rsidR="00236849" w:rsidRDefault="00236849" w:rsidP="00236849">
      <w:pPr>
        <w:numPr>
          <w:ilvl w:val="2"/>
          <w:numId w:val="35"/>
        </w:numPr>
        <w:rPr>
          <w:rFonts w:ascii="Arial" w:hAnsi="Arial"/>
          <w:sz w:val="24"/>
          <w:lang w:val="fr-CA"/>
        </w:rPr>
      </w:pPr>
      <w:r>
        <w:rPr>
          <w:rFonts w:ascii="Arial" w:hAnsi="Arial"/>
          <w:sz w:val="24"/>
          <w:lang w:val="fr-CA"/>
        </w:rPr>
        <w:t>Consulter la section</w:t>
      </w:r>
      <w:r w:rsidR="00E36E60">
        <w:rPr>
          <w:rFonts w:ascii="Arial" w:hAnsi="Arial"/>
          <w:sz w:val="24"/>
          <w:lang w:val="fr-CA"/>
        </w:rPr>
        <w:t> </w:t>
      </w:r>
      <w:r>
        <w:rPr>
          <w:rFonts w:ascii="Arial" w:hAnsi="Arial"/>
          <w:sz w:val="24"/>
          <w:lang w:val="fr-CA"/>
        </w:rPr>
        <w:t>7.0 – Documentation sur l’interprétation.</w:t>
      </w:r>
    </w:p>
    <w:p w:rsidR="00236849" w:rsidRPr="00236849" w:rsidRDefault="00236849" w:rsidP="00236849">
      <w:pPr>
        <w:ind w:left="2070" w:hanging="652"/>
        <w:rPr>
          <w:rFonts w:ascii="Arial" w:hAnsi="Arial"/>
          <w:sz w:val="24"/>
          <w:lang w:val="fr-CA"/>
        </w:rPr>
      </w:pPr>
    </w:p>
    <w:p w:rsidR="00236849" w:rsidRDefault="00236849" w:rsidP="00236849">
      <w:pPr>
        <w:numPr>
          <w:ilvl w:val="1"/>
          <w:numId w:val="35"/>
        </w:numPr>
        <w:rPr>
          <w:rFonts w:ascii="Arial" w:hAnsi="Arial"/>
          <w:sz w:val="24"/>
          <w:lang w:val="fr-CA"/>
        </w:rPr>
      </w:pPr>
      <w:r>
        <w:rPr>
          <w:rFonts w:ascii="Arial" w:hAnsi="Arial"/>
          <w:sz w:val="24"/>
          <w:lang w:val="fr-CA"/>
        </w:rPr>
        <w:t>Vérification</w:t>
      </w:r>
      <w:r>
        <w:rPr>
          <w:rFonts w:ascii="Arial" w:hAnsi="Arial"/>
          <w:sz w:val="24"/>
          <w:lang w:val="fr-CA"/>
        </w:rPr>
        <w:br/>
      </w:r>
    </w:p>
    <w:p w:rsidR="00236849" w:rsidRDefault="00236849" w:rsidP="00236849">
      <w:pPr>
        <w:numPr>
          <w:ilvl w:val="2"/>
          <w:numId w:val="35"/>
        </w:numPr>
        <w:rPr>
          <w:rFonts w:ascii="Arial" w:hAnsi="Arial"/>
          <w:sz w:val="24"/>
          <w:lang w:val="fr-CA"/>
        </w:rPr>
      </w:pPr>
      <w:r w:rsidRPr="00983665">
        <w:rPr>
          <w:rFonts w:ascii="Arial" w:hAnsi="Arial"/>
          <w:sz w:val="24"/>
          <w:lang w:val="fr-CA"/>
        </w:rPr>
        <w:t xml:space="preserve">S’assurer que les renseignements sur l’étiquette de chaque échantillon </w:t>
      </w:r>
      <w:r>
        <w:rPr>
          <w:rFonts w:ascii="Arial" w:hAnsi="Arial"/>
          <w:sz w:val="24"/>
          <w:lang w:val="fr-CA"/>
        </w:rPr>
        <w:t xml:space="preserve">testé </w:t>
      </w:r>
      <w:r w:rsidRPr="00983665">
        <w:rPr>
          <w:rFonts w:ascii="Arial" w:hAnsi="Arial"/>
          <w:sz w:val="24"/>
          <w:lang w:val="fr-CA"/>
        </w:rPr>
        <w:t xml:space="preserve">sont identiques à ce qui figure sur </w:t>
      </w:r>
      <w:r>
        <w:rPr>
          <w:rFonts w:ascii="Arial" w:hAnsi="Arial"/>
          <w:sz w:val="24"/>
          <w:lang w:val="fr-CA"/>
        </w:rPr>
        <w:t xml:space="preserve">la demande et sur </w:t>
      </w:r>
      <w:r w:rsidRPr="00983665">
        <w:rPr>
          <w:rFonts w:ascii="Arial" w:hAnsi="Arial"/>
          <w:sz w:val="24"/>
          <w:lang w:val="fr-CA"/>
        </w:rPr>
        <w:t>les tubes à essai correspondants.</w:t>
      </w:r>
    </w:p>
    <w:p w:rsidR="00236849" w:rsidRDefault="00236849" w:rsidP="00236849">
      <w:pPr>
        <w:ind w:left="2138"/>
        <w:rPr>
          <w:rFonts w:ascii="Arial" w:hAnsi="Arial"/>
          <w:sz w:val="24"/>
          <w:lang w:val="fr-CA"/>
        </w:rPr>
      </w:pPr>
    </w:p>
    <w:p w:rsidR="00236849" w:rsidRDefault="00236849" w:rsidP="00236849">
      <w:pPr>
        <w:numPr>
          <w:ilvl w:val="1"/>
          <w:numId w:val="35"/>
        </w:numPr>
        <w:rPr>
          <w:rFonts w:ascii="Arial" w:hAnsi="Arial"/>
          <w:sz w:val="24"/>
          <w:lang w:val="fr-CA"/>
        </w:rPr>
      </w:pPr>
      <w:r>
        <w:rPr>
          <w:rFonts w:ascii="Arial" w:hAnsi="Arial"/>
          <w:sz w:val="24"/>
          <w:lang w:val="fr-CA"/>
        </w:rPr>
        <w:t>Signature</w:t>
      </w:r>
    </w:p>
    <w:p w:rsidR="00236849" w:rsidRDefault="00236849" w:rsidP="00236849">
      <w:pPr>
        <w:ind w:left="1234"/>
        <w:rPr>
          <w:rFonts w:ascii="Arial" w:hAnsi="Arial"/>
          <w:sz w:val="24"/>
          <w:lang w:val="fr-CA"/>
        </w:rPr>
      </w:pPr>
    </w:p>
    <w:p w:rsidR="003273A2" w:rsidRDefault="00236849" w:rsidP="00236849">
      <w:pPr>
        <w:numPr>
          <w:ilvl w:val="2"/>
          <w:numId w:val="35"/>
        </w:numPr>
        <w:rPr>
          <w:rFonts w:ascii="Arial" w:hAnsi="Arial"/>
          <w:sz w:val="24"/>
          <w:lang w:val="fr-CA"/>
        </w:rPr>
      </w:pPr>
      <w:r w:rsidRPr="00983665">
        <w:rPr>
          <w:rFonts w:ascii="Arial" w:hAnsi="Arial"/>
          <w:sz w:val="24"/>
          <w:lang w:val="fr-CA"/>
        </w:rPr>
        <w:t xml:space="preserve">Mettre ses initiales ou signer et inscrire l’heure et la date de la conclusion de l’épreuve sur le formulaire de demande ou remplir le </w:t>
      </w:r>
      <w:r w:rsidRPr="000C4CF6">
        <w:rPr>
          <w:rFonts w:ascii="Arial" w:hAnsi="Arial"/>
          <w:sz w:val="24"/>
          <w:lang w:val="fr-CA"/>
        </w:rPr>
        <w:t>dossier à l’ordinateur</w:t>
      </w:r>
      <w:r>
        <w:rPr>
          <w:rFonts w:ascii="Arial" w:hAnsi="Arial"/>
          <w:sz w:val="24"/>
          <w:lang w:val="fr-CA"/>
        </w:rPr>
        <w:t>.</w:t>
      </w:r>
    </w:p>
    <w:p w:rsidR="00236849" w:rsidRPr="00D96377" w:rsidRDefault="00236849" w:rsidP="00236849">
      <w:pPr>
        <w:numPr>
          <w:ilvl w:val="2"/>
          <w:numId w:val="35"/>
        </w:numPr>
        <w:rPr>
          <w:rFonts w:ascii="Arial" w:hAnsi="Arial"/>
          <w:sz w:val="24"/>
          <w:lang w:val="fr-CA"/>
        </w:rPr>
      </w:pPr>
      <w:r>
        <w:rPr>
          <w:rFonts w:ascii="Arial" w:hAnsi="Arial"/>
          <w:sz w:val="24"/>
          <w:lang w:val="fr-CA"/>
        </w:rPr>
        <w:t>Noter la vérification des résultats</w:t>
      </w:r>
      <w:r w:rsidR="00E36E60">
        <w:rPr>
          <w:rFonts w:ascii="Arial" w:hAnsi="Arial"/>
          <w:sz w:val="24"/>
          <w:lang w:val="fr-CA"/>
        </w:rPr>
        <w:t>.</w:t>
      </w:r>
      <w:r>
        <w:rPr>
          <w:rFonts w:ascii="Arial" w:hAnsi="Arial"/>
          <w:sz w:val="24"/>
          <w:lang w:val="fr-CA"/>
        </w:rPr>
        <w:t xml:space="preserve"> Voir 7.0 Documentation. </w:t>
      </w:r>
    </w:p>
    <w:p w:rsidR="00D96377" w:rsidRDefault="00D96377" w:rsidP="00D96377">
      <w:pPr>
        <w:ind w:left="1440"/>
        <w:rPr>
          <w:rFonts w:ascii="Arial" w:hAnsi="Arial"/>
          <w:sz w:val="24"/>
          <w:lang w:val="fr-CA"/>
        </w:rPr>
      </w:pPr>
    </w:p>
    <w:p w:rsidR="00236849" w:rsidRPr="00D96377" w:rsidRDefault="00236849" w:rsidP="00D96377">
      <w:pPr>
        <w:ind w:left="1440"/>
        <w:rPr>
          <w:rFonts w:ascii="Arial" w:hAnsi="Arial"/>
          <w:sz w:val="24"/>
          <w:lang w:val="fr-CA"/>
        </w:rPr>
      </w:pPr>
    </w:p>
    <w:p w:rsidR="003273A2" w:rsidRPr="00C273D4" w:rsidRDefault="005135DD" w:rsidP="00236849">
      <w:pPr>
        <w:numPr>
          <w:ilvl w:val="0"/>
          <w:numId w:val="1"/>
        </w:numPr>
        <w:rPr>
          <w:rFonts w:ascii="Arial" w:hAnsi="Arial"/>
          <w:b/>
          <w:sz w:val="28"/>
          <w:lang w:val="fr-CA"/>
        </w:rPr>
      </w:pPr>
      <w:r w:rsidRPr="00C273D4">
        <w:rPr>
          <w:rFonts w:ascii="Arial" w:hAnsi="Arial"/>
          <w:b/>
          <w:color w:val="000000"/>
          <w:sz w:val="28"/>
          <w:lang w:val="fr-CA"/>
        </w:rPr>
        <w:t>Documentation</w:t>
      </w:r>
    </w:p>
    <w:p w:rsidR="00603FBD" w:rsidRDefault="00603FBD" w:rsidP="00603FBD">
      <w:pPr>
        <w:ind w:left="1440"/>
        <w:rPr>
          <w:rFonts w:ascii="Arial" w:hAnsi="Arial"/>
          <w:sz w:val="24"/>
          <w:lang w:val="fr-CA"/>
        </w:rPr>
      </w:pPr>
    </w:p>
    <w:p w:rsidR="003273A2" w:rsidRPr="00E66C6B" w:rsidRDefault="00C129E1" w:rsidP="00236849">
      <w:pPr>
        <w:numPr>
          <w:ilvl w:val="1"/>
          <w:numId w:val="1"/>
        </w:numPr>
        <w:rPr>
          <w:rFonts w:ascii="Arial" w:hAnsi="Arial"/>
          <w:sz w:val="24"/>
          <w:lang w:val="fr-CA"/>
        </w:rPr>
      </w:pPr>
      <w:r>
        <w:rPr>
          <w:rFonts w:ascii="Arial" w:hAnsi="Arial"/>
          <w:sz w:val="24"/>
          <w:lang w:val="fr-CA"/>
        </w:rPr>
        <w:t>Interpréter et noter toutes les épreuves exécutées. Consulter les procédures pertinentes.</w:t>
      </w:r>
    </w:p>
    <w:p w:rsidR="003273A2" w:rsidRDefault="003273A2">
      <w:pPr>
        <w:ind w:left="1440"/>
        <w:rPr>
          <w:rFonts w:ascii="Arial" w:hAnsi="Arial"/>
          <w:sz w:val="24"/>
          <w:lang w:val="fr-CA"/>
        </w:rPr>
      </w:pPr>
    </w:p>
    <w:p w:rsidR="003273A2" w:rsidRPr="00C273D4" w:rsidRDefault="00C273D4" w:rsidP="00236849">
      <w:pPr>
        <w:numPr>
          <w:ilvl w:val="0"/>
          <w:numId w:val="1"/>
        </w:numPr>
        <w:rPr>
          <w:rFonts w:ascii="Arial" w:hAnsi="Arial"/>
          <w:b/>
          <w:sz w:val="28"/>
          <w:lang w:val="fr-CA"/>
        </w:rPr>
      </w:pPr>
      <w:r>
        <w:rPr>
          <w:rFonts w:ascii="Arial" w:hAnsi="Arial"/>
          <w:b/>
          <w:color w:val="000000"/>
          <w:sz w:val="28"/>
          <w:lang w:val="fr-CA"/>
        </w:rPr>
        <w:t>R</w:t>
      </w:r>
      <w:r w:rsidR="005135DD" w:rsidRPr="00C273D4">
        <w:rPr>
          <w:rFonts w:ascii="Arial" w:hAnsi="Arial"/>
          <w:b/>
          <w:color w:val="000000"/>
          <w:sz w:val="28"/>
          <w:lang w:val="fr-CA"/>
        </w:rPr>
        <w:t>emarques</w:t>
      </w:r>
    </w:p>
    <w:p w:rsidR="003273A2" w:rsidRPr="00C273D4" w:rsidRDefault="003273A2">
      <w:pPr>
        <w:rPr>
          <w:rFonts w:ascii="Arial" w:hAnsi="Arial"/>
          <w:sz w:val="24"/>
          <w:lang w:val="fr-CA"/>
        </w:rPr>
      </w:pPr>
    </w:p>
    <w:p w:rsidR="003273A2" w:rsidRPr="00E66C6B" w:rsidRDefault="00A336EA" w:rsidP="00236849">
      <w:pPr>
        <w:numPr>
          <w:ilvl w:val="1"/>
          <w:numId w:val="1"/>
        </w:numPr>
        <w:rPr>
          <w:rFonts w:ascii="Arial" w:hAnsi="Arial"/>
          <w:sz w:val="24"/>
          <w:lang w:val="fr-CA"/>
        </w:rPr>
      </w:pPr>
      <w:r w:rsidRPr="00E66C6B">
        <w:rPr>
          <w:rFonts w:ascii="Arial" w:hAnsi="Arial"/>
          <w:sz w:val="24"/>
          <w:lang w:val="fr-CA"/>
        </w:rPr>
        <w:t>Un TDA positif qui survient après une transfusion récente doit toujours faire soupçonner la possibilité d’une réaction transfusionnelle hémolytique tardive</w:t>
      </w:r>
      <w:r w:rsidR="003273A2" w:rsidRPr="00E66C6B">
        <w:rPr>
          <w:rFonts w:ascii="Arial" w:hAnsi="Arial"/>
          <w:sz w:val="24"/>
          <w:lang w:val="fr-CA"/>
        </w:rPr>
        <w:t xml:space="preserve">. </w:t>
      </w:r>
      <w:r w:rsidR="00E66C6B" w:rsidRPr="00E66C6B">
        <w:rPr>
          <w:rFonts w:ascii="Arial" w:hAnsi="Arial"/>
          <w:sz w:val="24"/>
          <w:lang w:val="fr-CA"/>
        </w:rPr>
        <w:t>La récupération d’alloanticorps dans un éluat de globules rouges suggère un</w:t>
      </w:r>
      <w:r w:rsidR="00457BF5" w:rsidRPr="00E66C6B">
        <w:rPr>
          <w:rFonts w:ascii="Arial" w:hAnsi="Arial"/>
          <w:sz w:val="24"/>
          <w:lang w:val="fr-CA"/>
        </w:rPr>
        <w:t xml:space="preserve">e réaction transfusionnelle </w:t>
      </w:r>
      <w:r w:rsidR="003273A2" w:rsidRPr="00E66C6B">
        <w:rPr>
          <w:rFonts w:ascii="Arial" w:hAnsi="Arial"/>
          <w:sz w:val="24"/>
          <w:lang w:val="fr-CA"/>
        </w:rPr>
        <w:t>h</w:t>
      </w:r>
      <w:r w:rsidR="00457BF5" w:rsidRPr="00E66C6B">
        <w:rPr>
          <w:rFonts w:ascii="Arial" w:hAnsi="Arial"/>
          <w:sz w:val="24"/>
          <w:lang w:val="fr-CA"/>
        </w:rPr>
        <w:t>é</w:t>
      </w:r>
      <w:r w:rsidR="003273A2" w:rsidRPr="00E66C6B">
        <w:rPr>
          <w:rFonts w:ascii="Arial" w:hAnsi="Arial"/>
          <w:sz w:val="24"/>
          <w:lang w:val="fr-CA"/>
        </w:rPr>
        <w:t>molyt</w:t>
      </w:r>
      <w:r w:rsidR="00457BF5" w:rsidRPr="00E66C6B">
        <w:rPr>
          <w:rFonts w:ascii="Arial" w:hAnsi="Arial"/>
          <w:sz w:val="24"/>
          <w:lang w:val="fr-CA"/>
        </w:rPr>
        <w:t>ique</w:t>
      </w:r>
      <w:r w:rsidR="003273A2" w:rsidRPr="00E66C6B">
        <w:rPr>
          <w:rFonts w:ascii="Arial" w:hAnsi="Arial"/>
          <w:sz w:val="24"/>
          <w:lang w:val="fr-CA"/>
        </w:rPr>
        <w:t xml:space="preserve"> (</w:t>
      </w:r>
      <w:r w:rsidR="00457BF5" w:rsidRPr="00E66C6B">
        <w:rPr>
          <w:rFonts w:ascii="Arial" w:hAnsi="Arial"/>
          <w:sz w:val="24"/>
          <w:lang w:val="fr-CA"/>
        </w:rPr>
        <w:t>tardive</w:t>
      </w:r>
      <w:r w:rsidR="003273A2" w:rsidRPr="00E66C6B">
        <w:rPr>
          <w:rFonts w:ascii="Arial" w:hAnsi="Arial"/>
          <w:sz w:val="24"/>
          <w:lang w:val="fr-CA"/>
        </w:rPr>
        <w:t xml:space="preserve">). </w:t>
      </w:r>
      <w:r w:rsidR="00457BF5" w:rsidRPr="00E66C6B">
        <w:rPr>
          <w:rFonts w:ascii="Arial" w:hAnsi="Arial"/>
          <w:sz w:val="24"/>
          <w:lang w:val="fr-CA"/>
        </w:rPr>
        <w:t>L’alloanticorps peut être présent ou non dans le plasma</w:t>
      </w:r>
      <w:r w:rsidR="003273A2" w:rsidRPr="00E66C6B">
        <w:rPr>
          <w:rFonts w:ascii="Arial" w:hAnsi="Arial"/>
          <w:sz w:val="24"/>
          <w:lang w:val="fr-CA"/>
        </w:rPr>
        <w:t xml:space="preserve">. </w:t>
      </w:r>
      <w:r w:rsidR="00457BF5" w:rsidRPr="00E66C6B">
        <w:rPr>
          <w:rFonts w:ascii="Arial" w:hAnsi="Arial"/>
          <w:sz w:val="24"/>
          <w:lang w:val="fr-CA"/>
        </w:rPr>
        <w:t xml:space="preserve">Quand on peut démontrer la présence d’un </w:t>
      </w:r>
      <w:r w:rsidR="003273A2" w:rsidRPr="00E66C6B">
        <w:rPr>
          <w:rFonts w:ascii="Arial" w:hAnsi="Arial"/>
          <w:sz w:val="24"/>
          <w:lang w:val="fr-CA"/>
        </w:rPr>
        <w:t>alloanti</w:t>
      </w:r>
      <w:r w:rsidR="00457BF5" w:rsidRPr="00E66C6B">
        <w:rPr>
          <w:rFonts w:ascii="Arial" w:hAnsi="Arial"/>
          <w:sz w:val="24"/>
          <w:lang w:val="fr-CA"/>
        </w:rPr>
        <w:t xml:space="preserve">corps dans le plasma, on trouve parfois un deuxième </w:t>
      </w:r>
      <w:r w:rsidR="00093CEA">
        <w:rPr>
          <w:rFonts w:ascii="Arial" w:hAnsi="Arial"/>
          <w:sz w:val="24"/>
          <w:lang w:val="fr-CA"/>
        </w:rPr>
        <w:t>allo</w:t>
      </w:r>
      <w:r w:rsidR="00457BF5" w:rsidRPr="00E66C6B">
        <w:rPr>
          <w:rFonts w:ascii="Arial" w:hAnsi="Arial"/>
          <w:sz w:val="24"/>
          <w:lang w:val="fr-CA"/>
        </w:rPr>
        <w:t>anticorps dans l’éluat</w:t>
      </w:r>
      <w:r w:rsidR="003273A2" w:rsidRPr="00E66C6B">
        <w:rPr>
          <w:rFonts w:ascii="Arial" w:hAnsi="Arial"/>
          <w:sz w:val="24"/>
          <w:lang w:val="fr-CA"/>
        </w:rPr>
        <w:t>.</w:t>
      </w:r>
    </w:p>
    <w:p w:rsidR="003273A2" w:rsidRPr="00E66C6B" w:rsidRDefault="003273A2">
      <w:pPr>
        <w:ind w:left="720"/>
        <w:rPr>
          <w:rFonts w:ascii="Arial" w:hAnsi="Arial"/>
          <w:sz w:val="24"/>
          <w:lang w:val="fr-CA"/>
        </w:rPr>
      </w:pPr>
    </w:p>
    <w:p w:rsidR="003273A2" w:rsidRPr="00C273D4" w:rsidRDefault="00A336EA" w:rsidP="00236849">
      <w:pPr>
        <w:numPr>
          <w:ilvl w:val="1"/>
          <w:numId w:val="1"/>
        </w:numPr>
        <w:rPr>
          <w:rFonts w:ascii="Arial" w:hAnsi="Arial"/>
          <w:sz w:val="24"/>
          <w:lang w:val="fr-CA"/>
        </w:rPr>
      </w:pPr>
      <w:r w:rsidRPr="00E66C6B">
        <w:rPr>
          <w:rFonts w:ascii="Arial" w:hAnsi="Arial"/>
          <w:sz w:val="24"/>
          <w:lang w:val="fr-CA"/>
        </w:rPr>
        <w:t xml:space="preserve">Habituellement, les autoanticorps chauds imitent une spécificité Rh multiple complexe, mais des </w:t>
      </w:r>
      <w:r w:rsidR="003273A2" w:rsidRPr="00E66C6B">
        <w:rPr>
          <w:rFonts w:ascii="Arial" w:hAnsi="Arial"/>
          <w:sz w:val="24"/>
          <w:lang w:val="fr-CA"/>
        </w:rPr>
        <w:t>autoanti</w:t>
      </w:r>
      <w:r w:rsidRPr="00E66C6B">
        <w:rPr>
          <w:rFonts w:ascii="Arial" w:hAnsi="Arial"/>
          <w:sz w:val="24"/>
          <w:lang w:val="fr-CA"/>
        </w:rPr>
        <w:t xml:space="preserve">corps à d’autres groupes sanguins peuvent aussi être présents. Les patients ayant déjà reçu une transfusion ou les patientes qui ont déjà été enceintes peuvent </w:t>
      </w:r>
      <w:r>
        <w:rPr>
          <w:rFonts w:ascii="Arial" w:hAnsi="Arial"/>
          <w:sz w:val="24"/>
          <w:lang w:val="fr-CA"/>
        </w:rPr>
        <w:t>avoir des alloanticorps qui sont masqués par la présence de l’autoanticorps</w:t>
      </w:r>
      <w:r w:rsidR="003273A2" w:rsidRPr="00C273D4">
        <w:rPr>
          <w:rFonts w:ascii="Arial" w:hAnsi="Arial"/>
          <w:sz w:val="24"/>
          <w:lang w:val="fr-CA"/>
        </w:rPr>
        <w:t xml:space="preserve">. </w:t>
      </w:r>
      <w:r>
        <w:rPr>
          <w:rFonts w:ascii="Arial" w:hAnsi="Arial"/>
          <w:sz w:val="24"/>
          <w:lang w:val="fr-CA"/>
        </w:rPr>
        <w:t xml:space="preserve">Des procédures </w:t>
      </w:r>
      <w:r w:rsidR="00105938">
        <w:rPr>
          <w:rFonts w:ascii="Arial" w:hAnsi="Arial"/>
          <w:sz w:val="24"/>
          <w:lang w:val="fr-CA"/>
        </w:rPr>
        <w:t>d’absorption</w:t>
      </w:r>
      <w:r w:rsidR="00105938" w:rsidRPr="00C273D4">
        <w:rPr>
          <w:rFonts w:ascii="Arial" w:hAnsi="Arial"/>
          <w:sz w:val="24"/>
          <w:lang w:val="fr-CA"/>
        </w:rPr>
        <w:t xml:space="preserve"> </w:t>
      </w:r>
      <w:r>
        <w:rPr>
          <w:rFonts w:ascii="Arial" w:hAnsi="Arial"/>
          <w:sz w:val="24"/>
          <w:lang w:val="fr-CA"/>
        </w:rPr>
        <w:t>peuvent être requises pour déterminer la présence d’un alloanticorps</w:t>
      </w:r>
      <w:r w:rsidR="003273A2" w:rsidRPr="00C273D4">
        <w:rPr>
          <w:rFonts w:ascii="Arial" w:hAnsi="Arial"/>
          <w:sz w:val="24"/>
          <w:lang w:val="fr-CA"/>
        </w:rPr>
        <w:t>.</w:t>
      </w:r>
    </w:p>
    <w:p w:rsidR="003273A2" w:rsidRPr="00A336EA" w:rsidRDefault="003273A2">
      <w:pPr>
        <w:ind w:left="720"/>
        <w:rPr>
          <w:rFonts w:ascii="Arial" w:hAnsi="Arial"/>
          <w:sz w:val="24"/>
          <w:lang w:val="fr-CA"/>
        </w:rPr>
      </w:pPr>
    </w:p>
    <w:p w:rsidR="003273A2" w:rsidRPr="00A336EA" w:rsidRDefault="00A336EA" w:rsidP="00A11117">
      <w:pPr>
        <w:numPr>
          <w:ilvl w:val="1"/>
          <w:numId w:val="1"/>
        </w:numPr>
        <w:rPr>
          <w:rFonts w:ascii="Arial" w:hAnsi="Arial"/>
          <w:sz w:val="24"/>
          <w:lang w:val="fr-CA"/>
        </w:rPr>
      </w:pPr>
      <w:r w:rsidRPr="00A336EA">
        <w:rPr>
          <w:rFonts w:ascii="Arial" w:hAnsi="Arial"/>
          <w:sz w:val="24"/>
          <w:lang w:val="fr-CA"/>
        </w:rPr>
        <w:t xml:space="preserve">Si le patient a reçu une transfusion au cours des 3 derniers mois, mais non au cours des 3 dernières </w:t>
      </w:r>
      <w:r w:rsidRPr="00C129E1">
        <w:rPr>
          <w:rFonts w:ascii="Arial" w:hAnsi="Arial"/>
          <w:sz w:val="24"/>
          <w:lang w:val="fr-CA"/>
        </w:rPr>
        <w:t>semaines</w:t>
      </w:r>
      <w:r w:rsidRPr="00A336EA">
        <w:rPr>
          <w:rFonts w:ascii="Arial" w:hAnsi="Arial"/>
          <w:b/>
          <w:sz w:val="24"/>
          <w:lang w:val="fr-CA"/>
        </w:rPr>
        <w:t>,</w:t>
      </w:r>
      <w:r w:rsidRPr="00A336EA">
        <w:rPr>
          <w:rFonts w:ascii="Arial" w:hAnsi="Arial"/>
          <w:sz w:val="24"/>
          <w:lang w:val="fr-CA"/>
        </w:rPr>
        <w:t xml:space="preserve"> on peut omettre l’élution si toutes les conditions suivantes s’appliquent </w:t>
      </w:r>
      <w:r w:rsidR="003273A2" w:rsidRPr="00A336EA">
        <w:rPr>
          <w:rFonts w:ascii="Arial" w:hAnsi="Arial"/>
          <w:sz w:val="24"/>
          <w:lang w:val="fr-CA"/>
        </w:rPr>
        <w:t>:</w:t>
      </w:r>
      <w:r w:rsidRPr="00A336EA">
        <w:rPr>
          <w:rFonts w:ascii="Arial" w:hAnsi="Arial"/>
          <w:sz w:val="24"/>
          <w:lang w:val="fr-CA"/>
        </w:rPr>
        <w:br/>
      </w:r>
    </w:p>
    <w:p w:rsidR="003273A2" w:rsidRPr="00A336EA" w:rsidRDefault="00A336EA" w:rsidP="00A11117">
      <w:pPr>
        <w:numPr>
          <w:ilvl w:val="2"/>
          <w:numId w:val="1"/>
        </w:numPr>
        <w:spacing w:line="228" w:lineRule="auto"/>
        <w:rPr>
          <w:rFonts w:ascii="Arial" w:hAnsi="Arial"/>
          <w:sz w:val="24"/>
          <w:lang w:val="fr-CA"/>
        </w:rPr>
      </w:pPr>
      <w:r w:rsidRPr="00A336EA">
        <w:rPr>
          <w:rFonts w:ascii="Arial" w:hAnsi="Arial"/>
          <w:sz w:val="24"/>
          <w:lang w:val="fr-CA"/>
        </w:rPr>
        <w:t>Le TDA fait sur le dernier échantillon (</w:t>
      </w:r>
      <w:r w:rsidR="009E42FD">
        <w:rPr>
          <w:rFonts w:ascii="Arial" w:hAnsi="Arial"/>
          <w:sz w:val="24"/>
          <w:lang w:val="fr-CA"/>
        </w:rPr>
        <w:t>c.-à-d.</w:t>
      </w:r>
      <w:r w:rsidRPr="00A336EA">
        <w:rPr>
          <w:rFonts w:ascii="Arial" w:hAnsi="Arial"/>
          <w:sz w:val="24"/>
          <w:lang w:val="fr-CA"/>
        </w:rPr>
        <w:t xml:space="preserve"> prélevé il y a plus de 3 semaines) était positif et le résultat a été investigué; et</w:t>
      </w:r>
    </w:p>
    <w:p w:rsidR="00A11117" w:rsidRDefault="00457BF5" w:rsidP="00A11117">
      <w:pPr>
        <w:numPr>
          <w:ilvl w:val="2"/>
          <w:numId w:val="1"/>
        </w:numPr>
        <w:spacing w:line="228" w:lineRule="auto"/>
        <w:rPr>
          <w:rFonts w:ascii="Arial" w:hAnsi="Arial"/>
          <w:sz w:val="24"/>
          <w:lang w:val="fr-CA"/>
        </w:rPr>
      </w:pPr>
      <w:r w:rsidRPr="00A11117">
        <w:rPr>
          <w:rFonts w:ascii="Arial" w:hAnsi="Arial"/>
          <w:sz w:val="24"/>
          <w:lang w:val="fr-CA"/>
        </w:rPr>
        <w:t xml:space="preserve">Le niveau </w:t>
      </w:r>
      <w:r w:rsidR="00105938" w:rsidRPr="00A11117">
        <w:rPr>
          <w:rFonts w:ascii="Arial" w:hAnsi="Arial"/>
          <w:sz w:val="24"/>
          <w:lang w:val="fr-CA"/>
        </w:rPr>
        <w:t xml:space="preserve">de la réaction </w:t>
      </w:r>
      <w:r w:rsidRPr="00A11117">
        <w:rPr>
          <w:rFonts w:ascii="Arial" w:hAnsi="Arial"/>
          <w:sz w:val="24"/>
          <w:lang w:val="fr-CA"/>
        </w:rPr>
        <w:t xml:space="preserve">du TDA </w:t>
      </w:r>
      <w:r w:rsidR="003273A2" w:rsidRPr="00A11117">
        <w:rPr>
          <w:rFonts w:ascii="Arial" w:hAnsi="Arial"/>
          <w:sz w:val="24"/>
          <w:lang w:val="fr-CA"/>
        </w:rPr>
        <w:t>positi</w:t>
      </w:r>
      <w:r w:rsidRPr="00A11117">
        <w:rPr>
          <w:rFonts w:ascii="Arial" w:hAnsi="Arial"/>
          <w:sz w:val="24"/>
          <w:lang w:val="fr-CA"/>
        </w:rPr>
        <w:t>f sur l’échantillon courant n’est pas plus élevé que celui du TDA fait sur l</w:t>
      </w:r>
      <w:r w:rsidR="00A336EA" w:rsidRPr="00A11117">
        <w:rPr>
          <w:rFonts w:ascii="Arial" w:hAnsi="Arial"/>
          <w:sz w:val="24"/>
          <w:lang w:val="fr-CA"/>
        </w:rPr>
        <w:t>e dernier échantillon;</w:t>
      </w:r>
      <w:r w:rsidR="00A11117">
        <w:rPr>
          <w:rFonts w:ascii="Arial" w:hAnsi="Arial"/>
          <w:sz w:val="24"/>
          <w:lang w:val="fr-CA"/>
        </w:rPr>
        <w:t xml:space="preserve"> et </w:t>
      </w:r>
    </w:p>
    <w:p w:rsidR="003273A2" w:rsidRPr="00A11117" w:rsidRDefault="00457BF5" w:rsidP="00A11117">
      <w:pPr>
        <w:numPr>
          <w:ilvl w:val="2"/>
          <w:numId w:val="1"/>
        </w:numPr>
        <w:spacing w:line="228" w:lineRule="auto"/>
        <w:rPr>
          <w:rFonts w:ascii="Arial" w:hAnsi="Arial"/>
          <w:sz w:val="24"/>
          <w:lang w:val="fr-CA"/>
        </w:rPr>
      </w:pPr>
      <w:r w:rsidRPr="00A11117">
        <w:rPr>
          <w:rFonts w:ascii="Arial" w:hAnsi="Arial"/>
          <w:sz w:val="24"/>
          <w:lang w:val="fr-CA"/>
        </w:rPr>
        <w:t>Le niveau de la réaction du dépistage d’anticorps fait sur l’échantillon courant est le même que celui obtenir sur le dernier échantillon</w:t>
      </w:r>
      <w:r w:rsidR="003273A2" w:rsidRPr="00A11117">
        <w:rPr>
          <w:rFonts w:ascii="Arial" w:hAnsi="Arial"/>
          <w:sz w:val="24"/>
          <w:lang w:val="fr-CA"/>
        </w:rPr>
        <w:t>.</w:t>
      </w:r>
    </w:p>
    <w:p w:rsidR="003273A2" w:rsidRPr="00C273D4" w:rsidRDefault="003273A2">
      <w:pPr>
        <w:ind w:left="1440"/>
        <w:rPr>
          <w:rFonts w:ascii="Arial" w:hAnsi="Arial"/>
          <w:sz w:val="24"/>
          <w:lang w:val="fr-CA"/>
        </w:rPr>
      </w:pPr>
    </w:p>
    <w:p w:rsidR="003273A2" w:rsidRPr="00457BF5" w:rsidRDefault="00C40657">
      <w:pPr>
        <w:ind w:left="1440"/>
        <w:rPr>
          <w:rFonts w:ascii="Arial" w:hAnsi="Arial"/>
          <w:sz w:val="24"/>
          <w:lang w:val="fr-CA"/>
        </w:rPr>
      </w:pPr>
      <w:r w:rsidRPr="00A11117">
        <w:rPr>
          <w:rFonts w:ascii="Arial" w:hAnsi="Arial"/>
          <w:b/>
          <w:sz w:val="24"/>
          <w:lang w:val="fr-CA"/>
        </w:rPr>
        <w:t>Remarque</w:t>
      </w:r>
      <w:r w:rsidR="00E36E60">
        <w:rPr>
          <w:rFonts w:ascii="Arial" w:hAnsi="Arial"/>
          <w:b/>
          <w:sz w:val="24"/>
          <w:lang w:val="fr-CA"/>
        </w:rPr>
        <w:t> </w:t>
      </w:r>
      <w:r w:rsidR="003273A2" w:rsidRPr="00C273D4">
        <w:rPr>
          <w:rFonts w:ascii="Arial" w:hAnsi="Arial"/>
          <w:b/>
          <w:sz w:val="24"/>
          <w:lang w:val="fr-CA"/>
        </w:rPr>
        <w:t>:</w:t>
      </w:r>
      <w:r>
        <w:rPr>
          <w:rFonts w:ascii="Arial" w:hAnsi="Arial"/>
          <w:b/>
          <w:sz w:val="24"/>
          <w:lang w:val="fr-CA"/>
        </w:rPr>
        <w:t xml:space="preserve"> </w:t>
      </w:r>
      <w:r>
        <w:rPr>
          <w:rFonts w:ascii="Arial" w:hAnsi="Arial"/>
          <w:sz w:val="24"/>
          <w:lang w:val="fr-CA"/>
        </w:rPr>
        <w:t>Les circonstances cliniques, l’évaluation de la transfusion</w:t>
      </w:r>
      <w:r w:rsidR="003273A2" w:rsidRPr="00C273D4">
        <w:rPr>
          <w:rFonts w:ascii="Arial" w:hAnsi="Arial"/>
          <w:sz w:val="24"/>
          <w:lang w:val="fr-CA"/>
        </w:rPr>
        <w:t xml:space="preserve">, </w:t>
      </w:r>
      <w:r>
        <w:rPr>
          <w:rFonts w:ascii="Arial" w:hAnsi="Arial"/>
          <w:sz w:val="24"/>
          <w:lang w:val="fr-CA"/>
        </w:rPr>
        <w:t xml:space="preserve">les résultats des épreuves et/ou des échantillons </w:t>
      </w:r>
      <w:r w:rsidR="00105938">
        <w:rPr>
          <w:rFonts w:ascii="Arial" w:hAnsi="Arial"/>
          <w:sz w:val="24"/>
          <w:lang w:val="fr-CA"/>
        </w:rPr>
        <w:t xml:space="preserve">antérieurs </w:t>
      </w:r>
      <w:r>
        <w:rPr>
          <w:rFonts w:ascii="Arial" w:hAnsi="Arial"/>
          <w:sz w:val="24"/>
          <w:lang w:val="fr-CA"/>
        </w:rPr>
        <w:t xml:space="preserve">peuvent </w:t>
      </w:r>
      <w:r w:rsidR="00457BF5">
        <w:rPr>
          <w:rFonts w:ascii="Arial" w:hAnsi="Arial"/>
          <w:sz w:val="24"/>
          <w:lang w:val="fr-CA"/>
        </w:rPr>
        <w:t xml:space="preserve">primer </w:t>
      </w:r>
      <w:r w:rsidR="00A11117">
        <w:rPr>
          <w:rFonts w:ascii="Arial" w:hAnsi="Arial"/>
          <w:sz w:val="24"/>
          <w:lang w:val="fr-CA"/>
        </w:rPr>
        <w:t xml:space="preserve">sur </w:t>
      </w:r>
      <w:r>
        <w:rPr>
          <w:rFonts w:ascii="Arial" w:hAnsi="Arial"/>
          <w:sz w:val="24"/>
          <w:lang w:val="fr-CA"/>
        </w:rPr>
        <w:t>les critères ci-dessus</w:t>
      </w:r>
      <w:r w:rsidR="008D0A3A">
        <w:rPr>
          <w:rFonts w:ascii="Arial" w:hAnsi="Arial"/>
          <w:sz w:val="24"/>
          <w:lang w:val="fr-CA"/>
        </w:rPr>
        <w:t>,</w:t>
      </w:r>
      <w:r>
        <w:rPr>
          <w:rFonts w:ascii="Arial" w:hAnsi="Arial"/>
          <w:sz w:val="24"/>
          <w:lang w:val="fr-CA"/>
        </w:rPr>
        <w:t xml:space="preserve"> et une élution </w:t>
      </w:r>
      <w:r w:rsidRPr="00457BF5">
        <w:rPr>
          <w:rFonts w:ascii="Arial" w:hAnsi="Arial"/>
          <w:sz w:val="24"/>
          <w:lang w:val="fr-CA"/>
        </w:rPr>
        <w:t>peut être désirable chez certains patients</w:t>
      </w:r>
      <w:r w:rsidR="00457BF5" w:rsidRPr="00457BF5">
        <w:rPr>
          <w:rFonts w:ascii="Arial" w:hAnsi="Arial"/>
          <w:sz w:val="24"/>
          <w:lang w:val="fr-CA"/>
        </w:rPr>
        <w:t>.</w:t>
      </w:r>
    </w:p>
    <w:p w:rsidR="003273A2" w:rsidRPr="00457BF5" w:rsidRDefault="003273A2">
      <w:pPr>
        <w:rPr>
          <w:rFonts w:ascii="Arial" w:hAnsi="Arial"/>
          <w:sz w:val="24"/>
          <w:lang w:val="fr-CA"/>
        </w:rPr>
      </w:pPr>
    </w:p>
    <w:p w:rsidR="003273A2" w:rsidRPr="00457BF5" w:rsidRDefault="00457BF5" w:rsidP="00A11117">
      <w:pPr>
        <w:numPr>
          <w:ilvl w:val="1"/>
          <w:numId w:val="1"/>
        </w:numPr>
        <w:rPr>
          <w:rFonts w:ascii="Arial" w:hAnsi="Arial"/>
          <w:sz w:val="24"/>
          <w:lang w:val="fr-CA"/>
        </w:rPr>
      </w:pPr>
      <w:r w:rsidRPr="00457BF5">
        <w:rPr>
          <w:rFonts w:ascii="Arial" w:hAnsi="Arial"/>
          <w:sz w:val="24"/>
          <w:lang w:val="fr-CA"/>
        </w:rPr>
        <w:t xml:space="preserve">Environ une personne sur </w:t>
      </w:r>
      <w:r w:rsidR="003273A2" w:rsidRPr="00457BF5">
        <w:rPr>
          <w:rFonts w:ascii="Arial" w:hAnsi="Arial"/>
          <w:sz w:val="24"/>
          <w:lang w:val="fr-CA"/>
        </w:rPr>
        <w:t xml:space="preserve">1000 </w:t>
      </w:r>
      <w:r w:rsidR="008D0A3A">
        <w:rPr>
          <w:rFonts w:ascii="Arial" w:hAnsi="Arial"/>
          <w:sz w:val="24"/>
          <w:lang w:val="fr-CA"/>
        </w:rPr>
        <w:t xml:space="preserve">et un donneur sur 14 000 </w:t>
      </w:r>
      <w:r w:rsidR="00A11117">
        <w:rPr>
          <w:rFonts w:ascii="Arial" w:hAnsi="Arial"/>
          <w:sz w:val="24"/>
          <w:lang w:val="fr-CA"/>
        </w:rPr>
        <w:t xml:space="preserve">et entre 1 5 et 15 % des patients hospitalisés </w:t>
      </w:r>
      <w:r w:rsidR="008D0A3A">
        <w:rPr>
          <w:rFonts w:ascii="Arial" w:hAnsi="Arial"/>
          <w:sz w:val="24"/>
          <w:lang w:val="fr-CA"/>
        </w:rPr>
        <w:t>o</w:t>
      </w:r>
      <w:r w:rsidRPr="00457BF5">
        <w:rPr>
          <w:rFonts w:ascii="Arial" w:hAnsi="Arial"/>
          <w:sz w:val="24"/>
          <w:lang w:val="fr-CA"/>
        </w:rPr>
        <w:t>nt un TDA positif en raison d’</w:t>
      </w:r>
      <w:r w:rsidR="003273A2" w:rsidRPr="00457BF5">
        <w:rPr>
          <w:rFonts w:ascii="Arial" w:hAnsi="Arial"/>
          <w:sz w:val="24"/>
          <w:lang w:val="fr-CA"/>
        </w:rPr>
        <w:t xml:space="preserve">anti-IgG </w:t>
      </w:r>
      <w:r w:rsidRPr="00457BF5">
        <w:rPr>
          <w:rFonts w:ascii="Arial" w:hAnsi="Arial"/>
          <w:sz w:val="24"/>
          <w:lang w:val="fr-CA"/>
        </w:rPr>
        <w:t xml:space="preserve">et </w:t>
      </w:r>
      <w:r w:rsidR="003273A2" w:rsidRPr="00457BF5">
        <w:rPr>
          <w:rFonts w:ascii="Arial" w:hAnsi="Arial"/>
          <w:sz w:val="24"/>
          <w:lang w:val="fr-CA"/>
        </w:rPr>
        <w:t>/o</w:t>
      </w:r>
      <w:r w:rsidRPr="00457BF5">
        <w:rPr>
          <w:rFonts w:ascii="Arial" w:hAnsi="Arial"/>
          <w:sz w:val="24"/>
          <w:lang w:val="fr-CA"/>
        </w:rPr>
        <w:t>u</w:t>
      </w:r>
      <w:r w:rsidR="003273A2" w:rsidRPr="00457BF5">
        <w:rPr>
          <w:rFonts w:ascii="Arial" w:hAnsi="Arial"/>
          <w:sz w:val="24"/>
          <w:lang w:val="fr-CA"/>
        </w:rPr>
        <w:t xml:space="preserve"> </w:t>
      </w:r>
      <w:r w:rsidRPr="00457BF5">
        <w:rPr>
          <w:rFonts w:ascii="Arial" w:hAnsi="Arial"/>
          <w:sz w:val="24"/>
          <w:lang w:val="fr-CA"/>
        </w:rPr>
        <w:t>d’</w:t>
      </w:r>
      <w:r w:rsidR="003273A2" w:rsidRPr="00457BF5">
        <w:rPr>
          <w:rFonts w:ascii="Arial" w:hAnsi="Arial"/>
          <w:sz w:val="24"/>
          <w:lang w:val="fr-CA"/>
        </w:rPr>
        <w:t xml:space="preserve">anti-C3. </w:t>
      </w:r>
      <w:r w:rsidR="00A11117">
        <w:rPr>
          <w:rFonts w:ascii="Arial" w:hAnsi="Arial"/>
          <w:sz w:val="24"/>
          <w:lang w:val="fr-CA"/>
        </w:rPr>
        <w:t xml:space="preserve">Des personnes en santé peuvent avoir entre 5 à 90 molécules d’IgG par globule rouge et entre 4 et 40 molécules de C3d par globule rouge. Ces niveaux se situent en deça des seuils de détection des analyses de routine. </w:t>
      </w:r>
      <w:r w:rsidRPr="00457BF5">
        <w:rPr>
          <w:rFonts w:ascii="Arial" w:hAnsi="Arial"/>
          <w:sz w:val="24"/>
          <w:lang w:val="fr-CA"/>
        </w:rPr>
        <w:t xml:space="preserve">L’importance de ce TDA </w:t>
      </w:r>
      <w:r w:rsidR="009E42FD" w:rsidRPr="00457BF5">
        <w:rPr>
          <w:rFonts w:ascii="Arial" w:hAnsi="Arial"/>
          <w:sz w:val="24"/>
          <w:lang w:val="fr-CA"/>
        </w:rPr>
        <w:t>positif</w:t>
      </w:r>
      <w:r w:rsidR="009E42FD">
        <w:rPr>
          <w:rFonts w:ascii="Arial" w:hAnsi="Arial"/>
          <w:sz w:val="24"/>
          <w:lang w:val="fr-CA"/>
        </w:rPr>
        <w:t xml:space="preserve"> </w:t>
      </w:r>
      <w:r w:rsidR="008D0A3A">
        <w:rPr>
          <w:rFonts w:ascii="Arial" w:hAnsi="Arial"/>
          <w:sz w:val="24"/>
          <w:lang w:val="fr-CA"/>
        </w:rPr>
        <w:t xml:space="preserve">chez des personnes en santé </w:t>
      </w:r>
      <w:r w:rsidRPr="00457BF5">
        <w:rPr>
          <w:rFonts w:ascii="Arial" w:hAnsi="Arial"/>
          <w:sz w:val="24"/>
          <w:lang w:val="fr-CA"/>
        </w:rPr>
        <w:t>est inconnue</w:t>
      </w:r>
      <w:r w:rsidR="008D0A3A">
        <w:rPr>
          <w:rFonts w:ascii="Arial" w:hAnsi="Arial"/>
          <w:sz w:val="24"/>
          <w:vertAlign w:val="superscript"/>
          <w:lang w:val="fr-CA"/>
        </w:rPr>
        <w:t>9.2</w:t>
      </w:r>
      <w:r w:rsidR="003273A2" w:rsidRPr="00457BF5">
        <w:rPr>
          <w:rFonts w:ascii="Arial" w:hAnsi="Arial"/>
          <w:sz w:val="24"/>
          <w:lang w:val="fr-CA"/>
        </w:rPr>
        <w:t>.</w:t>
      </w:r>
    </w:p>
    <w:p w:rsidR="003273A2" w:rsidRPr="00C273D4" w:rsidRDefault="003273A2">
      <w:pPr>
        <w:ind w:left="720"/>
        <w:rPr>
          <w:rFonts w:ascii="Arial" w:hAnsi="Arial"/>
          <w:sz w:val="24"/>
          <w:lang w:val="fr-CA"/>
        </w:rPr>
      </w:pPr>
    </w:p>
    <w:p w:rsidR="003273A2" w:rsidRPr="00C40657" w:rsidRDefault="00B428D3" w:rsidP="00A11117">
      <w:pPr>
        <w:numPr>
          <w:ilvl w:val="1"/>
          <w:numId w:val="1"/>
        </w:numPr>
        <w:rPr>
          <w:rFonts w:ascii="Arial" w:hAnsi="Arial"/>
          <w:sz w:val="24"/>
          <w:lang w:val="fr-CA"/>
        </w:rPr>
      </w:pPr>
      <w:r w:rsidRPr="00C40657">
        <w:rPr>
          <w:rFonts w:ascii="Arial" w:hAnsi="Arial"/>
          <w:sz w:val="24"/>
          <w:lang w:val="fr-CA"/>
        </w:rPr>
        <w:t>Raisons possibles d’un test direct à l</w:t>
      </w:r>
      <w:r w:rsidR="00E36E60">
        <w:rPr>
          <w:rFonts w:ascii="Arial" w:hAnsi="Arial"/>
          <w:sz w:val="24"/>
          <w:lang w:val="fr-CA"/>
        </w:rPr>
        <w:t>’</w:t>
      </w:r>
      <w:r w:rsidRPr="00C40657">
        <w:rPr>
          <w:rFonts w:ascii="Arial" w:hAnsi="Arial"/>
          <w:sz w:val="24"/>
          <w:lang w:val="fr-CA"/>
        </w:rPr>
        <w:t>antiglobuline (TDA) positif</w:t>
      </w:r>
      <w:r w:rsidR="005A1271" w:rsidRPr="00C40657">
        <w:rPr>
          <w:rFonts w:ascii="Arial" w:hAnsi="Arial"/>
          <w:sz w:val="24"/>
          <w:lang w:val="fr-CA"/>
        </w:rPr>
        <w:t> :</w:t>
      </w:r>
    </w:p>
    <w:p w:rsidR="003273A2" w:rsidRPr="00C40657" w:rsidRDefault="003273A2">
      <w:pPr>
        <w:ind w:left="720"/>
        <w:rPr>
          <w:rFonts w:ascii="Arial" w:hAnsi="Arial"/>
          <w:sz w:val="24"/>
          <w:lang w:val="fr-CA"/>
        </w:rPr>
      </w:pPr>
    </w:p>
    <w:p w:rsidR="003273A2" w:rsidRPr="00C40657" w:rsidRDefault="00A11117" w:rsidP="00A11117">
      <w:pPr>
        <w:numPr>
          <w:ilvl w:val="2"/>
          <w:numId w:val="1"/>
        </w:numPr>
        <w:spacing w:line="228" w:lineRule="auto"/>
        <w:rPr>
          <w:rFonts w:ascii="Arial" w:hAnsi="Arial"/>
          <w:sz w:val="24"/>
          <w:lang w:val="fr-CA"/>
        </w:rPr>
      </w:pPr>
      <w:r>
        <w:rPr>
          <w:rFonts w:ascii="Arial" w:hAnsi="Arial"/>
          <w:sz w:val="24"/>
          <w:lang w:val="fr-CA"/>
        </w:rPr>
        <w:t>Réactions transfusionnelles hémolytiques : a</w:t>
      </w:r>
      <w:r w:rsidR="003273A2" w:rsidRPr="00C40657">
        <w:rPr>
          <w:rFonts w:ascii="Arial" w:hAnsi="Arial"/>
          <w:sz w:val="24"/>
          <w:lang w:val="fr-CA"/>
        </w:rPr>
        <w:t>lloanti</w:t>
      </w:r>
      <w:r w:rsidR="00C40657" w:rsidRPr="00C40657">
        <w:rPr>
          <w:rFonts w:ascii="Arial" w:hAnsi="Arial"/>
          <w:sz w:val="24"/>
          <w:lang w:val="fr-CA"/>
        </w:rPr>
        <w:t>corps dans la circulation sanguine d’un patient qui réagissent aux antigènes présents sur les cellules de donneur récemment transfusées</w:t>
      </w:r>
    </w:p>
    <w:p w:rsidR="00095B66" w:rsidRDefault="00457BF5" w:rsidP="00A11117">
      <w:pPr>
        <w:numPr>
          <w:ilvl w:val="2"/>
          <w:numId w:val="1"/>
        </w:numPr>
        <w:spacing w:line="228" w:lineRule="auto"/>
        <w:rPr>
          <w:rFonts w:ascii="Arial" w:hAnsi="Arial"/>
          <w:sz w:val="24"/>
          <w:lang w:val="fr-CA"/>
        </w:rPr>
      </w:pPr>
      <w:r w:rsidRPr="00457BF5">
        <w:rPr>
          <w:rFonts w:ascii="Arial" w:hAnsi="Arial"/>
          <w:sz w:val="24"/>
          <w:lang w:val="fr-CA"/>
        </w:rPr>
        <w:t>Acquisition passive d</w:t>
      </w:r>
      <w:r w:rsidR="00E36E60">
        <w:rPr>
          <w:rFonts w:ascii="Arial" w:hAnsi="Arial"/>
          <w:sz w:val="24"/>
          <w:lang w:val="fr-CA"/>
        </w:rPr>
        <w:t>’</w:t>
      </w:r>
      <w:r w:rsidRPr="00457BF5">
        <w:rPr>
          <w:rFonts w:ascii="Arial" w:hAnsi="Arial"/>
          <w:sz w:val="24"/>
          <w:lang w:val="fr-CA"/>
        </w:rPr>
        <w:t>anticorps</w:t>
      </w:r>
      <w:r w:rsidR="00095B66">
        <w:rPr>
          <w:rFonts w:ascii="Arial" w:hAnsi="Arial"/>
          <w:sz w:val="24"/>
          <w:vertAlign w:val="superscript"/>
          <w:lang w:val="fr-CA"/>
        </w:rPr>
        <w:t>9.2</w:t>
      </w:r>
      <w:r w:rsidRPr="00457BF5">
        <w:rPr>
          <w:rFonts w:ascii="Arial" w:hAnsi="Arial"/>
          <w:sz w:val="24"/>
          <w:lang w:val="fr-CA"/>
        </w:rPr>
        <w:t xml:space="preserve"> dans le plasma, les plaquettes et les dérivés plasmatiques du donneur </w:t>
      </w:r>
      <w:r w:rsidR="00095B66">
        <w:rPr>
          <w:rFonts w:ascii="Arial" w:hAnsi="Arial"/>
          <w:sz w:val="24"/>
          <w:lang w:val="fr-CA"/>
        </w:rPr>
        <w:t>(p. ex. IgIV, IgRh, etc.) et anticorps maternels chez le nouveau-né</w:t>
      </w:r>
    </w:p>
    <w:p w:rsidR="003273A2" w:rsidRPr="00457BF5" w:rsidRDefault="00095B66" w:rsidP="00A11117">
      <w:pPr>
        <w:numPr>
          <w:ilvl w:val="2"/>
          <w:numId w:val="1"/>
        </w:numPr>
        <w:spacing w:line="228" w:lineRule="auto"/>
        <w:rPr>
          <w:rFonts w:ascii="Arial" w:hAnsi="Arial"/>
          <w:sz w:val="24"/>
          <w:lang w:val="fr-CA"/>
        </w:rPr>
      </w:pPr>
      <w:r>
        <w:rPr>
          <w:rFonts w:ascii="Arial" w:hAnsi="Arial"/>
          <w:sz w:val="24"/>
          <w:lang w:val="fr-CA"/>
        </w:rPr>
        <w:t xml:space="preserve">Adsorption non spécifique de protéines (p. ex. </w:t>
      </w:r>
      <w:r w:rsidRPr="00C273D4">
        <w:rPr>
          <w:rFonts w:ascii="Arial" w:hAnsi="Arial"/>
          <w:sz w:val="24"/>
          <w:lang w:val="fr-CA"/>
        </w:rPr>
        <w:t>hypergammaglobulin</w:t>
      </w:r>
      <w:r>
        <w:rPr>
          <w:rFonts w:ascii="Arial" w:hAnsi="Arial"/>
          <w:sz w:val="24"/>
          <w:lang w:val="fr-CA"/>
        </w:rPr>
        <w:t>émie ou modification de la membrane des globules rouges par certains agents</w:t>
      </w:r>
      <w:r w:rsidR="003273A2" w:rsidRPr="00457BF5">
        <w:rPr>
          <w:rFonts w:ascii="Arial" w:hAnsi="Arial"/>
          <w:sz w:val="24"/>
          <w:lang w:val="fr-CA"/>
        </w:rPr>
        <w:t>)</w:t>
      </w:r>
    </w:p>
    <w:p w:rsidR="00F62264" w:rsidRDefault="00F62264" w:rsidP="00F62264">
      <w:pPr>
        <w:numPr>
          <w:ilvl w:val="2"/>
          <w:numId w:val="1"/>
        </w:numPr>
        <w:spacing w:line="228" w:lineRule="auto"/>
        <w:rPr>
          <w:rFonts w:ascii="Arial" w:hAnsi="Arial"/>
          <w:sz w:val="24"/>
          <w:lang w:val="fr-CA"/>
        </w:rPr>
      </w:pPr>
      <w:r w:rsidRPr="00C273D4">
        <w:rPr>
          <w:rFonts w:ascii="Arial" w:hAnsi="Arial"/>
          <w:sz w:val="24"/>
          <w:lang w:val="fr-CA"/>
        </w:rPr>
        <w:t>Autoanti</w:t>
      </w:r>
      <w:r>
        <w:rPr>
          <w:rFonts w:ascii="Arial" w:hAnsi="Arial"/>
          <w:sz w:val="24"/>
          <w:lang w:val="fr-CA"/>
        </w:rPr>
        <w:t>corps à des antigènes intrinsèques des globules</w:t>
      </w:r>
      <w:r w:rsidR="00E36E60">
        <w:rPr>
          <w:rFonts w:ascii="Arial" w:hAnsi="Arial"/>
          <w:sz w:val="24"/>
          <w:lang w:val="fr-CA"/>
        </w:rPr>
        <w:t> </w:t>
      </w:r>
      <w:r>
        <w:rPr>
          <w:rFonts w:ascii="Arial" w:hAnsi="Arial"/>
          <w:sz w:val="24"/>
          <w:lang w:val="fr-CA"/>
        </w:rPr>
        <w:t>rouges</w:t>
      </w:r>
      <w:r>
        <w:rPr>
          <w:rFonts w:ascii="Arial" w:hAnsi="Arial"/>
          <w:sz w:val="24"/>
          <w:vertAlign w:val="superscript"/>
          <w:lang w:val="fr-CA"/>
        </w:rPr>
        <w:t>9.2</w:t>
      </w:r>
    </w:p>
    <w:p w:rsidR="00F62264" w:rsidRDefault="00F62264" w:rsidP="00F62264">
      <w:pPr>
        <w:numPr>
          <w:ilvl w:val="2"/>
          <w:numId w:val="1"/>
        </w:numPr>
        <w:spacing w:line="228" w:lineRule="auto"/>
        <w:rPr>
          <w:rFonts w:ascii="Arial" w:hAnsi="Arial"/>
          <w:sz w:val="24"/>
          <w:lang w:val="fr-CA"/>
        </w:rPr>
      </w:pPr>
      <w:r>
        <w:rPr>
          <w:rFonts w:ascii="Arial" w:hAnsi="Arial"/>
          <w:sz w:val="24"/>
          <w:lang w:val="fr-CA"/>
        </w:rPr>
        <w:t>Activation de complément en raison d’une infection bactérienne, d’autoanticorps ou d’alloanticorps</w:t>
      </w:r>
      <w:r>
        <w:rPr>
          <w:rFonts w:ascii="Arial" w:hAnsi="Arial"/>
          <w:sz w:val="24"/>
          <w:vertAlign w:val="superscript"/>
          <w:lang w:val="fr-CA"/>
        </w:rPr>
        <w:t>9.2</w:t>
      </w:r>
    </w:p>
    <w:p w:rsidR="00F62264" w:rsidRPr="00C273D4" w:rsidRDefault="00F62264" w:rsidP="00F62264">
      <w:pPr>
        <w:numPr>
          <w:ilvl w:val="2"/>
          <w:numId w:val="1"/>
        </w:numPr>
        <w:spacing w:line="228" w:lineRule="auto"/>
        <w:rPr>
          <w:rFonts w:ascii="Arial" w:hAnsi="Arial"/>
          <w:sz w:val="24"/>
          <w:lang w:val="fr-CA"/>
        </w:rPr>
      </w:pPr>
      <w:r>
        <w:rPr>
          <w:rFonts w:ascii="Arial" w:hAnsi="Arial"/>
          <w:sz w:val="24"/>
          <w:lang w:val="fr-CA"/>
        </w:rPr>
        <w:t>Production d’anticorps par des lymphocytes passagers (composants hématopoïétiques) ou des organes</w:t>
      </w:r>
      <w:r w:rsidR="00E36E60">
        <w:rPr>
          <w:rFonts w:ascii="Arial" w:hAnsi="Arial"/>
          <w:sz w:val="24"/>
          <w:lang w:val="fr-CA"/>
        </w:rPr>
        <w:t> </w:t>
      </w:r>
      <w:r>
        <w:rPr>
          <w:rFonts w:ascii="Arial" w:hAnsi="Arial"/>
          <w:sz w:val="24"/>
          <w:lang w:val="fr-CA"/>
        </w:rPr>
        <w:t>transplantés</w:t>
      </w:r>
      <w:r>
        <w:rPr>
          <w:rFonts w:ascii="Arial" w:hAnsi="Arial"/>
          <w:sz w:val="24"/>
          <w:vertAlign w:val="superscript"/>
          <w:lang w:val="fr-CA"/>
        </w:rPr>
        <w:t>9.2</w:t>
      </w:r>
      <w:r>
        <w:rPr>
          <w:rFonts w:ascii="Arial" w:hAnsi="Arial"/>
          <w:sz w:val="24"/>
          <w:lang w:val="fr-CA"/>
        </w:rPr>
        <w:t xml:space="preserve">  </w:t>
      </w:r>
    </w:p>
    <w:p w:rsidR="00095B66" w:rsidRPr="00095B66" w:rsidRDefault="003273A2" w:rsidP="00095B66">
      <w:pPr>
        <w:numPr>
          <w:ilvl w:val="2"/>
          <w:numId w:val="1"/>
        </w:numPr>
        <w:spacing w:line="228" w:lineRule="auto"/>
        <w:rPr>
          <w:rFonts w:ascii="Arial" w:hAnsi="Arial"/>
          <w:sz w:val="24"/>
          <w:lang w:val="fr-CA"/>
        </w:rPr>
      </w:pPr>
      <w:r w:rsidRPr="00C273D4">
        <w:rPr>
          <w:rFonts w:ascii="Arial" w:hAnsi="Arial"/>
          <w:sz w:val="24"/>
          <w:lang w:val="fr-CA"/>
        </w:rPr>
        <w:t>Anti</w:t>
      </w:r>
      <w:r w:rsidR="00B428D3">
        <w:rPr>
          <w:rFonts w:ascii="Arial" w:hAnsi="Arial"/>
          <w:sz w:val="24"/>
          <w:lang w:val="fr-CA"/>
        </w:rPr>
        <w:t>corps à certains médicaments</w:t>
      </w:r>
      <w:r w:rsidR="00095B66">
        <w:rPr>
          <w:rFonts w:ascii="Arial" w:hAnsi="Arial"/>
          <w:sz w:val="24"/>
          <w:vertAlign w:val="superscript"/>
          <w:lang w:val="fr-CA"/>
        </w:rPr>
        <w:t>9.2</w:t>
      </w:r>
    </w:p>
    <w:p w:rsidR="003273A2" w:rsidRPr="00C273D4" w:rsidRDefault="003273A2" w:rsidP="00C129E1">
      <w:pPr>
        <w:ind w:left="1530"/>
        <w:rPr>
          <w:rFonts w:ascii="Arial" w:hAnsi="Arial"/>
          <w:sz w:val="24"/>
          <w:lang w:val="fr-CA"/>
        </w:rPr>
      </w:pPr>
    </w:p>
    <w:p w:rsidR="003273A2" w:rsidRPr="005D7D5F" w:rsidRDefault="00F62264" w:rsidP="00F62264">
      <w:pPr>
        <w:numPr>
          <w:ilvl w:val="1"/>
          <w:numId w:val="1"/>
        </w:numPr>
        <w:rPr>
          <w:rFonts w:ascii="Arial" w:hAnsi="Arial"/>
          <w:sz w:val="24"/>
          <w:lang w:val="fr-CA"/>
        </w:rPr>
      </w:pPr>
      <w:r w:rsidRPr="005D7D5F">
        <w:rPr>
          <w:rFonts w:ascii="Arial" w:hAnsi="Arial"/>
          <w:sz w:val="24"/>
          <w:lang w:val="fr-CA"/>
        </w:rPr>
        <w:t>La décision de faire une transfusion à un patient présentant un</w:t>
      </w:r>
      <w:r w:rsidR="005D7D5F" w:rsidRPr="005D7D5F">
        <w:rPr>
          <w:rFonts w:ascii="Arial" w:hAnsi="Arial"/>
          <w:sz w:val="24"/>
          <w:lang w:val="fr-CA"/>
        </w:rPr>
        <w:t>e AHAI</w:t>
      </w:r>
      <w:r w:rsidRPr="005D7D5F">
        <w:rPr>
          <w:rFonts w:ascii="Arial" w:hAnsi="Arial"/>
          <w:sz w:val="24"/>
          <w:lang w:val="fr-CA"/>
        </w:rPr>
        <w:t xml:space="preserve"> </w:t>
      </w:r>
      <w:r w:rsidR="005D7D5F" w:rsidRPr="005D7D5F">
        <w:rPr>
          <w:rFonts w:ascii="Arial" w:hAnsi="Arial"/>
          <w:sz w:val="24"/>
          <w:lang w:val="fr-CA"/>
        </w:rPr>
        <w:t>doit se prendre en soupesant les risques et les avantages. L’incompatibilité sérologique ne devrait pas empêcher la transfusion. Il faut transfuser le plus petit volume permettant de maintenir l’apport en oxygène et non viser un taux d’hémoglobine</w:t>
      </w:r>
      <w:r w:rsidR="00E36E60">
        <w:rPr>
          <w:rFonts w:ascii="Arial" w:hAnsi="Arial"/>
          <w:sz w:val="24"/>
          <w:lang w:val="fr-CA"/>
        </w:rPr>
        <w:t> </w:t>
      </w:r>
      <w:r w:rsidR="005D7D5F" w:rsidRPr="005D7D5F">
        <w:rPr>
          <w:rFonts w:ascii="Arial" w:hAnsi="Arial"/>
          <w:sz w:val="24"/>
          <w:lang w:val="fr-CA"/>
        </w:rPr>
        <w:t>arbitraire</w:t>
      </w:r>
      <w:r w:rsidR="005D7D5F" w:rsidRPr="005D7D5F">
        <w:rPr>
          <w:rFonts w:ascii="Arial" w:hAnsi="Arial"/>
          <w:sz w:val="24"/>
          <w:vertAlign w:val="superscript"/>
          <w:lang w:val="fr-CA"/>
        </w:rPr>
        <w:t>9.2</w:t>
      </w:r>
      <w:r w:rsidR="005D7D5F" w:rsidRPr="005D7D5F">
        <w:rPr>
          <w:rFonts w:ascii="Arial" w:hAnsi="Arial"/>
          <w:sz w:val="24"/>
          <w:lang w:val="fr-CA"/>
        </w:rPr>
        <w:t xml:space="preserve">. Les patients qui ne présentent que peu ou pas </w:t>
      </w:r>
      <w:r w:rsidR="00D33B86">
        <w:rPr>
          <w:rFonts w:ascii="Arial" w:hAnsi="Arial"/>
          <w:sz w:val="24"/>
          <w:lang w:val="fr-CA"/>
        </w:rPr>
        <w:t xml:space="preserve">de preuve </w:t>
      </w:r>
      <w:r w:rsidR="005D7D5F" w:rsidRPr="005D7D5F">
        <w:rPr>
          <w:rFonts w:ascii="Arial" w:hAnsi="Arial"/>
          <w:sz w:val="24"/>
          <w:lang w:val="fr-CA"/>
        </w:rPr>
        <w:t xml:space="preserve">d’hémolyse tolèrent très bien la transfusion. Le risque est habituellement associé aux difficultés des analyses prétransfusionnelles. En cas d’hémolyse active, la transfusion peut augmenter l’hémolyse, </w:t>
      </w:r>
      <w:r w:rsidR="00E36E60">
        <w:rPr>
          <w:rFonts w:ascii="Arial" w:hAnsi="Arial"/>
          <w:sz w:val="24"/>
          <w:lang w:val="fr-CA"/>
        </w:rPr>
        <w:t>l</w:t>
      </w:r>
      <w:r w:rsidR="005D7D5F" w:rsidRPr="005D7D5F">
        <w:rPr>
          <w:rFonts w:ascii="Arial" w:hAnsi="Arial"/>
          <w:sz w:val="24"/>
          <w:lang w:val="fr-CA"/>
        </w:rPr>
        <w:t xml:space="preserve">a destruction des cellules transfusées peut augmenter l’hémoglobinémie et l’hémoglobinurie. </w:t>
      </w:r>
      <w:r w:rsidR="005D7D5F">
        <w:rPr>
          <w:rFonts w:ascii="Arial" w:hAnsi="Arial"/>
          <w:sz w:val="24"/>
          <w:lang w:val="fr-CA"/>
        </w:rPr>
        <w:t>Une coagulation intrava</w:t>
      </w:r>
      <w:r w:rsidR="00D33B86">
        <w:rPr>
          <w:rFonts w:ascii="Arial" w:hAnsi="Arial"/>
          <w:sz w:val="24"/>
          <w:lang w:val="fr-CA"/>
        </w:rPr>
        <w:t>s</w:t>
      </w:r>
      <w:r w:rsidR="005D7D5F">
        <w:rPr>
          <w:rFonts w:ascii="Arial" w:hAnsi="Arial"/>
          <w:sz w:val="24"/>
          <w:lang w:val="fr-CA"/>
        </w:rPr>
        <w:t>culaire disséminée</w:t>
      </w:r>
      <w:r w:rsidR="005D7D5F" w:rsidRPr="005D7D5F">
        <w:rPr>
          <w:rFonts w:ascii="Arial" w:hAnsi="Arial"/>
          <w:sz w:val="24"/>
          <w:lang w:val="fr-CA"/>
        </w:rPr>
        <w:t xml:space="preserve"> </w:t>
      </w:r>
      <w:r w:rsidR="005D7D5F">
        <w:rPr>
          <w:rFonts w:ascii="Arial" w:hAnsi="Arial"/>
          <w:sz w:val="24"/>
          <w:lang w:val="fr-CA"/>
        </w:rPr>
        <w:t>peut se manifester chez c</w:t>
      </w:r>
      <w:r w:rsidR="005D7D5F" w:rsidRPr="005D7D5F">
        <w:rPr>
          <w:rFonts w:ascii="Arial" w:hAnsi="Arial"/>
          <w:sz w:val="24"/>
          <w:lang w:val="fr-CA"/>
        </w:rPr>
        <w:t>es patients</w:t>
      </w:r>
      <w:r w:rsidR="003273A2" w:rsidRPr="005D7D5F">
        <w:rPr>
          <w:rFonts w:ascii="Arial" w:hAnsi="Arial"/>
          <w:sz w:val="24"/>
          <w:lang w:val="fr-CA"/>
        </w:rPr>
        <w:t>.</w:t>
      </w:r>
      <w:r w:rsidR="008E7AD5" w:rsidRPr="005D7D5F">
        <w:rPr>
          <w:rFonts w:ascii="Arial" w:hAnsi="Arial"/>
          <w:sz w:val="24"/>
          <w:lang w:val="fr-CA"/>
        </w:rPr>
        <w:br/>
      </w:r>
    </w:p>
    <w:p w:rsidR="00D33B86" w:rsidRPr="008E7AD5" w:rsidRDefault="00D33B86" w:rsidP="00D33B86">
      <w:pPr>
        <w:numPr>
          <w:ilvl w:val="1"/>
          <w:numId w:val="1"/>
        </w:numPr>
        <w:rPr>
          <w:rFonts w:ascii="Arial" w:hAnsi="Arial"/>
          <w:sz w:val="24"/>
          <w:lang w:val="fr-CA"/>
        </w:rPr>
      </w:pPr>
      <w:r w:rsidRPr="008E7AD5">
        <w:rPr>
          <w:rFonts w:ascii="Arial" w:hAnsi="Arial"/>
          <w:sz w:val="24"/>
          <w:lang w:val="fr-CA"/>
        </w:rPr>
        <w:t>En présence d’un anticorps chaud, éviter si possible les transfusions; les réserver aux cas d’anémie grave</w:t>
      </w:r>
      <w:r w:rsidR="00E36E60">
        <w:rPr>
          <w:rFonts w:ascii="Arial" w:hAnsi="Arial"/>
          <w:sz w:val="24"/>
          <w:lang w:val="fr-CA"/>
        </w:rPr>
        <w:t>s</w:t>
      </w:r>
      <w:r w:rsidRPr="008E7AD5">
        <w:rPr>
          <w:rFonts w:ascii="Arial" w:hAnsi="Arial"/>
          <w:sz w:val="24"/>
          <w:lang w:val="fr-CA"/>
        </w:rPr>
        <w:t xml:space="preserve"> menaçant l’existence. S’en tenir si possible à un traitement pharmacologique prescrit par le médecin (p. ex. stéroïdes).</w:t>
      </w:r>
      <w:r w:rsidRPr="008E7AD5">
        <w:rPr>
          <w:rFonts w:ascii="Arial" w:hAnsi="Arial"/>
          <w:sz w:val="24"/>
          <w:lang w:val="fr-CA"/>
        </w:rPr>
        <w:br/>
      </w:r>
    </w:p>
    <w:p w:rsidR="003273A2" w:rsidRDefault="008E7AD5" w:rsidP="00F62264">
      <w:pPr>
        <w:numPr>
          <w:ilvl w:val="1"/>
          <w:numId w:val="1"/>
        </w:numPr>
        <w:rPr>
          <w:rFonts w:ascii="Arial" w:hAnsi="Arial"/>
          <w:sz w:val="24"/>
          <w:lang w:val="fr-CA"/>
        </w:rPr>
      </w:pPr>
      <w:r w:rsidRPr="008E7AD5">
        <w:rPr>
          <w:rFonts w:ascii="Arial" w:hAnsi="Arial"/>
          <w:sz w:val="24"/>
          <w:lang w:val="fr-CA"/>
        </w:rPr>
        <w:t xml:space="preserve">Lorsqu’un anticorps maternel (déterminé par éluat) est confirmé comme étant la cause du TDA positif chez un nouveau-né, prévoir une exsanguinotransfusion. Si un médecin détermine que l’état clinique du nouveau-né permet cette intervention, le </w:t>
      </w:r>
      <w:r w:rsidR="008D0A3A">
        <w:rPr>
          <w:rFonts w:ascii="Arial" w:hAnsi="Arial"/>
          <w:sz w:val="24"/>
          <w:lang w:val="fr-CA"/>
        </w:rPr>
        <w:t xml:space="preserve">Laboratoire de médecine </w:t>
      </w:r>
      <w:r w:rsidRPr="008E7AD5">
        <w:rPr>
          <w:rFonts w:ascii="Arial" w:hAnsi="Arial"/>
          <w:sz w:val="24"/>
          <w:lang w:val="fr-CA"/>
        </w:rPr>
        <w:t>transfusionnel</w:t>
      </w:r>
      <w:r w:rsidR="008D0A3A">
        <w:rPr>
          <w:rFonts w:ascii="Arial" w:hAnsi="Arial"/>
          <w:sz w:val="24"/>
          <w:lang w:val="fr-CA"/>
        </w:rPr>
        <w:t>le</w:t>
      </w:r>
      <w:r w:rsidRPr="008E7AD5">
        <w:rPr>
          <w:rFonts w:ascii="Arial" w:hAnsi="Arial"/>
          <w:sz w:val="24"/>
          <w:lang w:val="fr-CA"/>
        </w:rPr>
        <w:t xml:space="preserve"> prendra les mesures nécessaires pour obtenir des unités de donneur appropriées</w:t>
      </w:r>
      <w:r w:rsidR="003273A2" w:rsidRPr="008E7AD5">
        <w:rPr>
          <w:rFonts w:ascii="Arial" w:hAnsi="Arial"/>
          <w:sz w:val="24"/>
          <w:lang w:val="fr-CA"/>
        </w:rPr>
        <w:t xml:space="preserve">. </w:t>
      </w:r>
      <w:r w:rsidR="00C273D4" w:rsidRPr="008E7AD5">
        <w:rPr>
          <w:rFonts w:ascii="Arial" w:hAnsi="Arial"/>
          <w:sz w:val="24"/>
          <w:lang w:val="fr-CA"/>
        </w:rPr>
        <w:t>Voir CCP.001 - Choix des composants sanguins à transfuser.</w:t>
      </w:r>
    </w:p>
    <w:p w:rsidR="00603FBD" w:rsidRPr="00C273D4" w:rsidRDefault="00603FBD" w:rsidP="00C273D4">
      <w:pPr>
        <w:tabs>
          <w:tab w:val="left" w:pos="2655"/>
        </w:tabs>
        <w:ind w:left="720"/>
        <w:rPr>
          <w:rFonts w:ascii="Arial" w:hAnsi="Arial"/>
          <w:sz w:val="24"/>
          <w:lang w:val="fr-CA"/>
        </w:rPr>
      </w:pPr>
    </w:p>
    <w:p w:rsidR="003273A2" w:rsidRPr="00E95E08" w:rsidRDefault="00C273D4" w:rsidP="00F62264">
      <w:pPr>
        <w:numPr>
          <w:ilvl w:val="0"/>
          <w:numId w:val="1"/>
        </w:numPr>
        <w:rPr>
          <w:rFonts w:ascii="Arial" w:hAnsi="Arial"/>
          <w:b/>
          <w:sz w:val="28"/>
          <w:lang w:val="fr-CA"/>
        </w:rPr>
      </w:pPr>
      <w:r w:rsidRPr="00E95E08">
        <w:rPr>
          <w:rFonts w:ascii="Arial" w:hAnsi="Arial"/>
          <w:b/>
          <w:sz w:val="28"/>
          <w:lang w:val="fr-CA"/>
        </w:rPr>
        <w:t>Références</w:t>
      </w:r>
      <w:r w:rsidR="003273A2" w:rsidRPr="00E95E08">
        <w:rPr>
          <w:rFonts w:ascii="Arial" w:hAnsi="Arial"/>
          <w:b/>
          <w:sz w:val="28"/>
          <w:lang w:val="fr-CA"/>
        </w:rPr>
        <w:t xml:space="preserve"> </w:t>
      </w:r>
    </w:p>
    <w:p w:rsidR="003273A2" w:rsidRPr="00E95E08" w:rsidRDefault="003273A2">
      <w:pPr>
        <w:rPr>
          <w:rFonts w:ascii="Arial" w:hAnsi="Arial"/>
          <w:sz w:val="24"/>
          <w:lang w:val="fr-CA"/>
        </w:rPr>
      </w:pPr>
    </w:p>
    <w:p w:rsidR="003273A2" w:rsidRPr="00E95E08" w:rsidRDefault="00015ABE" w:rsidP="00D33B86">
      <w:pPr>
        <w:numPr>
          <w:ilvl w:val="1"/>
          <w:numId w:val="1"/>
        </w:numPr>
        <w:rPr>
          <w:rFonts w:ascii="Arial" w:hAnsi="Arial"/>
          <w:sz w:val="24"/>
          <w:lang w:val="fr-CA"/>
        </w:rPr>
      </w:pPr>
      <w:r w:rsidRPr="00015ABE">
        <w:rPr>
          <w:rFonts w:ascii="Arial" w:hAnsi="Arial"/>
          <w:i/>
          <w:sz w:val="24"/>
          <w:lang w:val="fr-CA"/>
        </w:rPr>
        <w:t>Standards for Hospital Transfusion Services</w:t>
      </w:r>
      <w:r w:rsidRPr="00015ABE">
        <w:rPr>
          <w:rFonts w:ascii="Arial" w:hAnsi="Arial"/>
          <w:sz w:val="24"/>
          <w:lang w:val="fr-CA"/>
        </w:rPr>
        <w:t xml:space="preserve">, version </w:t>
      </w:r>
      <w:r w:rsidR="00095B66">
        <w:rPr>
          <w:rFonts w:ascii="Arial" w:hAnsi="Arial"/>
          <w:sz w:val="24"/>
          <w:lang w:val="fr-CA"/>
        </w:rPr>
        <w:t>3</w:t>
      </w:r>
      <w:r w:rsidRPr="00015ABE">
        <w:rPr>
          <w:rFonts w:ascii="Arial" w:hAnsi="Arial"/>
          <w:sz w:val="24"/>
          <w:lang w:val="fr-CA"/>
        </w:rPr>
        <w:t xml:space="preserve">, </w:t>
      </w:r>
      <w:r w:rsidR="00095B66">
        <w:rPr>
          <w:rFonts w:ascii="Arial" w:hAnsi="Arial"/>
          <w:sz w:val="24"/>
          <w:lang w:val="fr-CA"/>
        </w:rPr>
        <w:t>février </w:t>
      </w:r>
      <w:r w:rsidRPr="00015ABE">
        <w:rPr>
          <w:rFonts w:ascii="Arial" w:hAnsi="Arial"/>
          <w:sz w:val="24"/>
          <w:lang w:val="fr-CA"/>
        </w:rPr>
        <w:t xml:space="preserve"> 20</w:t>
      </w:r>
      <w:r w:rsidR="00095B66">
        <w:rPr>
          <w:rFonts w:ascii="Arial" w:hAnsi="Arial"/>
          <w:sz w:val="24"/>
          <w:lang w:val="fr-CA"/>
        </w:rPr>
        <w:t>13</w:t>
      </w:r>
      <w:r w:rsidRPr="00015ABE">
        <w:rPr>
          <w:rFonts w:ascii="Arial" w:hAnsi="Arial"/>
          <w:sz w:val="24"/>
          <w:lang w:val="fr-CA"/>
        </w:rPr>
        <w:t>, Société canadienne de médecine transfusionnelle</w:t>
      </w:r>
      <w:r w:rsidR="00095B66">
        <w:rPr>
          <w:rFonts w:ascii="Arial" w:hAnsi="Arial"/>
          <w:sz w:val="24"/>
          <w:lang w:val="fr-CA"/>
        </w:rPr>
        <w:t xml:space="preserve"> : </w:t>
      </w:r>
      <w:r w:rsidR="00095B66" w:rsidRPr="00603FBD">
        <w:rPr>
          <w:rFonts w:ascii="Arial" w:hAnsi="Arial"/>
          <w:sz w:val="24"/>
          <w:lang w:val="fr-CA"/>
        </w:rPr>
        <w:t>5.9.4.1, 5.3.6.</w:t>
      </w:r>
    </w:p>
    <w:p w:rsidR="003273A2" w:rsidRPr="00E95E08" w:rsidRDefault="003273A2" w:rsidP="00D33B86">
      <w:pPr>
        <w:ind w:left="1440"/>
        <w:rPr>
          <w:rFonts w:ascii="Arial" w:hAnsi="Arial"/>
          <w:sz w:val="24"/>
          <w:lang w:val="fr-CA"/>
        </w:rPr>
      </w:pPr>
    </w:p>
    <w:p w:rsidR="003273A2" w:rsidRPr="00603FBD" w:rsidRDefault="00015ABE" w:rsidP="00D33B86">
      <w:pPr>
        <w:numPr>
          <w:ilvl w:val="1"/>
          <w:numId w:val="1"/>
        </w:numPr>
        <w:rPr>
          <w:rFonts w:ascii="Arial" w:hAnsi="Arial"/>
          <w:sz w:val="24"/>
          <w:lang w:val="en-CA"/>
        </w:rPr>
      </w:pPr>
      <w:r w:rsidRPr="00603FBD">
        <w:rPr>
          <w:rFonts w:ascii="Arial" w:hAnsi="Arial"/>
          <w:sz w:val="24"/>
          <w:lang w:val="en-CA"/>
        </w:rPr>
        <w:t xml:space="preserve">ROBACK JD, éd. </w:t>
      </w:r>
      <w:r w:rsidRPr="00603FBD">
        <w:rPr>
          <w:rFonts w:ascii="Arial" w:hAnsi="Arial"/>
          <w:i/>
          <w:sz w:val="24"/>
          <w:lang w:val="en-CA"/>
        </w:rPr>
        <w:t>American Association of Blood Banks Technical Manual</w:t>
      </w:r>
      <w:r w:rsidRPr="00603FBD">
        <w:rPr>
          <w:rFonts w:ascii="Arial" w:hAnsi="Arial"/>
          <w:sz w:val="24"/>
          <w:lang w:val="en-CA"/>
        </w:rPr>
        <w:t>, 1</w:t>
      </w:r>
      <w:r w:rsidR="00095B66" w:rsidRPr="00603FBD">
        <w:rPr>
          <w:rFonts w:ascii="Arial" w:hAnsi="Arial"/>
          <w:sz w:val="24"/>
          <w:lang w:val="en-CA"/>
        </w:rPr>
        <w:t>7</w:t>
      </w:r>
      <w:r w:rsidRPr="00603FBD">
        <w:rPr>
          <w:rFonts w:ascii="Arial" w:hAnsi="Arial"/>
          <w:sz w:val="24"/>
          <w:vertAlign w:val="superscript"/>
          <w:lang w:val="en-CA"/>
        </w:rPr>
        <w:t>e</w:t>
      </w:r>
      <w:r w:rsidRPr="00603FBD">
        <w:rPr>
          <w:rFonts w:ascii="Arial" w:hAnsi="Arial"/>
          <w:sz w:val="24"/>
          <w:lang w:val="en-CA"/>
        </w:rPr>
        <w:t xml:space="preserve"> éd, Bethesda, MD, American Association of Blood Banks (20</w:t>
      </w:r>
      <w:r w:rsidR="00095B66" w:rsidRPr="00603FBD">
        <w:rPr>
          <w:rFonts w:ascii="Arial" w:hAnsi="Arial"/>
          <w:sz w:val="24"/>
          <w:lang w:val="en-CA"/>
        </w:rPr>
        <w:t>11</w:t>
      </w:r>
      <w:r w:rsidRPr="00603FBD">
        <w:rPr>
          <w:rFonts w:ascii="Arial" w:hAnsi="Arial"/>
          <w:sz w:val="24"/>
          <w:lang w:val="en-CA"/>
        </w:rPr>
        <w:t>)</w:t>
      </w:r>
      <w:r w:rsidR="00095B66" w:rsidRPr="00603FBD">
        <w:rPr>
          <w:rFonts w:ascii="Arial" w:hAnsi="Arial"/>
          <w:sz w:val="24"/>
          <w:lang w:val="en-CA"/>
        </w:rPr>
        <w:t> :</w:t>
      </w:r>
      <w:r w:rsidR="00095B66" w:rsidRPr="00095B66">
        <w:rPr>
          <w:rFonts w:ascii="Arial" w:hAnsi="Arial"/>
          <w:sz w:val="24"/>
        </w:rPr>
        <w:t xml:space="preserve"> </w:t>
      </w:r>
      <w:r w:rsidR="00095B66">
        <w:rPr>
          <w:rFonts w:ascii="Arial" w:hAnsi="Arial"/>
          <w:sz w:val="24"/>
        </w:rPr>
        <w:t>497-522,735</w:t>
      </w:r>
      <w:r w:rsidR="00095B66" w:rsidRPr="001C4DE3">
        <w:rPr>
          <w:rFonts w:ascii="Arial" w:hAnsi="Arial"/>
          <w:sz w:val="24"/>
        </w:rPr>
        <w:t>.</w:t>
      </w:r>
    </w:p>
    <w:p w:rsidR="003273A2" w:rsidRPr="00603FBD" w:rsidRDefault="003273A2" w:rsidP="00D33B86">
      <w:pPr>
        <w:ind w:left="1440"/>
        <w:rPr>
          <w:rFonts w:ascii="Arial" w:hAnsi="Arial"/>
          <w:sz w:val="24"/>
          <w:lang w:val="en-CA"/>
        </w:rPr>
      </w:pPr>
    </w:p>
    <w:p w:rsidR="003273A2" w:rsidRPr="00603FBD" w:rsidRDefault="00015ABE" w:rsidP="00D33B86">
      <w:pPr>
        <w:numPr>
          <w:ilvl w:val="1"/>
          <w:numId w:val="1"/>
        </w:numPr>
        <w:rPr>
          <w:rFonts w:ascii="Arial" w:hAnsi="Arial"/>
          <w:sz w:val="24"/>
          <w:lang w:val="en-CA"/>
        </w:rPr>
      </w:pPr>
      <w:r w:rsidRPr="00603FBD">
        <w:rPr>
          <w:rFonts w:ascii="Arial" w:hAnsi="Arial"/>
          <w:sz w:val="24"/>
          <w:lang w:val="en-CA"/>
        </w:rPr>
        <w:t>JUDD WJ</w:t>
      </w:r>
      <w:r w:rsidR="003273A2" w:rsidRPr="00603FBD">
        <w:rPr>
          <w:rFonts w:ascii="Arial" w:hAnsi="Arial"/>
          <w:sz w:val="24"/>
          <w:lang w:val="en-CA"/>
        </w:rPr>
        <w:t>.</w:t>
      </w:r>
      <w:r w:rsidR="00A66673" w:rsidRPr="00603FBD">
        <w:rPr>
          <w:rFonts w:ascii="Arial" w:hAnsi="Arial"/>
          <w:sz w:val="24"/>
          <w:lang w:val="en-CA"/>
        </w:rPr>
        <w:t xml:space="preserve"> </w:t>
      </w:r>
      <w:r w:rsidR="003273A2" w:rsidRPr="00603FBD">
        <w:rPr>
          <w:rFonts w:ascii="Arial" w:hAnsi="Arial"/>
          <w:i/>
          <w:sz w:val="24"/>
          <w:lang w:val="en-CA"/>
        </w:rPr>
        <w:t>Methods in immunohematology</w:t>
      </w:r>
      <w:r w:rsidR="003273A2" w:rsidRPr="00603FBD">
        <w:rPr>
          <w:rFonts w:ascii="Arial" w:hAnsi="Arial"/>
          <w:sz w:val="24"/>
          <w:lang w:val="en-CA"/>
        </w:rPr>
        <w:t xml:space="preserve">, </w:t>
      </w:r>
      <w:r w:rsidR="005E6A8A" w:rsidRPr="00603FBD">
        <w:rPr>
          <w:rFonts w:ascii="Arial" w:hAnsi="Arial"/>
          <w:sz w:val="24"/>
          <w:lang w:val="en-CA"/>
        </w:rPr>
        <w:t>3</w:t>
      </w:r>
      <w:r w:rsidR="00A9292F" w:rsidRPr="00603FBD">
        <w:rPr>
          <w:rFonts w:ascii="Arial" w:hAnsi="Arial"/>
          <w:sz w:val="24"/>
          <w:vertAlign w:val="superscript"/>
          <w:lang w:val="en-CA"/>
        </w:rPr>
        <w:t>e</w:t>
      </w:r>
      <w:r w:rsidR="003273A2" w:rsidRPr="00603FBD">
        <w:rPr>
          <w:rFonts w:ascii="Arial" w:hAnsi="Arial"/>
          <w:sz w:val="24"/>
          <w:lang w:val="en-CA"/>
        </w:rPr>
        <w:t xml:space="preserve"> </w:t>
      </w:r>
      <w:r w:rsidR="00A9292F" w:rsidRPr="00603FBD">
        <w:rPr>
          <w:rFonts w:ascii="Arial" w:hAnsi="Arial"/>
          <w:sz w:val="24"/>
          <w:lang w:val="en-CA"/>
        </w:rPr>
        <w:t>é</w:t>
      </w:r>
      <w:r w:rsidR="003273A2" w:rsidRPr="00603FBD">
        <w:rPr>
          <w:rFonts w:ascii="Arial" w:hAnsi="Arial"/>
          <w:sz w:val="24"/>
          <w:lang w:val="en-CA"/>
        </w:rPr>
        <w:t>d. Durham, NC</w:t>
      </w:r>
      <w:r w:rsidR="00E36E60" w:rsidRPr="00603FBD">
        <w:rPr>
          <w:rFonts w:ascii="Arial" w:hAnsi="Arial"/>
          <w:sz w:val="24"/>
          <w:lang w:val="en-CA"/>
        </w:rPr>
        <w:t> </w:t>
      </w:r>
      <w:r w:rsidR="003273A2" w:rsidRPr="00603FBD">
        <w:rPr>
          <w:rFonts w:ascii="Arial" w:hAnsi="Arial"/>
          <w:sz w:val="24"/>
          <w:lang w:val="en-CA"/>
        </w:rPr>
        <w:t>: Montgomery Scientific Publications</w:t>
      </w:r>
      <w:r w:rsidRPr="00603FBD">
        <w:rPr>
          <w:rFonts w:ascii="Arial" w:hAnsi="Arial"/>
          <w:sz w:val="24"/>
          <w:lang w:val="en-CA"/>
        </w:rPr>
        <w:t xml:space="preserve"> (</w:t>
      </w:r>
      <w:r w:rsidR="003273A2" w:rsidRPr="00603FBD">
        <w:rPr>
          <w:rFonts w:ascii="Arial" w:hAnsi="Arial"/>
          <w:sz w:val="24"/>
          <w:lang w:val="en-CA"/>
        </w:rPr>
        <w:t>199</w:t>
      </w:r>
      <w:r w:rsidR="00095B66" w:rsidRPr="00603FBD">
        <w:rPr>
          <w:rFonts w:ascii="Arial" w:hAnsi="Arial"/>
          <w:sz w:val="24"/>
          <w:lang w:val="en-CA"/>
        </w:rPr>
        <w:t>8</w:t>
      </w:r>
      <w:r w:rsidRPr="00603FBD">
        <w:rPr>
          <w:rFonts w:ascii="Arial" w:hAnsi="Arial"/>
          <w:sz w:val="24"/>
          <w:lang w:val="en-CA"/>
        </w:rPr>
        <w:t>)</w:t>
      </w:r>
      <w:r w:rsidR="00095B66" w:rsidRPr="00603FBD">
        <w:rPr>
          <w:rFonts w:ascii="Arial" w:hAnsi="Arial"/>
          <w:sz w:val="24"/>
          <w:lang w:val="en-CA"/>
        </w:rPr>
        <w:t> :</w:t>
      </w:r>
      <w:r w:rsidRPr="00603FBD">
        <w:rPr>
          <w:rFonts w:ascii="Arial" w:hAnsi="Arial"/>
          <w:sz w:val="24"/>
          <w:lang w:val="en-CA"/>
        </w:rPr>
        <w:t xml:space="preserve"> </w:t>
      </w:r>
      <w:r w:rsidR="00095B66">
        <w:rPr>
          <w:rFonts w:ascii="Arial" w:hAnsi="Arial"/>
          <w:sz w:val="24"/>
        </w:rPr>
        <w:t>418-421</w:t>
      </w:r>
      <w:r w:rsidR="003273A2" w:rsidRPr="00603FBD">
        <w:rPr>
          <w:rFonts w:ascii="Arial" w:hAnsi="Arial"/>
          <w:sz w:val="24"/>
          <w:lang w:val="en-CA"/>
        </w:rPr>
        <w:t>.</w:t>
      </w:r>
    </w:p>
    <w:p w:rsidR="003273A2" w:rsidRPr="00603FBD" w:rsidRDefault="003273A2">
      <w:pPr>
        <w:rPr>
          <w:rFonts w:ascii="Arial" w:hAnsi="Arial"/>
          <w:sz w:val="24"/>
          <w:lang w:val="en-CA"/>
        </w:rPr>
      </w:pPr>
    </w:p>
    <w:p w:rsidR="005E6A8A" w:rsidRPr="00AA3396" w:rsidRDefault="005E6A8A" w:rsidP="005E6A8A">
      <w:pPr>
        <w:pStyle w:val="ListParagraph"/>
        <w:numPr>
          <w:ilvl w:val="0"/>
          <w:numId w:val="21"/>
        </w:numPr>
        <w:contextualSpacing/>
        <w:rPr>
          <w:rFonts w:ascii="Arial" w:hAnsi="Arial"/>
          <w:b/>
          <w:sz w:val="28"/>
          <w:lang w:val="fr-CA"/>
        </w:rPr>
      </w:pPr>
      <w:r w:rsidRPr="00AA3396">
        <w:rPr>
          <w:rFonts w:ascii="Arial" w:hAnsi="Arial"/>
          <w:b/>
          <w:sz w:val="28"/>
          <w:lang w:val="fr-CA"/>
        </w:rPr>
        <w:t>Suivi des révisions</w:t>
      </w:r>
    </w:p>
    <w:p w:rsidR="005E6A8A" w:rsidRPr="00AA3396" w:rsidRDefault="005E6A8A" w:rsidP="005E6A8A">
      <w:pPr>
        <w:pStyle w:val="ListParagraph"/>
        <w:jc w:val="center"/>
        <w:rPr>
          <w:rFonts w:ascii="Arial" w:hAnsi="Arial"/>
          <w:b/>
          <w:sz w:val="28"/>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6497"/>
      </w:tblGrid>
      <w:tr w:rsidR="005E6A8A" w:rsidRPr="00AA3396" w:rsidTr="0090086C">
        <w:trPr>
          <w:cantSplit/>
        </w:trPr>
        <w:tc>
          <w:tcPr>
            <w:tcW w:w="2178" w:type="dxa"/>
            <w:shd w:val="clear" w:color="auto" w:fill="F2F2F2"/>
          </w:tcPr>
          <w:p w:rsidR="005E6A8A" w:rsidRPr="004050E8" w:rsidRDefault="005E6A8A" w:rsidP="00075681">
            <w:pPr>
              <w:jc w:val="center"/>
              <w:rPr>
                <w:rFonts w:ascii="Arial" w:hAnsi="Arial" w:cs="Arial"/>
                <w:b/>
                <w:sz w:val="22"/>
                <w:szCs w:val="22"/>
                <w:lang w:val="fr-CA"/>
              </w:rPr>
            </w:pPr>
            <w:r>
              <w:rPr>
                <w:rFonts w:ascii="Arial" w:hAnsi="Arial" w:cs="Arial"/>
                <w:b/>
                <w:sz w:val="22"/>
                <w:szCs w:val="22"/>
                <w:lang w:val="fr-CA"/>
              </w:rPr>
              <w:t>Date de la révision</w:t>
            </w:r>
          </w:p>
        </w:tc>
        <w:tc>
          <w:tcPr>
            <w:tcW w:w="6678" w:type="dxa"/>
            <w:shd w:val="clear" w:color="auto" w:fill="F2F2F2"/>
          </w:tcPr>
          <w:p w:rsidR="005E6A8A" w:rsidRPr="00AB78C8" w:rsidRDefault="005E6A8A" w:rsidP="00075681">
            <w:pPr>
              <w:jc w:val="center"/>
              <w:rPr>
                <w:rFonts w:ascii="Arial" w:hAnsi="Arial" w:cs="Arial"/>
                <w:b/>
                <w:sz w:val="22"/>
                <w:szCs w:val="22"/>
                <w:lang w:val="fr-CA"/>
              </w:rPr>
            </w:pPr>
            <w:r w:rsidRPr="00AB78C8">
              <w:rPr>
                <w:rFonts w:ascii="Arial" w:hAnsi="Arial" w:cs="Arial"/>
                <w:b/>
                <w:sz w:val="22"/>
                <w:szCs w:val="22"/>
                <w:lang w:val="fr-CA"/>
              </w:rPr>
              <w:t>Résumé des changements</w:t>
            </w:r>
          </w:p>
        </w:tc>
      </w:tr>
      <w:tr w:rsidR="005E6A8A" w:rsidRPr="00AA3396" w:rsidTr="0090086C">
        <w:trPr>
          <w:cantSplit/>
          <w:trHeight w:val="2652"/>
        </w:trPr>
        <w:tc>
          <w:tcPr>
            <w:tcW w:w="2178" w:type="dxa"/>
          </w:tcPr>
          <w:p w:rsidR="005E6A8A" w:rsidRPr="00AA3396" w:rsidRDefault="005E6A8A" w:rsidP="00075681">
            <w:pPr>
              <w:keepLines/>
              <w:widowControl w:val="0"/>
              <w:rPr>
                <w:rFonts w:ascii="Arial" w:hAnsi="Arial"/>
                <w:sz w:val="22"/>
                <w:szCs w:val="22"/>
                <w:lang w:val="fr-CA"/>
              </w:rPr>
            </w:pPr>
            <w:r>
              <w:rPr>
                <w:rFonts w:ascii="Arial" w:hAnsi="Arial"/>
                <w:sz w:val="22"/>
                <w:szCs w:val="22"/>
                <w:lang w:val="fr-CA"/>
              </w:rPr>
              <w:t>1</w:t>
            </w:r>
            <w:r w:rsidRPr="009D4308">
              <w:rPr>
                <w:rFonts w:ascii="Arial" w:hAnsi="Arial"/>
                <w:sz w:val="22"/>
                <w:szCs w:val="22"/>
                <w:vertAlign w:val="superscript"/>
                <w:lang w:val="fr-CA"/>
              </w:rPr>
              <w:t>er</w:t>
            </w:r>
            <w:r>
              <w:rPr>
                <w:rFonts w:ascii="Arial" w:hAnsi="Arial"/>
                <w:sz w:val="22"/>
                <w:szCs w:val="22"/>
                <w:lang w:val="fr-CA"/>
              </w:rPr>
              <w:t xml:space="preserve"> mars</w:t>
            </w:r>
            <w:r w:rsidRPr="00AA3396">
              <w:rPr>
                <w:rFonts w:ascii="Arial" w:hAnsi="Arial"/>
                <w:sz w:val="22"/>
                <w:szCs w:val="22"/>
                <w:lang w:val="fr-CA"/>
              </w:rPr>
              <w:t xml:space="preserve"> 2014 </w:t>
            </w:r>
          </w:p>
        </w:tc>
        <w:tc>
          <w:tcPr>
            <w:tcW w:w="6678" w:type="dxa"/>
          </w:tcPr>
          <w:p w:rsidR="005E6A8A" w:rsidRPr="00AB78C8" w:rsidRDefault="005E6A8A" w:rsidP="005E6A8A">
            <w:pPr>
              <w:pStyle w:val="ListParagraph"/>
              <w:numPr>
                <w:ilvl w:val="0"/>
                <w:numId w:val="22"/>
              </w:numPr>
              <w:ind w:left="317" w:hanging="317"/>
              <w:contextualSpacing/>
              <w:rPr>
                <w:rFonts w:ascii="Arial" w:hAnsi="Arial" w:cs="Arial"/>
                <w:sz w:val="22"/>
                <w:szCs w:val="22"/>
                <w:lang w:val="fr-CA"/>
              </w:rPr>
            </w:pPr>
            <w:r>
              <w:rPr>
                <w:rFonts w:ascii="Arial" w:hAnsi="Arial" w:cs="Arial"/>
                <w:sz w:val="22"/>
                <w:szCs w:val="22"/>
                <w:lang w:val="fr-CA"/>
              </w:rPr>
              <w:tab/>
              <w:t>C</w:t>
            </w:r>
            <w:r w:rsidRPr="00AB78C8">
              <w:rPr>
                <w:rFonts w:ascii="Arial" w:hAnsi="Arial" w:cs="Arial"/>
                <w:sz w:val="22"/>
                <w:szCs w:val="22"/>
                <w:lang w:val="fr-CA"/>
              </w:rPr>
              <w:t xml:space="preserve">hangement du nom du manuel </w:t>
            </w:r>
          </w:p>
          <w:p w:rsidR="00D33B86" w:rsidRDefault="005E6A8A" w:rsidP="005E6A8A">
            <w:pPr>
              <w:pStyle w:val="ListParagraph"/>
              <w:numPr>
                <w:ilvl w:val="0"/>
                <w:numId w:val="19"/>
              </w:numPr>
              <w:tabs>
                <w:tab w:val="left" w:pos="720"/>
              </w:tabs>
              <w:spacing w:line="228" w:lineRule="auto"/>
              <w:contextualSpacing/>
              <w:rPr>
                <w:rFonts w:ascii="Arial" w:hAnsi="Arial"/>
                <w:sz w:val="22"/>
                <w:lang w:val="fr-CA"/>
              </w:rPr>
            </w:pPr>
            <w:r w:rsidRPr="00AB78C8">
              <w:rPr>
                <w:rFonts w:ascii="Arial" w:hAnsi="Arial"/>
                <w:sz w:val="22"/>
                <w:lang w:val="fr-CA"/>
              </w:rPr>
              <w:t xml:space="preserve">Modification </w:t>
            </w:r>
            <w:r w:rsidR="00D33B86">
              <w:rPr>
                <w:rFonts w:ascii="Arial" w:hAnsi="Arial"/>
                <w:sz w:val="22"/>
                <w:lang w:val="fr-CA"/>
              </w:rPr>
              <w:t>de la référence citée – de 9.1 à 9.2 – aux sections</w:t>
            </w:r>
            <w:r w:rsidR="00E36E60">
              <w:rPr>
                <w:rFonts w:ascii="Arial" w:hAnsi="Arial"/>
                <w:sz w:val="22"/>
                <w:lang w:val="fr-CA"/>
              </w:rPr>
              <w:t> </w:t>
            </w:r>
            <w:r w:rsidR="00D33B86" w:rsidRPr="00603FBD">
              <w:rPr>
                <w:rFonts w:ascii="Arial" w:hAnsi="Arial"/>
                <w:sz w:val="22"/>
                <w:lang w:val="fr-CA"/>
              </w:rPr>
              <w:t>2.</w:t>
            </w:r>
            <w:r w:rsidR="00C07203" w:rsidRPr="00603FBD">
              <w:rPr>
                <w:rFonts w:ascii="Arial" w:hAnsi="Arial"/>
                <w:sz w:val="22"/>
                <w:lang w:val="fr-CA"/>
              </w:rPr>
              <w:t>4</w:t>
            </w:r>
            <w:r w:rsidR="00D33B86">
              <w:rPr>
                <w:rFonts w:ascii="Arial" w:hAnsi="Arial"/>
                <w:sz w:val="22"/>
                <w:lang w:val="fr-CA"/>
              </w:rPr>
              <w:t xml:space="preserve"> et 6.2.4.</w:t>
            </w:r>
          </w:p>
          <w:p w:rsidR="00D33B86" w:rsidRDefault="00D33B86" w:rsidP="005E6A8A">
            <w:pPr>
              <w:pStyle w:val="ListParagraph"/>
              <w:numPr>
                <w:ilvl w:val="0"/>
                <w:numId w:val="19"/>
              </w:numPr>
              <w:tabs>
                <w:tab w:val="left" w:pos="720"/>
              </w:tabs>
              <w:spacing w:line="228" w:lineRule="auto"/>
              <w:contextualSpacing/>
              <w:rPr>
                <w:rFonts w:ascii="Arial" w:hAnsi="Arial"/>
                <w:sz w:val="22"/>
                <w:lang w:val="fr-CA"/>
              </w:rPr>
            </w:pPr>
            <w:r>
              <w:rPr>
                <w:rFonts w:ascii="Arial" w:hAnsi="Arial"/>
                <w:sz w:val="22"/>
                <w:lang w:val="fr-CA"/>
              </w:rPr>
              <w:t>En 6.3.2, changé le renvoi à la section</w:t>
            </w:r>
            <w:r w:rsidR="00E36E60">
              <w:rPr>
                <w:rFonts w:ascii="Arial" w:hAnsi="Arial"/>
                <w:sz w:val="22"/>
                <w:lang w:val="fr-CA"/>
              </w:rPr>
              <w:t> </w:t>
            </w:r>
            <w:r>
              <w:rPr>
                <w:rFonts w:ascii="Arial" w:hAnsi="Arial"/>
                <w:sz w:val="22"/>
                <w:lang w:val="fr-CA"/>
              </w:rPr>
              <w:t>7.3, maintenant, 7</w:t>
            </w:r>
            <w:r w:rsidR="00B630A2">
              <w:rPr>
                <w:rFonts w:ascii="Arial" w:hAnsi="Arial"/>
                <w:sz w:val="22"/>
                <w:lang w:val="fr-CA"/>
              </w:rPr>
              <w:t>.</w:t>
            </w:r>
            <w:r>
              <w:rPr>
                <w:rFonts w:ascii="Arial" w:hAnsi="Arial"/>
                <w:sz w:val="22"/>
                <w:lang w:val="fr-CA"/>
              </w:rPr>
              <w:t>1</w:t>
            </w:r>
          </w:p>
          <w:p w:rsidR="005E6A8A" w:rsidRPr="00AB78C8" w:rsidRDefault="005E6A8A" w:rsidP="005E6A8A">
            <w:pPr>
              <w:pStyle w:val="ListParagraph"/>
              <w:numPr>
                <w:ilvl w:val="0"/>
                <w:numId w:val="19"/>
              </w:numPr>
              <w:tabs>
                <w:tab w:val="left" w:pos="720"/>
              </w:tabs>
              <w:spacing w:line="228" w:lineRule="auto"/>
              <w:contextualSpacing/>
              <w:rPr>
                <w:rFonts w:ascii="Arial" w:hAnsi="Arial"/>
                <w:sz w:val="22"/>
                <w:lang w:val="fr-CA"/>
              </w:rPr>
            </w:pPr>
            <w:r>
              <w:rPr>
                <w:rFonts w:ascii="Arial" w:hAnsi="Arial"/>
                <w:sz w:val="22"/>
                <w:lang w:val="fr-CA"/>
              </w:rPr>
              <w:t xml:space="preserve">Changement </w:t>
            </w:r>
            <w:r w:rsidR="00B630A2">
              <w:rPr>
                <w:rFonts w:ascii="Arial" w:hAnsi="Arial"/>
                <w:sz w:val="22"/>
                <w:lang w:val="fr-CA"/>
              </w:rPr>
              <w:t xml:space="preserve">du numéro </w:t>
            </w:r>
            <w:r>
              <w:rPr>
                <w:rFonts w:ascii="Arial" w:hAnsi="Arial"/>
                <w:sz w:val="22"/>
                <w:lang w:val="fr-CA"/>
              </w:rPr>
              <w:t>de</w:t>
            </w:r>
            <w:r w:rsidR="00B630A2">
              <w:rPr>
                <w:rFonts w:ascii="Arial" w:hAnsi="Arial"/>
                <w:sz w:val="22"/>
                <w:lang w:val="fr-CA"/>
              </w:rPr>
              <w:t xml:space="preserve"> la </w:t>
            </w:r>
            <w:r>
              <w:rPr>
                <w:rFonts w:ascii="Arial" w:hAnsi="Arial"/>
                <w:sz w:val="22"/>
                <w:lang w:val="fr-CA"/>
              </w:rPr>
              <w:t>procédure</w:t>
            </w:r>
            <w:r w:rsidR="00B630A2">
              <w:rPr>
                <w:rFonts w:ascii="Arial" w:hAnsi="Arial"/>
                <w:sz w:val="22"/>
                <w:lang w:val="fr-CA"/>
              </w:rPr>
              <w:t xml:space="preserve"> </w:t>
            </w:r>
            <w:r w:rsidR="00C07203" w:rsidRPr="00603FBD">
              <w:rPr>
                <w:rFonts w:ascii="Arial" w:hAnsi="Arial"/>
                <w:sz w:val="22"/>
                <w:lang w:val="fr-CA"/>
              </w:rPr>
              <w:t xml:space="preserve">à la </w:t>
            </w:r>
            <w:r w:rsidRPr="00603FBD">
              <w:rPr>
                <w:rFonts w:ascii="Arial" w:hAnsi="Arial"/>
                <w:sz w:val="22"/>
                <w:lang w:val="fr-CA"/>
              </w:rPr>
              <w:t>section 6.</w:t>
            </w:r>
            <w:r w:rsidR="00B630A2" w:rsidRPr="00603FBD">
              <w:rPr>
                <w:rFonts w:ascii="Arial" w:hAnsi="Arial"/>
                <w:sz w:val="22"/>
                <w:lang w:val="fr-CA"/>
              </w:rPr>
              <w:t>4</w:t>
            </w:r>
            <w:r w:rsidRPr="00603FBD">
              <w:rPr>
                <w:rFonts w:ascii="Arial" w:hAnsi="Arial"/>
                <w:sz w:val="22"/>
                <w:lang w:val="fr-CA"/>
              </w:rPr>
              <w:t>.</w:t>
            </w:r>
            <w:r w:rsidR="00B630A2" w:rsidRPr="00603FBD">
              <w:rPr>
                <w:rFonts w:ascii="Arial" w:hAnsi="Arial"/>
                <w:sz w:val="22"/>
                <w:lang w:val="fr-CA"/>
              </w:rPr>
              <w:t>2,</w:t>
            </w:r>
            <w:r w:rsidR="00B630A2">
              <w:rPr>
                <w:rFonts w:ascii="Arial" w:hAnsi="Arial"/>
                <w:sz w:val="22"/>
                <w:lang w:val="fr-CA"/>
              </w:rPr>
              <w:t xml:space="preserve"> d</w:t>
            </w:r>
            <w:r w:rsidR="00422E1E">
              <w:rPr>
                <w:rFonts w:ascii="Arial" w:hAnsi="Arial"/>
                <w:sz w:val="22"/>
                <w:lang w:val="fr-CA"/>
              </w:rPr>
              <w:t>’</w:t>
            </w:r>
            <w:r w:rsidR="00B630A2">
              <w:rPr>
                <w:rFonts w:ascii="Arial" w:hAnsi="Arial"/>
                <w:sz w:val="22"/>
                <w:lang w:val="fr-CA"/>
              </w:rPr>
              <w:t>AR.008 à AR.0014</w:t>
            </w:r>
          </w:p>
          <w:p w:rsidR="00B630A2" w:rsidRDefault="00B630A2" w:rsidP="005E6A8A">
            <w:pPr>
              <w:pStyle w:val="ListParagraph"/>
              <w:numPr>
                <w:ilvl w:val="0"/>
                <w:numId w:val="19"/>
              </w:numPr>
              <w:tabs>
                <w:tab w:val="left" w:pos="720"/>
              </w:tabs>
              <w:spacing w:line="228" w:lineRule="auto"/>
              <w:contextualSpacing/>
              <w:rPr>
                <w:rFonts w:ascii="Arial" w:hAnsi="Arial"/>
                <w:sz w:val="22"/>
                <w:lang w:val="fr-CA"/>
              </w:rPr>
            </w:pPr>
            <w:r>
              <w:rPr>
                <w:rFonts w:ascii="Arial" w:hAnsi="Arial"/>
                <w:sz w:val="22"/>
                <w:lang w:val="fr-CA"/>
              </w:rPr>
              <w:t>Renumérotation de la section</w:t>
            </w:r>
            <w:r w:rsidR="00E36E60">
              <w:rPr>
                <w:rFonts w:ascii="Arial" w:hAnsi="Arial"/>
                <w:sz w:val="22"/>
                <w:lang w:val="fr-CA"/>
              </w:rPr>
              <w:t> </w:t>
            </w:r>
            <w:r>
              <w:rPr>
                <w:rFonts w:ascii="Arial" w:hAnsi="Arial"/>
                <w:sz w:val="22"/>
                <w:lang w:val="fr-CA"/>
              </w:rPr>
              <w:t>8.0</w:t>
            </w:r>
          </w:p>
          <w:p w:rsidR="00B630A2" w:rsidRDefault="00B630A2" w:rsidP="005E6A8A">
            <w:pPr>
              <w:pStyle w:val="ListParagraph"/>
              <w:numPr>
                <w:ilvl w:val="0"/>
                <w:numId w:val="19"/>
              </w:numPr>
              <w:tabs>
                <w:tab w:val="left" w:pos="720"/>
              </w:tabs>
              <w:spacing w:line="228" w:lineRule="auto"/>
              <w:contextualSpacing/>
              <w:rPr>
                <w:rFonts w:ascii="Arial" w:hAnsi="Arial"/>
                <w:sz w:val="22"/>
                <w:lang w:val="fr-CA"/>
              </w:rPr>
            </w:pPr>
            <w:r w:rsidRPr="00B630A2">
              <w:rPr>
                <w:rFonts w:ascii="Arial" w:hAnsi="Arial"/>
                <w:sz w:val="22"/>
                <w:lang w:val="fr-CA"/>
              </w:rPr>
              <w:t>Mise à jour de la section</w:t>
            </w:r>
            <w:r w:rsidR="00E36E60">
              <w:rPr>
                <w:rFonts w:ascii="Arial" w:hAnsi="Arial"/>
                <w:sz w:val="22"/>
                <w:lang w:val="fr-CA"/>
              </w:rPr>
              <w:t> </w:t>
            </w:r>
            <w:r w:rsidRPr="00B630A2">
              <w:rPr>
                <w:rFonts w:ascii="Arial" w:hAnsi="Arial"/>
                <w:sz w:val="22"/>
                <w:lang w:val="fr-CA"/>
              </w:rPr>
              <w:t>8.4. à la lumière des références les plus récentes</w:t>
            </w:r>
          </w:p>
          <w:p w:rsidR="00B630A2" w:rsidRPr="00B630A2" w:rsidRDefault="00B630A2" w:rsidP="005E6A8A">
            <w:pPr>
              <w:pStyle w:val="ListParagraph"/>
              <w:numPr>
                <w:ilvl w:val="0"/>
                <w:numId w:val="19"/>
              </w:numPr>
              <w:tabs>
                <w:tab w:val="left" w:pos="720"/>
              </w:tabs>
              <w:spacing w:line="228" w:lineRule="auto"/>
              <w:contextualSpacing/>
              <w:rPr>
                <w:rFonts w:ascii="Arial" w:hAnsi="Arial"/>
                <w:sz w:val="22"/>
                <w:lang w:val="fr-CA"/>
              </w:rPr>
            </w:pPr>
            <w:r w:rsidRPr="00B630A2">
              <w:rPr>
                <w:rFonts w:ascii="Arial" w:hAnsi="Arial"/>
                <w:sz w:val="22"/>
                <w:lang w:val="fr-CA"/>
              </w:rPr>
              <w:t>Ajout des sections</w:t>
            </w:r>
            <w:r w:rsidR="00E36E60">
              <w:rPr>
                <w:rFonts w:ascii="Arial" w:hAnsi="Arial"/>
                <w:sz w:val="22"/>
                <w:lang w:val="fr-CA"/>
              </w:rPr>
              <w:t> </w:t>
            </w:r>
            <w:r w:rsidRPr="00B630A2">
              <w:rPr>
                <w:rFonts w:ascii="Arial" w:hAnsi="Arial"/>
                <w:sz w:val="22"/>
                <w:lang w:val="fr-CA"/>
              </w:rPr>
              <w:t>8.5.3 et 8.6</w:t>
            </w:r>
          </w:p>
          <w:p w:rsidR="005E6A8A" w:rsidRPr="00AB78C8" w:rsidRDefault="005E6A8A" w:rsidP="005E6A8A">
            <w:pPr>
              <w:pStyle w:val="ListParagraph"/>
              <w:keepLines/>
              <w:widowControl w:val="0"/>
              <w:numPr>
                <w:ilvl w:val="0"/>
                <w:numId w:val="20"/>
              </w:numPr>
              <w:ind w:left="317" w:hanging="317"/>
              <w:contextualSpacing/>
              <w:rPr>
                <w:rFonts w:ascii="Arial" w:hAnsi="Arial"/>
                <w:sz w:val="22"/>
                <w:szCs w:val="22"/>
                <w:lang w:val="fr-CA"/>
              </w:rPr>
            </w:pPr>
            <w:r>
              <w:rPr>
                <w:rFonts w:ascii="Arial" w:hAnsi="Arial"/>
                <w:sz w:val="22"/>
                <w:szCs w:val="22"/>
                <w:lang w:val="fr-CA"/>
              </w:rPr>
              <w:tab/>
            </w:r>
            <w:r w:rsidRPr="00AB78C8">
              <w:rPr>
                <w:rFonts w:ascii="Arial" w:hAnsi="Arial"/>
                <w:sz w:val="22"/>
                <w:szCs w:val="22"/>
                <w:lang w:val="fr-CA"/>
              </w:rPr>
              <w:t>Mise à jour des références</w:t>
            </w:r>
          </w:p>
        </w:tc>
      </w:tr>
    </w:tbl>
    <w:p w:rsidR="00E62D5B" w:rsidRDefault="00E62D5B" w:rsidP="00E62D5B">
      <w:pPr>
        <w:spacing w:line="228" w:lineRule="auto"/>
        <w:ind w:left="2070"/>
        <w:rPr>
          <w:rFonts w:ascii="Arial" w:hAnsi="Arial"/>
          <w:sz w:val="24"/>
          <w:lang w:val="fr-CA"/>
        </w:rPr>
      </w:pPr>
    </w:p>
    <w:sectPr w:rsidR="00E62D5B">
      <w:headerReference w:type="default" r:id="rId8"/>
      <w:footerReference w:type="default" r:id="rId9"/>
      <w:headerReference w:type="first" r:id="rId10"/>
      <w:footerReference w:type="first" r:id="rId11"/>
      <w:pgSz w:w="12240" w:h="15840" w:code="1"/>
      <w:pgMar w:top="1267" w:right="1800" w:bottom="245" w:left="1800"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632" w:rsidRDefault="007D5632">
      <w:r>
        <w:separator/>
      </w:r>
    </w:p>
  </w:endnote>
  <w:endnote w:type="continuationSeparator" w:id="0">
    <w:p w:rsidR="007D5632" w:rsidRDefault="007D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EC29C4">
      <w:trPr>
        <w:trHeight w:val="720"/>
      </w:trPr>
      <w:tc>
        <w:tcPr>
          <w:tcW w:w="1368" w:type="dxa"/>
          <w:tcBorders>
            <w:top w:val="single" w:sz="4" w:space="0" w:color="auto"/>
          </w:tcBorders>
        </w:tcPr>
        <w:p w:rsidR="00EC29C4" w:rsidRDefault="00EC29C4">
          <w:pPr>
            <w:pStyle w:val="Footer"/>
            <w:jc w:val="center"/>
            <w:rPr>
              <w:sz w:val="8"/>
            </w:rPr>
          </w:pPr>
        </w:p>
        <w:p w:rsidR="00EC29C4" w:rsidRDefault="001C2EED">
          <w:pPr>
            <w:pStyle w:val="Footer"/>
            <w:jc w:val="center"/>
            <w:rPr>
              <w:rFonts w:ascii="Verdana" w:hAnsi="Verdana"/>
              <w:sz w:val="8"/>
            </w:rPr>
          </w:pPr>
          <w:r w:rsidRPr="003A3736">
            <w:rPr>
              <w:rFonts w:ascii="Verdana" w:hAnsi="Verdana"/>
              <w:noProof/>
              <w:sz w:val="8"/>
            </w:rPr>
            <w:drawing>
              <wp:inline distT="0" distB="0" distL="0" distR="0">
                <wp:extent cx="704850" cy="552450"/>
                <wp:effectExtent l="0" t="0" r="0" b="0"/>
                <wp:docPr id="1" name="Picture 1" descr="RR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O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52450"/>
                        </a:xfrm>
                        <a:prstGeom prst="rect">
                          <a:avLst/>
                        </a:prstGeom>
                        <a:noFill/>
                        <a:ln>
                          <a:noFill/>
                        </a:ln>
                      </pic:spPr>
                    </pic:pic>
                  </a:graphicData>
                </a:graphic>
              </wp:inline>
            </w:drawing>
          </w:r>
        </w:p>
      </w:tc>
      <w:tc>
        <w:tcPr>
          <w:tcW w:w="5976" w:type="dxa"/>
          <w:tcBorders>
            <w:top w:val="single" w:sz="4" w:space="0" w:color="auto"/>
          </w:tcBorders>
        </w:tcPr>
        <w:p w:rsidR="00EC29C4" w:rsidRDefault="00EC29C4">
          <w:pPr>
            <w:pStyle w:val="Footer"/>
            <w:jc w:val="center"/>
            <w:rPr>
              <w:rFonts w:ascii="Arial" w:hAnsi="Arial"/>
              <w:sz w:val="18"/>
            </w:rPr>
          </w:pPr>
        </w:p>
        <w:p w:rsidR="005E6A8A" w:rsidRDefault="005E6A8A" w:rsidP="005E6A8A">
          <w:pPr>
            <w:pStyle w:val="Footer"/>
            <w:jc w:val="center"/>
            <w:rPr>
              <w:rFonts w:ascii="Arial" w:hAnsi="Arial"/>
              <w:sz w:val="18"/>
              <w:lang w:val="fr-CA"/>
            </w:rPr>
          </w:pPr>
          <w:r w:rsidRPr="00D52543">
            <w:rPr>
              <w:rFonts w:ascii="Arial" w:hAnsi="Arial"/>
              <w:sz w:val="18"/>
              <w:lang w:val="fr-CA"/>
            </w:rPr>
            <w:t>Réseau r</w:t>
          </w:r>
          <w:r>
            <w:rPr>
              <w:rFonts w:ascii="Arial" w:hAnsi="Arial"/>
              <w:sz w:val="18"/>
              <w:lang w:val="fr-CA"/>
            </w:rPr>
            <w:t>é</w:t>
          </w:r>
          <w:r w:rsidRPr="00D52543">
            <w:rPr>
              <w:rFonts w:ascii="Arial" w:hAnsi="Arial"/>
              <w:sz w:val="18"/>
              <w:lang w:val="fr-CA"/>
            </w:rPr>
            <w:t xml:space="preserve">gional ontarien de coordination du sang </w:t>
          </w:r>
        </w:p>
        <w:p w:rsidR="00EC29C4" w:rsidRPr="00603FBD" w:rsidRDefault="005E6A8A" w:rsidP="005E6A8A">
          <w:pPr>
            <w:pStyle w:val="Footer"/>
            <w:jc w:val="center"/>
            <w:rPr>
              <w:rFonts w:ascii="Arial" w:hAnsi="Arial"/>
              <w:sz w:val="18"/>
              <w:lang w:val="fr-CA"/>
            </w:rPr>
          </w:pPr>
          <w:r>
            <w:rPr>
              <w:rFonts w:ascii="Arial" w:hAnsi="Arial"/>
              <w:sz w:val="18"/>
              <w:lang w:val="fr-CA"/>
            </w:rPr>
            <w:t>Manuel de ressources techniques en transfusion de l’Ontario</w:t>
          </w:r>
          <w:r w:rsidRPr="00603FBD">
            <w:rPr>
              <w:rFonts w:ascii="Arial" w:hAnsi="Arial"/>
              <w:sz w:val="18"/>
              <w:lang w:val="fr-CA"/>
            </w:rPr>
            <w:t xml:space="preserve"> </w:t>
          </w:r>
        </w:p>
      </w:tc>
      <w:tc>
        <w:tcPr>
          <w:tcW w:w="1494" w:type="dxa"/>
          <w:tcBorders>
            <w:top w:val="single" w:sz="4" w:space="0" w:color="auto"/>
          </w:tcBorders>
        </w:tcPr>
        <w:p w:rsidR="00EC29C4" w:rsidRPr="00603FBD" w:rsidRDefault="00EC29C4">
          <w:pPr>
            <w:pStyle w:val="Footer"/>
            <w:jc w:val="right"/>
            <w:rPr>
              <w:rFonts w:ascii="Arial" w:hAnsi="Arial"/>
              <w:sz w:val="18"/>
              <w:lang w:val="fr-CA"/>
            </w:rPr>
          </w:pPr>
        </w:p>
        <w:p w:rsidR="00EC29C4" w:rsidRDefault="00EC29C4" w:rsidP="005E6A8A">
          <w:pPr>
            <w:pStyle w:val="Footer"/>
            <w:jc w:val="right"/>
            <w:rPr>
              <w:rFonts w:ascii="Arial" w:hAnsi="Arial"/>
              <w:sz w:val="18"/>
            </w:rPr>
          </w:pPr>
          <w:r>
            <w:rPr>
              <w:rFonts w:ascii="Arial" w:hAnsi="Arial"/>
              <w:sz w:val="18"/>
            </w:rPr>
            <w:t>EC.005</w:t>
          </w:r>
          <w:r>
            <w:rPr>
              <w:rFonts w:ascii="Arial" w:hAnsi="Arial"/>
              <w:sz w:val="18"/>
            </w:rPr>
            <w:br/>
            <w:t>Page</w:t>
          </w:r>
          <w:r w:rsidR="00E36E60">
            <w:rPr>
              <w:rFonts w:ascii="Arial" w:hAnsi="Arial"/>
              <w:sz w:val="18"/>
            </w:rPr>
            <w:t>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777E00">
            <w:rPr>
              <w:rFonts w:ascii="Arial" w:hAnsi="Arial"/>
              <w:noProof/>
              <w:sz w:val="18"/>
            </w:rPr>
            <w:t>4</w:t>
          </w:r>
          <w:r>
            <w:rPr>
              <w:rFonts w:ascii="Arial" w:hAnsi="Arial"/>
              <w:sz w:val="18"/>
            </w:rPr>
            <w:fldChar w:fldCharType="end"/>
          </w:r>
          <w:r>
            <w:rPr>
              <w:rFonts w:ascii="Arial" w:hAnsi="Arial"/>
              <w:sz w:val="18"/>
            </w:rPr>
            <w:t xml:space="preserve"> de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sidR="00777E00">
            <w:rPr>
              <w:rFonts w:ascii="Arial" w:hAnsi="Arial"/>
              <w:noProof/>
              <w:sz w:val="18"/>
            </w:rPr>
            <w:t>4</w:t>
          </w:r>
          <w:r>
            <w:rPr>
              <w:rFonts w:ascii="Arial" w:hAnsi="Arial"/>
              <w:sz w:val="18"/>
            </w:rPr>
            <w:fldChar w:fldCharType="end"/>
          </w:r>
        </w:p>
      </w:tc>
    </w:tr>
  </w:tbl>
  <w:p w:rsidR="00EC29C4" w:rsidRDefault="00EC2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EC29C4">
      <w:trPr>
        <w:trHeight w:val="720"/>
      </w:trPr>
      <w:tc>
        <w:tcPr>
          <w:tcW w:w="1368" w:type="dxa"/>
        </w:tcPr>
        <w:p w:rsidR="00EC29C4" w:rsidRDefault="00EC29C4">
          <w:pPr>
            <w:pStyle w:val="Footer"/>
            <w:jc w:val="center"/>
            <w:rPr>
              <w:rFonts w:ascii="Verdana" w:hAnsi="Verdana"/>
              <w:sz w:val="8"/>
            </w:rPr>
          </w:pPr>
        </w:p>
        <w:p w:rsidR="00EC29C4" w:rsidRDefault="001C2EED">
          <w:pPr>
            <w:pStyle w:val="Footer"/>
            <w:jc w:val="center"/>
            <w:rPr>
              <w:rFonts w:ascii="Verdana" w:hAnsi="Verdana"/>
              <w:sz w:val="8"/>
            </w:rPr>
          </w:pPr>
          <w:r w:rsidRPr="003A3736">
            <w:rPr>
              <w:rFonts w:ascii="Verdana" w:hAnsi="Verdana"/>
              <w:noProof/>
              <w:sz w:val="8"/>
            </w:rPr>
            <w:drawing>
              <wp:inline distT="0" distB="0" distL="0" distR="0">
                <wp:extent cx="704850" cy="552450"/>
                <wp:effectExtent l="0" t="0" r="0" b="0"/>
                <wp:docPr id="3" name="Picture 3" descr="RR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O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52450"/>
                        </a:xfrm>
                        <a:prstGeom prst="rect">
                          <a:avLst/>
                        </a:prstGeom>
                        <a:noFill/>
                        <a:ln>
                          <a:noFill/>
                        </a:ln>
                      </pic:spPr>
                    </pic:pic>
                  </a:graphicData>
                </a:graphic>
              </wp:inline>
            </w:drawing>
          </w:r>
        </w:p>
      </w:tc>
      <w:tc>
        <w:tcPr>
          <w:tcW w:w="5976" w:type="dxa"/>
        </w:tcPr>
        <w:p w:rsidR="00EC29C4" w:rsidRDefault="00EC29C4">
          <w:pPr>
            <w:pStyle w:val="Footer"/>
            <w:jc w:val="center"/>
            <w:rPr>
              <w:rFonts w:ascii="Arial" w:hAnsi="Arial"/>
              <w:sz w:val="18"/>
            </w:rPr>
          </w:pPr>
        </w:p>
        <w:p w:rsidR="005E6A8A" w:rsidRDefault="005E6A8A" w:rsidP="005E6A8A">
          <w:pPr>
            <w:pStyle w:val="Footer"/>
            <w:jc w:val="center"/>
            <w:rPr>
              <w:rFonts w:ascii="Arial" w:hAnsi="Arial"/>
              <w:sz w:val="18"/>
              <w:lang w:val="fr-CA"/>
            </w:rPr>
          </w:pPr>
          <w:r w:rsidRPr="00D52543">
            <w:rPr>
              <w:rFonts w:ascii="Arial" w:hAnsi="Arial"/>
              <w:sz w:val="18"/>
              <w:lang w:val="fr-CA"/>
            </w:rPr>
            <w:t>Réseau r</w:t>
          </w:r>
          <w:r>
            <w:rPr>
              <w:rFonts w:ascii="Arial" w:hAnsi="Arial"/>
              <w:sz w:val="18"/>
              <w:lang w:val="fr-CA"/>
            </w:rPr>
            <w:t>é</w:t>
          </w:r>
          <w:r w:rsidRPr="00D52543">
            <w:rPr>
              <w:rFonts w:ascii="Arial" w:hAnsi="Arial"/>
              <w:sz w:val="18"/>
              <w:lang w:val="fr-CA"/>
            </w:rPr>
            <w:t xml:space="preserve">gional ontarien de coordination du sang </w:t>
          </w:r>
        </w:p>
        <w:p w:rsidR="00EC29C4" w:rsidRPr="00603FBD" w:rsidRDefault="005E6A8A" w:rsidP="005E6A8A">
          <w:pPr>
            <w:pStyle w:val="Footer"/>
            <w:jc w:val="center"/>
            <w:rPr>
              <w:rFonts w:ascii="Arial" w:hAnsi="Arial"/>
              <w:sz w:val="18"/>
              <w:lang w:val="fr-CA"/>
            </w:rPr>
          </w:pPr>
          <w:r>
            <w:rPr>
              <w:rFonts w:ascii="Arial" w:hAnsi="Arial"/>
              <w:sz w:val="18"/>
              <w:lang w:val="fr-CA"/>
            </w:rPr>
            <w:t>Manuel de ressources techniques en transfusion de l’Ontario</w:t>
          </w:r>
          <w:r w:rsidRPr="00603FBD">
            <w:rPr>
              <w:rFonts w:ascii="Arial" w:hAnsi="Arial"/>
              <w:sz w:val="18"/>
              <w:lang w:val="fr-CA"/>
            </w:rPr>
            <w:t xml:space="preserve"> </w:t>
          </w:r>
        </w:p>
      </w:tc>
      <w:tc>
        <w:tcPr>
          <w:tcW w:w="1494" w:type="dxa"/>
        </w:tcPr>
        <w:p w:rsidR="00EC29C4" w:rsidRPr="00603FBD" w:rsidRDefault="00EC29C4">
          <w:pPr>
            <w:pStyle w:val="Footer"/>
            <w:jc w:val="right"/>
            <w:rPr>
              <w:rFonts w:ascii="Arial" w:hAnsi="Arial"/>
              <w:sz w:val="18"/>
              <w:lang w:val="fr-CA"/>
            </w:rPr>
          </w:pPr>
        </w:p>
        <w:p w:rsidR="00EC29C4" w:rsidRDefault="00EC29C4" w:rsidP="005E6A8A">
          <w:pPr>
            <w:pStyle w:val="Footer"/>
            <w:jc w:val="right"/>
            <w:rPr>
              <w:rFonts w:ascii="Arial" w:hAnsi="Arial"/>
              <w:sz w:val="18"/>
            </w:rPr>
          </w:pPr>
          <w:r>
            <w:rPr>
              <w:rFonts w:ascii="Arial" w:hAnsi="Arial"/>
              <w:sz w:val="18"/>
            </w:rPr>
            <w:t>EC.005</w:t>
          </w:r>
          <w:r>
            <w:rPr>
              <w:rFonts w:ascii="Arial" w:hAnsi="Arial"/>
              <w:sz w:val="18"/>
            </w:rPr>
            <w:br/>
            <w:t>Page</w:t>
          </w:r>
          <w:r w:rsidR="00E36E60">
            <w:rPr>
              <w:rFonts w:ascii="Arial" w:hAnsi="Arial"/>
              <w:sz w:val="18"/>
            </w:rPr>
            <w:t>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777E00">
            <w:rPr>
              <w:rFonts w:ascii="Arial" w:hAnsi="Arial"/>
              <w:noProof/>
              <w:sz w:val="18"/>
            </w:rPr>
            <w:t>1</w:t>
          </w:r>
          <w:r>
            <w:rPr>
              <w:rFonts w:ascii="Arial" w:hAnsi="Arial"/>
              <w:sz w:val="18"/>
            </w:rPr>
            <w:fldChar w:fldCharType="end"/>
          </w:r>
          <w:r>
            <w:rPr>
              <w:rFonts w:ascii="Arial" w:hAnsi="Arial"/>
              <w:sz w:val="18"/>
            </w:rPr>
            <w:t xml:space="preserve"> de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sidR="00777E00">
            <w:rPr>
              <w:rFonts w:ascii="Arial" w:hAnsi="Arial"/>
              <w:noProof/>
              <w:sz w:val="18"/>
            </w:rPr>
            <w:t>1</w:t>
          </w:r>
          <w:r>
            <w:rPr>
              <w:rFonts w:ascii="Arial" w:hAnsi="Arial"/>
              <w:sz w:val="18"/>
            </w:rPr>
            <w:fldChar w:fldCharType="end"/>
          </w:r>
        </w:p>
      </w:tc>
    </w:tr>
  </w:tbl>
  <w:p w:rsidR="00EC29C4" w:rsidRDefault="00EC2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632" w:rsidRDefault="007D5632">
      <w:r>
        <w:separator/>
      </w:r>
    </w:p>
  </w:footnote>
  <w:footnote w:type="continuationSeparator" w:id="0">
    <w:p w:rsidR="007D5632" w:rsidRDefault="007D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9C4" w:rsidRPr="00603FBD" w:rsidRDefault="00EC29C4" w:rsidP="00864770">
    <w:pPr>
      <w:pStyle w:val="Header"/>
      <w:jc w:val="center"/>
      <w:rPr>
        <w:rFonts w:ascii="Arial" w:hAnsi="Arial"/>
        <w:b/>
        <w:sz w:val="28"/>
        <w:lang w:val="fr-CA"/>
      </w:rPr>
    </w:pPr>
    <w:r w:rsidRPr="00603FBD">
      <w:rPr>
        <w:rFonts w:ascii="Arial" w:hAnsi="Arial"/>
        <w:b/>
        <w:sz w:val="28"/>
        <w:lang w:val="fr-CA"/>
      </w:rPr>
      <w:t>Investigation d</w:t>
    </w:r>
    <w:r w:rsidR="00E36E60" w:rsidRPr="00603FBD">
      <w:rPr>
        <w:rFonts w:ascii="Arial" w:hAnsi="Arial"/>
        <w:b/>
        <w:sz w:val="28"/>
        <w:lang w:val="fr-CA"/>
      </w:rPr>
      <w:t>’</w:t>
    </w:r>
    <w:r w:rsidRPr="00603FBD">
      <w:rPr>
        <w:rFonts w:ascii="Arial" w:hAnsi="Arial"/>
        <w:b/>
        <w:sz w:val="28"/>
        <w:lang w:val="fr-CA"/>
      </w:rPr>
      <w:t>un test direct à l</w:t>
    </w:r>
    <w:r w:rsidR="00E36E60" w:rsidRPr="00603FBD">
      <w:rPr>
        <w:rFonts w:ascii="Arial" w:hAnsi="Arial"/>
        <w:b/>
        <w:sz w:val="28"/>
        <w:lang w:val="fr-CA"/>
      </w:rPr>
      <w:t>’</w:t>
    </w:r>
    <w:r w:rsidRPr="00603FBD">
      <w:rPr>
        <w:rFonts w:ascii="Arial" w:hAnsi="Arial"/>
        <w:b/>
        <w:sz w:val="28"/>
        <w:lang w:val="fr-CA"/>
      </w:rPr>
      <w:t>antiglobuline positif (TDA)</w:t>
    </w:r>
  </w:p>
  <w:p w:rsidR="00EC29C4" w:rsidRPr="00603FBD" w:rsidRDefault="00EC29C4">
    <w:pPr>
      <w:pStyle w:val="Header"/>
      <w:rPr>
        <w:rFonts w:ascii="Arial" w:hAnsi="Arial"/>
        <w:sz w:val="18"/>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9C4" w:rsidRDefault="001C2EED">
    <w:pPr>
      <w:pStyle w:val="Header"/>
      <w:tabs>
        <w:tab w:val="clear" w:pos="8640"/>
        <w:tab w:val="left" w:pos="5057"/>
      </w:tabs>
      <w:rPr>
        <w:rFonts w:ascii="Verdana" w:hAnsi="Verdana"/>
        <w:sz w:val="8"/>
      </w:rPr>
    </w:pPr>
    <w:r>
      <w:rPr>
        <w:rFonts w:ascii="Verdana" w:hAnsi="Verdana"/>
        <w:noProof/>
        <w:sz w:val="8"/>
      </w:rPr>
      <w:drawing>
        <wp:inline distT="0" distB="0" distL="0" distR="0">
          <wp:extent cx="1162050" cy="390525"/>
          <wp:effectExtent l="0" t="0" r="0" b="0"/>
          <wp:docPr id="2" name="Picture 2" descr="ORBCoN 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BCoN 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390525"/>
                  </a:xfrm>
                  <a:prstGeom prst="rect">
                    <a:avLst/>
                  </a:prstGeom>
                  <a:noFill/>
                  <a:ln>
                    <a:noFill/>
                  </a:ln>
                </pic:spPr>
              </pic:pic>
            </a:graphicData>
          </a:graphic>
        </wp:inline>
      </w:drawing>
    </w:r>
  </w:p>
  <w:p w:rsidR="00603FBD" w:rsidRDefault="00603FBD">
    <w:pPr>
      <w:pStyle w:val="Header"/>
      <w:tabs>
        <w:tab w:val="clear" w:pos="8640"/>
        <w:tab w:val="left" w:pos="5057"/>
      </w:tabs>
      <w:rPr>
        <w:rFonts w:ascii="Arial" w:hAnsi="Arial" w:cs="Arial"/>
        <w:b/>
        <w:bCs/>
        <w:sz w:val="22"/>
      </w:rPr>
    </w:pPr>
  </w:p>
  <w:p w:rsidR="005E6A8A" w:rsidRPr="00603FBD" w:rsidRDefault="005E6A8A" w:rsidP="005E6A8A">
    <w:pPr>
      <w:pStyle w:val="Header"/>
      <w:jc w:val="center"/>
      <w:rPr>
        <w:rFonts w:ascii="Arial" w:hAnsi="Arial" w:cs="Arial"/>
        <w:b/>
        <w:bCs/>
        <w:sz w:val="24"/>
        <w:szCs w:val="28"/>
        <w:lang w:val="fr-CA"/>
      </w:rPr>
    </w:pPr>
    <w:r w:rsidRPr="00603FBD">
      <w:rPr>
        <w:rFonts w:ascii="Arial" w:hAnsi="Arial" w:cs="Arial"/>
        <w:b/>
        <w:bCs/>
        <w:sz w:val="24"/>
        <w:szCs w:val="28"/>
        <w:lang w:val="fr-CA"/>
      </w:rPr>
      <w:t>Réseau régional ontarien de coordination du sang</w:t>
    </w:r>
  </w:p>
  <w:p w:rsidR="005E6A8A" w:rsidRPr="00603FBD" w:rsidRDefault="005E6A8A" w:rsidP="005E6A8A">
    <w:pPr>
      <w:pStyle w:val="Header"/>
      <w:jc w:val="center"/>
      <w:rPr>
        <w:rFonts w:ascii="Arial" w:hAnsi="Arial" w:cs="Arial"/>
        <w:b/>
        <w:bCs/>
        <w:sz w:val="24"/>
        <w:szCs w:val="28"/>
        <w:lang w:val="fr-CA"/>
      </w:rPr>
    </w:pPr>
    <w:r w:rsidRPr="00603FBD">
      <w:rPr>
        <w:rFonts w:ascii="Arial" w:hAnsi="Arial" w:cs="Arial"/>
        <w:b/>
        <w:bCs/>
        <w:sz w:val="24"/>
        <w:szCs w:val="28"/>
        <w:lang w:val="fr-CA"/>
      </w:rPr>
      <w:t>Manuel de ressources techniques en transfusion de l’Ontario</w:t>
    </w:r>
  </w:p>
  <w:p w:rsidR="00EC29C4" w:rsidRPr="00A8556C" w:rsidRDefault="00EC29C4">
    <w:pPr>
      <w:pStyle w:val="Header"/>
      <w:jc w:val="center"/>
      <w:rPr>
        <w:rFonts w:ascii="Arial" w:hAnsi="Arial"/>
        <w:b/>
        <w:sz w:val="28"/>
        <w:lang w:val="fr-CA"/>
      </w:rPr>
    </w:pPr>
  </w:p>
  <w:p w:rsidR="00EC29C4" w:rsidRPr="00A8556C" w:rsidRDefault="00EC29C4">
    <w:pPr>
      <w:pStyle w:val="Header"/>
      <w:jc w:val="center"/>
      <w:rPr>
        <w:rFonts w:ascii="Arial" w:hAnsi="Arial"/>
        <w:b/>
        <w:sz w:val="28"/>
        <w:lang w:val="fr-CA"/>
      </w:rPr>
    </w:pPr>
    <w:r w:rsidRPr="00A8556C">
      <w:rPr>
        <w:rFonts w:ascii="Arial" w:hAnsi="Arial"/>
        <w:b/>
        <w:sz w:val="28"/>
        <w:lang w:val="fr-CA"/>
      </w:rPr>
      <w:t>Investigation d</w:t>
    </w:r>
    <w:r w:rsidR="00E36E60">
      <w:rPr>
        <w:rFonts w:ascii="Arial" w:hAnsi="Arial"/>
        <w:b/>
        <w:sz w:val="28"/>
        <w:lang w:val="fr-CA"/>
      </w:rPr>
      <w:t>’</w:t>
    </w:r>
    <w:r w:rsidRPr="00A8556C">
      <w:rPr>
        <w:rFonts w:ascii="Arial" w:hAnsi="Arial"/>
        <w:b/>
        <w:sz w:val="28"/>
        <w:lang w:val="fr-CA"/>
      </w:rPr>
      <w:t>un test direct à l</w:t>
    </w:r>
    <w:r w:rsidR="00E36E60">
      <w:rPr>
        <w:rFonts w:ascii="Arial" w:hAnsi="Arial"/>
        <w:b/>
        <w:sz w:val="28"/>
        <w:lang w:val="fr-CA"/>
      </w:rPr>
      <w:t>’</w:t>
    </w:r>
    <w:r w:rsidRPr="00A8556C">
      <w:rPr>
        <w:rFonts w:ascii="Arial" w:hAnsi="Arial"/>
        <w:b/>
        <w:sz w:val="28"/>
        <w:lang w:val="fr-CA"/>
      </w:rPr>
      <w:t>antiglobuline positif (TDA)</w:t>
    </w:r>
  </w:p>
  <w:p w:rsidR="00EC29C4" w:rsidRPr="00A8556C" w:rsidRDefault="00EC29C4">
    <w:pPr>
      <w:pStyle w:val="Header"/>
      <w:jc w:val="center"/>
      <w:rPr>
        <w:rFonts w:ascii="Arial" w:hAnsi="Arial"/>
        <w:b/>
        <w:sz w:val="28"/>
        <w:lang w:val="fr-CA"/>
      </w:rPr>
    </w:pPr>
  </w:p>
  <w:p w:rsidR="00EC29C4" w:rsidRPr="00A8556C" w:rsidRDefault="00EC29C4">
    <w:pPr>
      <w:pStyle w:val="Header"/>
      <w:tabs>
        <w:tab w:val="left" w:pos="6617"/>
      </w:tabs>
      <w:jc w:val="center"/>
      <w:rPr>
        <w:rFonts w:ascii="Arial" w:hAnsi="Arial" w:cs="Arial"/>
        <w:b/>
        <w:bCs/>
        <w:lang w:val="fr-CA"/>
      </w:rPr>
    </w:pPr>
    <w:r w:rsidRPr="00A8556C">
      <w:rPr>
        <w:rFonts w:ascii="Arial" w:hAnsi="Arial" w:cs="Arial"/>
        <w:b/>
        <w:bCs/>
        <w:lang w:val="fr-CA"/>
      </w:rPr>
      <w:tab/>
    </w:r>
    <w:r w:rsidR="001C2EED" w:rsidRPr="00A8556C">
      <w:rPr>
        <w:rFonts w:ascii="Arial" w:hAnsi="Arial" w:cs="Arial"/>
        <w:noProof/>
        <w:lang w:val="fr-CA"/>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20955</wp:posOffset>
              </wp:positionV>
              <wp:extent cx="56007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7200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5pt" to="43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r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A6S9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"/>
          </w:pict>
        </mc:Fallback>
      </mc:AlternateContent>
    </w:r>
  </w:p>
  <w:tbl>
    <w:tblPr>
      <w:tblW w:w="0" w:type="auto"/>
      <w:tblLook w:val="0000" w:firstRow="0" w:lastRow="0" w:firstColumn="0" w:lastColumn="0" w:noHBand="0" w:noVBand="0"/>
    </w:tblPr>
    <w:tblGrid>
      <w:gridCol w:w="4314"/>
      <w:gridCol w:w="4326"/>
    </w:tblGrid>
    <w:tr w:rsidR="00EC29C4" w:rsidRPr="00A8556C">
      <w:tc>
        <w:tcPr>
          <w:tcW w:w="4428" w:type="dxa"/>
        </w:tcPr>
        <w:p w:rsidR="00EC29C4" w:rsidRPr="00A8556C" w:rsidRDefault="009E42FD" w:rsidP="003C1146">
          <w:pPr>
            <w:pStyle w:val="Header"/>
            <w:rPr>
              <w:rFonts w:ascii="Arial" w:hAnsi="Arial" w:cs="Arial"/>
              <w:lang w:val="fr-CA"/>
            </w:rPr>
          </w:pPr>
          <w:r>
            <w:rPr>
              <w:rFonts w:ascii="Arial" w:hAnsi="Arial" w:cs="Arial"/>
              <w:lang w:val="fr-CA"/>
            </w:rPr>
            <w:t>Approbation </w:t>
          </w:r>
          <w:r w:rsidR="00A371A3" w:rsidRPr="00FC42A4">
            <w:rPr>
              <w:rFonts w:ascii="Arial" w:hAnsi="Arial" w:cs="Arial"/>
              <w:lang w:val="fr-CA"/>
            </w:rPr>
            <w:t xml:space="preserve">: </w:t>
          </w:r>
        </w:p>
      </w:tc>
      <w:tc>
        <w:tcPr>
          <w:tcW w:w="4428" w:type="dxa"/>
        </w:tcPr>
        <w:p w:rsidR="00EC29C4" w:rsidRPr="00A8556C" w:rsidRDefault="00EC29C4">
          <w:pPr>
            <w:pStyle w:val="Header"/>
            <w:rPr>
              <w:rFonts w:ascii="Arial" w:hAnsi="Arial" w:cs="Arial"/>
              <w:lang w:val="fr-CA"/>
            </w:rPr>
          </w:pPr>
          <w:r w:rsidRPr="00A8556C">
            <w:rPr>
              <w:rFonts w:ascii="Arial" w:hAnsi="Arial" w:cs="Arial"/>
              <w:lang w:val="fr-CA"/>
            </w:rPr>
            <w:t>Document n</w:t>
          </w:r>
          <w:r w:rsidRPr="00A8556C">
            <w:rPr>
              <w:rFonts w:ascii="Arial" w:hAnsi="Arial" w:cs="Arial"/>
              <w:vertAlign w:val="superscript"/>
              <w:lang w:val="fr-CA"/>
            </w:rPr>
            <w:t xml:space="preserve">o </w:t>
          </w:r>
          <w:r w:rsidRPr="00A8556C">
            <w:rPr>
              <w:rFonts w:ascii="Arial" w:hAnsi="Arial" w:cs="Arial"/>
              <w:lang w:val="fr-CA"/>
            </w:rPr>
            <w:t>: EC.005</w:t>
          </w:r>
        </w:p>
      </w:tc>
    </w:tr>
    <w:tr w:rsidR="00EC29C4" w:rsidRPr="00A8556C">
      <w:tc>
        <w:tcPr>
          <w:tcW w:w="4428" w:type="dxa"/>
        </w:tcPr>
        <w:p w:rsidR="00EC29C4" w:rsidRPr="00A8556C" w:rsidRDefault="00EC29C4">
          <w:pPr>
            <w:pStyle w:val="Header"/>
            <w:rPr>
              <w:rFonts w:ascii="Arial" w:hAnsi="Arial" w:cs="Arial"/>
              <w:lang w:val="fr-CA"/>
            </w:rPr>
          </w:pPr>
          <w:r w:rsidRPr="00A8556C">
            <w:rPr>
              <w:rFonts w:ascii="Arial" w:hAnsi="Arial" w:cs="Arial"/>
              <w:lang w:val="fr-CA"/>
            </w:rPr>
            <w:t xml:space="preserve">Date de </w:t>
          </w:r>
          <w:r w:rsidR="009E42FD">
            <w:rPr>
              <w:rFonts w:ascii="Arial" w:hAnsi="Arial" w:cs="Arial"/>
              <w:lang w:val="fr-CA"/>
            </w:rPr>
            <w:t>publication </w:t>
          </w:r>
          <w:r w:rsidRPr="00A8556C">
            <w:rPr>
              <w:rFonts w:ascii="Arial" w:hAnsi="Arial" w:cs="Arial"/>
              <w:lang w:val="fr-CA"/>
            </w:rPr>
            <w:t>: 2006/08/01</w:t>
          </w:r>
        </w:p>
      </w:tc>
      <w:tc>
        <w:tcPr>
          <w:tcW w:w="4428" w:type="dxa"/>
        </w:tcPr>
        <w:p w:rsidR="00EC29C4" w:rsidRPr="00A8556C" w:rsidRDefault="009E42FD">
          <w:pPr>
            <w:pStyle w:val="Header"/>
            <w:rPr>
              <w:rFonts w:ascii="Arial" w:hAnsi="Arial" w:cs="Arial"/>
              <w:lang w:val="fr-CA"/>
            </w:rPr>
          </w:pPr>
          <w:r>
            <w:rPr>
              <w:rFonts w:ascii="Arial" w:hAnsi="Arial" w:cs="Arial"/>
              <w:lang w:val="fr-CA"/>
            </w:rPr>
            <w:t>Catégorie </w:t>
          </w:r>
          <w:r w:rsidR="00EC29C4" w:rsidRPr="00A8556C">
            <w:rPr>
              <w:rFonts w:ascii="Arial" w:hAnsi="Arial" w:cs="Arial"/>
              <w:lang w:val="fr-CA"/>
            </w:rPr>
            <w:t>: Épreuves complémentaires</w:t>
          </w:r>
        </w:p>
      </w:tc>
    </w:tr>
    <w:tr w:rsidR="00EC29C4" w:rsidRPr="00A8556C">
      <w:tc>
        <w:tcPr>
          <w:tcW w:w="4428" w:type="dxa"/>
        </w:tcPr>
        <w:p w:rsidR="00EC29C4" w:rsidRPr="00A8556C" w:rsidRDefault="00A371A3">
          <w:pPr>
            <w:pStyle w:val="Header"/>
            <w:rPr>
              <w:rFonts w:ascii="Arial" w:hAnsi="Arial" w:cs="Arial"/>
              <w:lang w:val="fr-CA"/>
            </w:rPr>
          </w:pPr>
          <w:r w:rsidRPr="0082137B">
            <w:rPr>
              <w:rFonts w:ascii="Arial" w:hAnsi="Arial" w:cs="Arial"/>
              <w:color w:val="000000"/>
              <w:lang w:val="fr-CA"/>
            </w:rPr>
            <w:t xml:space="preserve">Date de </w:t>
          </w:r>
          <w:r w:rsidR="009E42FD">
            <w:rPr>
              <w:rFonts w:ascii="Arial" w:hAnsi="Arial" w:cs="Arial"/>
              <w:color w:val="000000"/>
              <w:lang w:val="fr-CA"/>
            </w:rPr>
            <w:t>révision </w:t>
          </w:r>
          <w:r w:rsidRPr="0082137B">
            <w:rPr>
              <w:rFonts w:ascii="Arial" w:hAnsi="Arial" w:cs="Arial"/>
              <w:color w:val="000000"/>
              <w:lang w:val="fr-CA"/>
            </w:rPr>
            <w:t>:</w:t>
          </w:r>
          <w:r>
            <w:rPr>
              <w:rFonts w:ascii="Arial" w:hAnsi="Arial" w:cs="Arial"/>
              <w:color w:val="000000"/>
              <w:lang w:val="fr-CA"/>
            </w:rPr>
            <w:t xml:space="preserve"> </w:t>
          </w:r>
          <w:r>
            <w:rPr>
              <w:rFonts w:ascii="Arial" w:hAnsi="Arial" w:cs="Arial"/>
              <w:lang w:val="fr-CA"/>
            </w:rPr>
            <w:t>2009/12/31</w:t>
          </w:r>
          <w:r w:rsidR="003C1146">
            <w:rPr>
              <w:rFonts w:ascii="Arial" w:hAnsi="Arial" w:cs="Arial"/>
              <w:lang w:val="fr-CA"/>
            </w:rPr>
            <w:t>; 2014/01/01</w:t>
          </w:r>
        </w:p>
      </w:tc>
      <w:tc>
        <w:tcPr>
          <w:tcW w:w="4428" w:type="dxa"/>
        </w:tcPr>
        <w:p w:rsidR="00EC29C4" w:rsidRPr="00A8556C" w:rsidRDefault="00EC29C4">
          <w:pPr>
            <w:pStyle w:val="Header"/>
            <w:rPr>
              <w:rFonts w:ascii="Arial" w:hAnsi="Arial" w:cs="Arial"/>
              <w:lang w:val="fr-CA"/>
            </w:rPr>
          </w:pPr>
          <w:r w:rsidRPr="00A8556C">
            <w:rPr>
              <w:rFonts w:ascii="Arial" w:hAnsi="Arial" w:cs="Arial"/>
              <w:lang w:val="fr-CA"/>
            </w:rPr>
            <w:t>Pages :</w:t>
          </w:r>
          <w:r w:rsidR="008D0A3A">
            <w:rPr>
              <w:rFonts w:ascii="Arial" w:hAnsi="Arial" w:cs="Arial"/>
              <w:lang w:val="fr-CA"/>
            </w:rPr>
            <w:t xml:space="preserve"> </w:t>
          </w:r>
          <w:r w:rsidRPr="00A8556C">
            <w:rPr>
              <w:rFonts w:ascii="Arial" w:hAnsi="Arial" w:cs="Arial"/>
              <w:lang w:val="fr-CA"/>
            </w:rPr>
            <w:fldChar w:fldCharType="begin"/>
          </w:r>
          <w:r w:rsidRPr="00A8556C">
            <w:rPr>
              <w:rFonts w:ascii="Arial" w:hAnsi="Arial" w:cs="Arial"/>
              <w:lang w:val="fr-CA"/>
            </w:rPr>
            <w:instrText xml:space="preserve"> NUMPAGES </w:instrText>
          </w:r>
          <w:r w:rsidRPr="00A8556C">
            <w:rPr>
              <w:rFonts w:ascii="Arial" w:hAnsi="Arial" w:cs="Arial"/>
              <w:lang w:val="fr-CA"/>
            </w:rPr>
            <w:fldChar w:fldCharType="separate"/>
          </w:r>
          <w:r w:rsidR="00777E00">
            <w:rPr>
              <w:rFonts w:ascii="Arial" w:hAnsi="Arial" w:cs="Arial"/>
              <w:noProof/>
              <w:lang w:val="fr-CA"/>
            </w:rPr>
            <w:t>1</w:t>
          </w:r>
          <w:r w:rsidRPr="00A8556C">
            <w:rPr>
              <w:rFonts w:ascii="Arial" w:hAnsi="Arial" w:cs="Arial"/>
              <w:lang w:val="fr-CA"/>
            </w:rPr>
            <w:fldChar w:fldCharType="end"/>
          </w:r>
        </w:p>
      </w:tc>
    </w:tr>
  </w:tbl>
  <w:p w:rsidR="00EC29C4" w:rsidRDefault="001C2EED">
    <w:pPr>
      <w:pStyle w:val="Heade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122555</wp:posOffset>
              </wp:positionV>
              <wp:extent cx="56007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00E4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65pt" to="436.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0H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A6S9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"/>
          </w:pict>
        </mc:Fallback>
      </mc:AlternateContent>
    </w:r>
    <w:r w:rsidR="00EC29C4">
      <w:rPr>
        <w:rFonts w:ascii="Arial" w:hAnsi="Arial" w:cs="Arial"/>
      </w:rPr>
      <w:tab/>
    </w:r>
  </w:p>
  <w:p w:rsidR="00EC29C4" w:rsidRDefault="00EC2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010"/>
    <w:multiLevelType w:val="multilevel"/>
    <w:tmpl w:val="C916013E"/>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bullet"/>
      <w:lvlText w:val=""/>
      <w:lvlJc w:val="left"/>
      <w:pPr>
        <w:tabs>
          <w:tab w:val="num" w:pos="3150"/>
        </w:tabs>
        <w:ind w:left="3150" w:hanging="108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4C35723"/>
    <w:multiLevelType w:val="multilevel"/>
    <w:tmpl w:val="38E6510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1710"/>
        </w:tabs>
        <w:ind w:left="1710" w:hanging="360"/>
      </w:pPr>
      <w:rPr>
        <w:rFonts w:ascii="Symbol" w:hAnsi="Symbol"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D5038A"/>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D16EC6"/>
    <w:multiLevelType w:val="multilevel"/>
    <w:tmpl w:val="ADF87322"/>
    <w:lvl w:ilvl="0">
      <w:start w:val="1"/>
      <w:numFmt w:val="decimal"/>
      <w:lvlText w:val="%1.0"/>
      <w:lvlJc w:val="left"/>
      <w:pPr>
        <w:tabs>
          <w:tab w:val="num" w:pos="720"/>
        </w:tabs>
        <w:ind w:left="720" w:hanging="720"/>
      </w:pPr>
      <w:rPr>
        <w:rFonts w:hint="default"/>
        <w:b/>
        <w:sz w:val="28"/>
      </w:rPr>
    </w:lvl>
    <w:lvl w:ilvl="1">
      <w:start w:val="1"/>
      <w:numFmt w:val="decimal"/>
      <w:lvlText w:val="%1.%2"/>
      <w:lvlJc w:val="left"/>
      <w:pPr>
        <w:tabs>
          <w:tab w:val="num" w:pos="1004"/>
        </w:tabs>
        <w:ind w:left="1004" w:hanging="720"/>
      </w:pPr>
      <w:rPr>
        <w:rFonts w:hint="default"/>
        <w:b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9FC482C"/>
    <w:multiLevelType w:val="multilevel"/>
    <w:tmpl w:val="C916013E"/>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bullet"/>
      <w:lvlText w:val=""/>
      <w:lvlJc w:val="left"/>
      <w:pPr>
        <w:tabs>
          <w:tab w:val="num" w:pos="3150"/>
        </w:tabs>
        <w:ind w:left="3150" w:hanging="108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B6C1B"/>
    <w:multiLevelType w:val="hybridMultilevel"/>
    <w:tmpl w:val="0FF8E00E"/>
    <w:lvl w:ilvl="0" w:tplc="821A7D32">
      <w:start w:val="1"/>
      <w:numFmt w:val="bullet"/>
      <w:lvlText w:val=""/>
      <w:lvlJc w:val="left"/>
      <w:pPr>
        <w:tabs>
          <w:tab w:val="num" w:pos="2520"/>
        </w:tabs>
        <w:ind w:left="2520" w:hanging="360"/>
      </w:pPr>
      <w:rPr>
        <w:rFonts w:ascii="Symbol" w:eastAsia="Times New Roman" w:hAnsi="Symbol" w:cs="Arial"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1E069C1"/>
    <w:multiLevelType w:val="multilevel"/>
    <w:tmpl w:val="56F69C7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3150"/>
        </w:tabs>
        <w:ind w:left="315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BC3452B"/>
    <w:multiLevelType w:val="hybridMultilevel"/>
    <w:tmpl w:val="A9E2C7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0A4843"/>
    <w:multiLevelType w:val="hybridMultilevel"/>
    <w:tmpl w:val="D688A5F2"/>
    <w:lvl w:ilvl="0" w:tplc="0C0C000F">
      <w:start w:val="1"/>
      <w:numFmt w:val="decimal"/>
      <w:lvlText w:val="%1."/>
      <w:lvlJc w:val="left"/>
      <w:pPr>
        <w:ind w:left="2430" w:hanging="360"/>
      </w:pPr>
    </w:lvl>
    <w:lvl w:ilvl="1" w:tplc="0C0C0019" w:tentative="1">
      <w:start w:val="1"/>
      <w:numFmt w:val="lowerLetter"/>
      <w:lvlText w:val="%2."/>
      <w:lvlJc w:val="left"/>
      <w:pPr>
        <w:ind w:left="3150" w:hanging="360"/>
      </w:pPr>
    </w:lvl>
    <w:lvl w:ilvl="2" w:tplc="0C0C001B" w:tentative="1">
      <w:start w:val="1"/>
      <w:numFmt w:val="lowerRoman"/>
      <w:lvlText w:val="%3."/>
      <w:lvlJc w:val="right"/>
      <w:pPr>
        <w:ind w:left="3870" w:hanging="180"/>
      </w:pPr>
    </w:lvl>
    <w:lvl w:ilvl="3" w:tplc="0C0C000F" w:tentative="1">
      <w:start w:val="1"/>
      <w:numFmt w:val="decimal"/>
      <w:lvlText w:val="%4."/>
      <w:lvlJc w:val="left"/>
      <w:pPr>
        <w:ind w:left="4590" w:hanging="360"/>
      </w:pPr>
    </w:lvl>
    <w:lvl w:ilvl="4" w:tplc="0C0C0019" w:tentative="1">
      <w:start w:val="1"/>
      <w:numFmt w:val="lowerLetter"/>
      <w:lvlText w:val="%5."/>
      <w:lvlJc w:val="left"/>
      <w:pPr>
        <w:ind w:left="5310" w:hanging="360"/>
      </w:pPr>
    </w:lvl>
    <w:lvl w:ilvl="5" w:tplc="0C0C001B" w:tentative="1">
      <w:start w:val="1"/>
      <w:numFmt w:val="lowerRoman"/>
      <w:lvlText w:val="%6."/>
      <w:lvlJc w:val="right"/>
      <w:pPr>
        <w:ind w:left="6030" w:hanging="180"/>
      </w:pPr>
    </w:lvl>
    <w:lvl w:ilvl="6" w:tplc="0C0C000F" w:tentative="1">
      <w:start w:val="1"/>
      <w:numFmt w:val="decimal"/>
      <w:lvlText w:val="%7."/>
      <w:lvlJc w:val="left"/>
      <w:pPr>
        <w:ind w:left="6750" w:hanging="360"/>
      </w:pPr>
    </w:lvl>
    <w:lvl w:ilvl="7" w:tplc="0C0C0019" w:tentative="1">
      <w:start w:val="1"/>
      <w:numFmt w:val="lowerLetter"/>
      <w:lvlText w:val="%8."/>
      <w:lvlJc w:val="left"/>
      <w:pPr>
        <w:ind w:left="7470" w:hanging="360"/>
      </w:pPr>
    </w:lvl>
    <w:lvl w:ilvl="8" w:tplc="0C0C001B" w:tentative="1">
      <w:start w:val="1"/>
      <w:numFmt w:val="lowerRoman"/>
      <w:lvlText w:val="%9."/>
      <w:lvlJc w:val="right"/>
      <w:pPr>
        <w:ind w:left="8190" w:hanging="180"/>
      </w:pPr>
    </w:lvl>
  </w:abstractNum>
  <w:abstractNum w:abstractNumId="9" w15:restartNumberingAfterBreak="0">
    <w:nsid w:val="202035F1"/>
    <w:multiLevelType w:val="hybridMultilevel"/>
    <w:tmpl w:val="3CF4EBC2"/>
    <w:lvl w:ilvl="0" w:tplc="821A7D32">
      <w:start w:val="1"/>
      <w:numFmt w:val="bullet"/>
      <w:lvlText w:val=""/>
      <w:lvlJc w:val="left"/>
      <w:pPr>
        <w:tabs>
          <w:tab w:val="num" w:pos="2790"/>
        </w:tabs>
        <w:ind w:left="2790" w:hanging="360"/>
      </w:pPr>
      <w:rPr>
        <w:rFonts w:ascii="Symbol" w:eastAsia="Times New Roman" w:hAnsi="Symbol" w:cs="Arial" w:hint="default"/>
      </w:rPr>
    </w:lvl>
    <w:lvl w:ilvl="1" w:tplc="040C0003" w:tentative="1">
      <w:start w:val="1"/>
      <w:numFmt w:val="bullet"/>
      <w:lvlText w:val="o"/>
      <w:lvlJc w:val="left"/>
      <w:pPr>
        <w:tabs>
          <w:tab w:val="num" w:pos="3510"/>
        </w:tabs>
        <w:ind w:left="3510" w:hanging="360"/>
      </w:pPr>
      <w:rPr>
        <w:rFonts w:ascii="Courier New" w:hAnsi="Courier New" w:cs="Courier New" w:hint="default"/>
      </w:rPr>
    </w:lvl>
    <w:lvl w:ilvl="2" w:tplc="040C0005" w:tentative="1">
      <w:start w:val="1"/>
      <w:numFmt w:val="bullet"/>
      <w:lvlText w:val=""/>
      <w:lvlJc w:val="left"/>
      <w:pPr>
        <w:tabs>
          <w:tab w:val="num" w:pos="4230"/>
        </w:tabs>
        <w:ind w:left="4230" w:hanging="360"/>
      </w:pPr>
      <w:rPr>
        <w:rFonts w:ascii="Wingdings" w:hAnsi="Wingdings" w:hint="default"/>
      </w:rPr>
    </w:lvl>
    <w:lvl w:ilvl="3" w:tplc="040C0001" w:tentative="1">
      <w:start w:val="1"/>
      <w:numFmt w:val="bullet"/>
      <w:lvlText w:val=""/>
      <w:lvlJc w:val="left"/>
      <w:pPr>
        <w:tabs>
          <w:tab w:val="num" w:pos="4950"/>
        </w:tabs>
        <w:ind w:left="4950" w:hanging="360"/>
      </w:pPr>
      <w:rPr>
        <w:rFonts w:ascii="Symbol" w:hAnsi="Symbol" w:hint="default"/>
      </w:rPr>
    </w:lvl>
    <w:lvl w:ilvl="4" w:tplc="040C0003" w:tentative="1">
      <w:start w:val="1"/>
      <w:numFmt w:val="bullet"/>
      <w:lvlText w:val="o"/>
      <w:lvlJc w:val="left"/>
      <w:pPr>
        <w:tabs>
          <w:tab w:val="num" w:pos="5670"/>
        </w:tabs>
        <w:ind w:left="5670" w:hanging="360"/>
      </w:pPr>
      <w:rPr>
        <w:rFonts w:ascii="Courier New" w:hAnsi="Courier New" w:cs="Courier New" w:hint="default"/>
      </w:rPr>
    </w:lvl>
    <w:lvl w:ilvl="5" w:tplc="040C0005" w:tentative="1">
      <w:start w:val="1"/>
      <w:numFmt w:val="bullet"/>
      <w:lvlText w:val=""/>
      <w:lvlJc w:val="left"/>
      <w:pPr>
        <w:tabs>
          <w:tab w:val="num" w:pos="6390"/>
        </w:tabs>
        <w:ind w:left="6390" w:hanging="360"/>
      </w:pPr>
      <w:rPr>
        <w:rFonts w:ascii="Wingdings" w:hAnsi="Wingdings" w:hint="default"/>
      </w:rPr>
    </w:lvl>
    <w:lvl w:ilvl="6" w:tplc="040C0001" w:tentative="1">
      <w:start w:val="1"/>
      <w:numFmt w:val="bullet"/>
      <w:lvlText w:val=""/>
      <w:lvlJc w:val="left"/>
      <w:pPr>
        <w:tabs>
          <w:tab w:val="num" w:pos="7110"/>
        </w:tabs>
        <w:ind w:left="7110" w:hanging="360"/>
      </w:pPr>
      <w:rPr>
        <w:rFonts w:ascii="Symbol" w:hAnsi="Symbol" w:hint="default"/>
      </w:rPr>
    </w:lvl>
    <w:lvl w:ilvl="7" w:tplc="040C0003" w:tentative="1">
      <w:start w:val="1"/>
      <w:numFmt w:val="bullet"/>
      <w:lvlText w:val="o"/>
      <w:lvlJc w:val="left"/>
      <w:pPr>
        <w:tabs>
          <w:tab w:val="num" w:pos="7830"/>
        </w:tabs>
        <w:ind w:left="7830" w:hanging="360"/>
      </w:pPr>
      <w:rPr>
        <w:rFonts w:ascii="Courier New" w:hAnsi="Courier New" w:cs="Courier New" w:hint="default"/>
      </w:rPr>
    </w:lvl>
    <w:lvl w:ilvl="8" w:tplc="040C0005" w:tentative="1">
      <w:start w:val="1"/>
      <w:numFmt w:val="bullet"/>
      <w:lvlText w:val=""/>
      <w:lvlJc w:val="left"/>
      <w:pPr>
        <w:tabs>
          <w:tab w:val="num" w:pos="8550"/>
        </w:tabs>
        <w:ind w:left="8550" w:hanging="360"/>
      </w:pPr>
      <w:rPr>
        <w:rFonts w:ascii="Wingdings" w:hAnsi="Wingdings" w:hint="default"/>
      </w:rPr>
    </w:lvl>
  </w:abstractNum>
  <w:abstractNum w:abstractNumId="10" w15:restartNumberingAfterBreak="0">
    <w:nsid w:val="202844A6"/>
    <w:multiLevelType w:val="multilevel"/>
    <w:tmpl w:val="42004784"/>
    <w:lvl w:ilvl="0">
      <w:start w:val="6"/>
      <w:numFmt w:val="decimal"/>
      <w:lvlText w:val="%1"/>
      <w:lvlJc w:val="left"/>
      <w:pPr>
        <w:ind w:left="525" w:hanging="525"/>
      </w:pPr>
      <w:rPr>
        <w:rFonts w:hint="default"/>
      </w:rPr>
    </w:lvl>
    <w:lvl w:ilvl="1">
      <w:start w:val="4"/>
      <w:numFmt w:val="decimal"/>
      <w:lvlText w:val="%1.%2"/>
      <w:lvlJc w:val="left"/>
      <w:pPr>
        <w:ind w:left="1200" w:hanging="525"/>
      </w:pPr>
      <w:rPr>
        <w:rFonts w:hint="default"/>
      </w:rPr>
    </w:lvl>
    <w:lvl w:ilvl="2">
      <w:start w:val="2"/>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11" w15:restartNumberingAfterBreak="0">
    <w:nsid w:val="220557AE"/>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BC68D4"/>
    <w:multiLevelType w:val="multilevel"/>
    <w:tmpl w:val="56F69C7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3150"/>
        </w:tabs>
        <w:ind w:left="315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3C53864"/>
    <w:multiLevelType w:val="multilevel"/>
    <w:tmpl w:val="B8F872A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4."/>
      <w:lvlJc w:val="left"/>
      <w:pPr>
        <w:tabs>
          <w:tab w:val="num" w:pos="2430"/>
        </w:tabs>
        <w:ind w:left="243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9B91AE5"/>
    <w:multiLevelType w:val="multilevel"/>
    <w:tmpl w:val="56F69C7A"/>
    <w:lvl w:ilvl="0">
      <w:start w:val="1"/>
      <w:numFmt w:val="decimal"/>
      <w:lvlText w:val="%1.0"/>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5" w15:restartNumberingAfterBreak="0">
    <w:nsid w:val="3E04616B"/>
    <w:multiLevelType w:val="multilevel"/>
    <w:tmpl w:val="B822617E"/>
    <w:lvl w:ilvl="0">
      <w:start w:val="10"/>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5300BFB"/>
    <w:multiLevelType w:val="hybridMultilevel"/>
    <w:tmpl w:val="CA8E32FC"/>
    <w:lvl w:ilvl="0" w:tplc="F47CC610">
      <w:start w:val="1"/>
      <w:numFmt w:val="bullet"/>
      <w:suff w:val="space"/>
      <w:lvlText w:val=""/>
      <w:lvlJc w:val="left"/>
      <w:pPr>
        <w:ind w:left="170" w:hanging="17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7D45515"/>
    <w:multiLevelType w:val="multilevel"/>
    <w:tmpl w:val="1FCAD2B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4."/>
      <w:lvlJc w:val="left"/>
      <w:pPr>
        <w:tabs>
          <w:tab w:val="num" w:pos="2430"/>
        </w:tabs>
        <w:ind w:left="243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80C32AF"/>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936A21"/>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9F21E5D"/>
    <w:multiLevelType w:val="hybridMultilevel"/>
    <w:tmpl w:val="24263E10"/>
    <w:lvl w:ilvl="0" w:tplc="3AC04112">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D710FC"/>
    <w:multiLevelType w:val="multilevel"/>
    <w:tmpl w:val="1FCAD2B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4."/>
      <w:lvlJc w:val="left"/>
      <w:pPr>
        <w:tabs>
          <w:tab w:val="num" w:pos="2430"/>
        </w:tabs>
        <w:ind w:left="243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4A75FFA"/>
    <w:multiLevelType w:val="multilevel"/>
    <w:tmpl w:val="EF1833AC"/>
    <w:lvl w:ilvl="0">
      <w:start w:val="1"/>
      <w:numFmt w:val="decimal"/>
      <w:lvlText w:val="%1.0"/>
      <w:lvlJc w:val="left"/>
      <w:pPr>
        <w:tabs>
          <w:tab w:val="num" w:pos="720"/>
        </w:tabs>
        <w:ind w:left="720" w:hanging="720"/>
      </w:pPr>
      <w:rPr>
        <w:rFonts w:hint="default"/>
      </w:rPr>
    </w:lvl>
    <w:lvl w:ilvl="1">
      <w:start w:val="1"/>
      <w:numFmt w:val="decimal"/>
      <w:lvlText w:val="9.%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6177632"/>
    <w:multiLevelType w:val="multilevel"/>
    <w:tmpl w:val="42004784"/>
    <w:lvl w:ilvl="0">
      <w:start w:val="6"/>
      <w:numFmt w:val="decimal"/>
      <w:lvlText w:val="%1"/>
      <w:lvlJc w:val="left"/>
      <w:pPr>
        <w:ind w:left="525" w:hanging="525"/>
      </w:pPr>
      <w:rPr>
        <w:rFonts w:hint="default"/>
      </w:rPr>
    </w:lvl>
    <w:lvl w:ilvl="1">
      <w:start w:val="4"/>
      <w:numFmt w:val="decimal"/>
      <w:lvlText w:val="%1.%2"/>
      <w:lvlJc w:val="left"/>
      <w:pPr>
        <w:ind w:left="1200" w:hanging="525"/>
      </w:pPr>
      <w:rPr>
        <w:rFonts w:hint="default"/>
      </w:rPr>
    </w:lvl>
    <w:lvl w:ilvl="2">
      <w:start w:val="2"/>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24" w15:restartNumberingAfterBreak="0">
    <w:nsid w:val="580E5FDC"/>
    <w:multiLevelType w:val="hybridMultilevel"/>
    <w:tmpl w:val="6834F744"/>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2F6753"/>
    <w:multiLevelType w:val="multilevel"/>
    <w:tmpl w:val="56F69C7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3150"/>
        </w:tabs>
        <w:ind w:left="315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44F67B6"/>
    <w:multiLevelType w:val="hybridMultilevel"/>
    <w:tmpl w:val="D7BA9ACE"/>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C5C4F"/>
    <w:multiLevelType w:val="multilevel"/>
    <w:tmpl w:val="FBBC0CB2"/>
    <w:lvl w:ilvl="0">
      <w:start w:val="6"/>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AB56C7E"/>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32764B"/>
    <w:multiLevelType w:val="multilevel"/>
    <w:tmpl w:val="1FCAD2B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4."/>
      <w:lvlJc w:val="left"/>
      <w:pPr>
        <w:tabs>
          <w:tab w:val="num" w:pos="2430"/>
        </w:tabs>
        <w:ind w:left="243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20B734A"/>
    <w:multiLevelType w:val="hybridMultilevel"/>
    <w:tmpl w:val="00C00DBA"/>
    <w:lvl w:ilvl="0" w:tplc="AC62BB94">
      <w:start w:val="1"/>
      <w:numFmt w:val="bullet"/>
      <w:suff w:val="space"/>
      <w:lvlText w:val=""/>
      <w:lvlJc w:val="left"/>
      <w:pPr>
        <w:ind w:left="170" w:hanging="17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28223CA"/>
    <w:multiLevelType w:val="multilevel"/>
    <w:tmpl w:val="7FA2019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bullet"/>
      <w:lvlText w:val=""/>
      <w:lvlJc w:val="left"/>
      <w:pPr>
        <w:tabs>
          <w:tab w:val="num" w:pos="3150"/>
        </w:tabs>
        <w:ind w:left="3150" w:hanging="108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BF64EFF"/>
    <w:multiLevelType w:val="multilevel"/>
    <w:tmpl w:val="56F69C7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3150"/>
        </w:tabs>
        <w:ind w:left="315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C942004"/>
    <w:multiLevelType w:val="hybridMultilevel"/>
    <w:tmpl w:val="FFCE068E"/>
    <w:lvl w:ilvl="0" w:tplc="821A7D32">
      <w:start w:val="1"/>
      <w:numFmt w:val="bullet"/>
      <w:lvlText w:val=""/>
      <w:lvlJc w:val="left"/>
      <w:pPr>
        <w:tabs>
          <w:tab w:val="num" w:pos="2160"/>
        </w:tabs>
        <w:ind w:left="2160" w:hanging="360"/>
      </w:pPr>
      <w:rPr>
        <w:rFonts w:ascii="Symbol" w:eastAsia="Times New Roman" w:hAnsi="Symbol" w:cs="Aria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D2558D1"/>
    <w:multiLevelType w:val="hybridMultilevel"/>
    <w:tmpl w:val="4210B2F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FBF233D"/>
    <w:multiLevelType w:val="multilevel"/>
    <w:tmpl w:val="1FCAD2B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4."/>
      <w:lvlJc w:val="left"/>
      <w:pPr>
        <w:tabs>
          <w:tab w:val="num" w:pos="2430"/>
        </w:tabs>
        <w:ind w:left="243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5"/>
  </w:num>
  <w:num w:numId="2">
    <w:abstractNumId w:val="18"/>
  </w:num>
  <w:num w:numId="3">
    <w:abstractNumId w:val="11"/>
  </w:num>
  <w:num w:numId="4">
    <w:abstractNumId w:val="2"/>
  </w:num>
  <w:num w:numId="5">
    <w:abstractNumId w:val="28"/>
  </w:num>
  <w:num w:numId="6">
    <w:abstractNumId w:val="19"/>
  </w:num>
  <w:num w:numId="7">
    <w:abstractNumId w:val="26"/>
  </w:num>
  <w:num w:numId="8">
    <w:abstractNumId w:val="1"/>
  </w:num>
  <w:num w:numId="9">
    <w:abstractNumId w:val="24"/>
  </w:num>
  <w:num w:numId="10">
    <w:abstractNumId w:val="13"/>
  </w:num>
  <w:num w:numId="11">
    <w:abstractNumId w:val="35"/>
  </w:num>
  <w:num w:numId="12">
    <w:abstractNumId w:val="9"/>
  </w:num>
  <w:num w:numId="13">
    <w:abstractNumId w:val="5"/>
  </w:num>
  <w:num w:numId="14">
    <w:abstractNumId w:val="33"/>
  </w:num>
  <w:num w:numId="15">
    <w:abstractNumId w:val="8"/>
  </w:num>
  <w:num w:numId="16">
    <w:abstractNumId w:val="21"/>
  </w:num>
  <w:num w:numId="17">
    <w:abstractNumId w:val="17"/>
  </w:num>
  <w:num w:numId="18">
    <w:abstractNumId w:val="29"/>
  </w:num>
  <w:num w:numId="19">
    <w:abstractNumId w:val="20"/>
  </w:num>
  <w:num w:numId="20">
    <w:abstractNumId w:val="30"/>
  </w:num>
  <w:num w:numId="21">
    <w:abstractNumId w:val="15"/>
  </w:num>
  <w:num w:numId="22">
    <w:abstractNumId w:val="16"/>
  </w:num>
  <w:num w:numId="23">
    <w:abstractNumId w:val="3"/>
  </w:num>
  <w:num w:numId="24">
    <w:abstractNumId w:val="22"/>
  </w:num>
  <w:num w:numId="25">
    <w:abstractNumId w:val="7"/>
  </w:num>
  <w:num w:numId="26">
    <w:abstractNumId w:val="34"/>
  </w:num>
  <w:num w:numId="27">
    <w:abstractNumId w:val="6"/>
  </w:num>
  <w:num w:numId="28">
    <w:abstractNumId w:val="14"/>
  </w:num>
  <w:num w:numId="29">
    <w:abstractNumId w:val="32"/>
  </w:num>
  <w:num w:numId="30">
    <w:abstractNumId w:val="23"/>
  </w:num>
  <w:num w:numId="31">
    <w:abstractNumId w:val="31"/>
  </w:num>
  <w:num w:numId="32">
    <w:abstractNumId w:val="4"/>
  </w:num>
  <w:num w:numId="33">
    <w:abstractNumId w:val="0"/>
  </w:num>
  <w:num w:numId="34">
    <w:abstractNumId w:val="10"/>
  </w:num>
  <w:num w:numId="35">
    <w:abstractNumId w:val="2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70"/>
    <w:rsid w:val="00015ABE"/>
    <w:rsid w:val="00026448"/>
    <w:rsid w:val="00075681"/>
    <w:rsid w:val="00093CEA"/>
    <w:rsid w:val="00095B66"/>
    <w:rsid w:val="000C2CAB"/>
    <w:rsid w:val="00105938"/>
    <w:rsid w:val="001203A1"/>
    <w:rsid w:val="001623C1"/>
    <w:rsid w:val="00173BD9"/>
    <w:rsid w:val="001C2EED"/>
    <w:rsid w:val="001D0A49"/>
    <w:rsid w:val="001D6F3B"/>
    <w:rsid w:val="00236267"/>
    <w:rsid w:val="00236849"/>
    <w:rsid w:val="00247050"/>
    <w:rsid w:val="002A3FB4"/>
    <w:rsid w:val="002D2287"/>
    <w:rsid w:val="00306B50"/>
    <w:rsid w:val="003273A2"/>
    <w:rsid w:val="00373CEB"/>
    <w:rsid w:val="003C1146"/>
    <w:rsid w:val="00422E1E"/>
    <w:rsid w:val="00430871"/>
    <w:rsid w:val="00457BF5"/>
    <w:rsid w:val="00465E42"/>
    <w:rsid w:val="00481C76"/>
    <w:rsid w:val="005135DD"/>
    <w:rsid w:val="005A1271"/>
    <w:rsid w:val="005B41AC"/>
    <w:rsid w:val="005D0668"/>
    <w:rsid w:val="005D39DC"/>
    <w:rsid w:val="005D7D5F"/>
    <w:rsid w:val="005E6A8A"/>
    <w:rsid w:val="00603FBD"/>
    <w:rsid w:val="00605ACD"/>
    <w:rsid w:val="006B228D"/>
    <w:rsid w:val="006D27AF"/>
    <w:rsid w:val="006F6B34"/>
    <w:rsid w:val="00701869"/>
    <w:rsid w:val="00777E00"/>
    <w:rsid w:val="007C5606"/>
    <w:rsid w:val="007C5EE2"/>
    <w:rsid w:val="007D5632"/>
    <w:rsid w:val="007E09B4"/>
    <w:rsid w:val="00802783"/>
    <w:rsid w:val="0086402E"/>
    <w:rsid w:val="00864770"/>
    <w:rsid w:val="008D0A3A"/>
    <w:rsid w:val="008E52DE"/>
    <w:rsid w:val="008E7744"/>
    <w:rsid w:val="008E7AD5"/>
    <w:rsid w:val="0090086C"/>
    <w:rsid w:val="009252E1"/>
    <w:rsid w:val="0098723E"/>
    <w:rsid w:val="00995821"/>
    <w:rsid w:val="009E42FD"/>
    <w:rsid w:val="00A11117"/>
    <w:rsid w:val="00A336EA"/>
    <w:rsid w:val="00A371A3"/>
    <w:rsid w:val="00A66673"/>
    <w:rsid w:val="00A82717"/>
    <w:rsid w:val="00A8556C"/>
    <w:rsid w:val="00A91F2A"/>
    <w:rsid w:val="00A9292F"/>
    <w:rsid w:val="00AA3754"/>
    <w:rsid w:val="00AE230A"/>
    <w:rsid w:val="00B428D3"/>
    <w:rsid w:val="00B44BA0"/>
    <w:rsid w:val="00B630A2"/>
    <w:rsid w:val="00BD0FBC"/>
    <w:rsid w:val="00C07203"/>
    <w:rsid w:val="00C129E1"/>
    <w:rsid w:val="00C273D4"/>
    <w:rsid w:val="00C3326D"/>
    <w:rsid w:val="00C40657"/>
    <w:rsid w:val="00CF7644"/>
    <w:rsid w:val="00D33B86"/>
    <w:rsid w:val="00D76F7C"/>
    <w:rsid w:val="00D96377"/>
    <w:rsid w:val="00E219C8"/>
    <w:rsid w:val="00E27567"/>
    <w:rsid w:val="00E36E60"/>
    <w:rsid w:val="00E62D5B"/>
    <w:rsid w:val="00E66C6B"/>
    <w:rsid w:val="00E95E08"/>
    <w:rsid w:val="00EC29C4"/>
    <w:rsid w:val="00F1404B"/>
    <w:rsid w:val="00F16F86"/>
    <w:rsid w:val="00F219EA"/>
    <w:rsid w:val="00F62264"/>
    <w:rsid w:val="00F70B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C869D94-504A-49A2-A399-4FC8B13B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b/>
      <w:sz w:val="24"/>
    </w:rPr>
  </w:style>
  <w:style w:type="paragraph" w:styleId="BodyTextIndent">
    <w:name w:val="Body Text Indent"/>
    <w:basedOn w:val="Normal"/>
    <w:pPr>
      <w:ind w:left="1440"/>
    </w:pPr>
    <w:rPr>
      <w:rFonts w:ascii="Arial" w:hAnsi="Arial"/>
      <w:sz w:val="24"/>
    </w:rPr>
  </w:style>
  <w:style w:type="character" w:styleId="PageNumber">
    <w:name w:val="page number"/>
    <w:basedOn w:val="DefaultParagraphFont"/>
  </w:style>
  <w:style w:type="character" w:styleId="CommentReference">
    <w:name w:val="annotation reference"/>
    <w:semiHidden/>
    <w:rsid w:val="00A336EA"/>
    <w:rPr>
      <w:sz w:val="16"/>
      <w:szCs w:val="16"/>
    </w:rPr>
  </w:style>
  <w:style w:type="paragraph" w:styleId="CommentText">
    <w:name w:val="annotation text"/>
    <w:basedOn w:val="Normal"/>
    <w:semiHidden/>
    <w:rsid w:val="00A336EA"/>
  </w:style>
  <w:style w:type="paragraph" w:styleId="CommentSubject">
    <w:name w:val="annotation subject"/>
    <w:basedOn w:val="CommentText"/>
    <w:next w:val="CommentText"/>
    <w:semiHidden/>
    <w:rsid w:val="00A336EA"/>
    <w:rPr>
      <w:b/>
      <w:bCs/>
    </w:rPr>
  </w:style>
  <w:style w:type="paragraph" w:styleId="BalloonText">
    <w:name w:val="Balloon Text"/>
    <w:basedOn w:val="Normal"/>
    <w:semiHidden/>
    <w:rsid w:val="00A336EA"/>
    <w:rPr>
      <w:rFonts w:ascii="Tahoma" w:hAnsi="Tahoma" w:cs="Tahoma"/>
      <w:sz w:val="16"/>
      <w:szCs w:val="16"/>
    </w:rPr>
  </w:style>
  <w:style w:type="paragraph" w:styleId="ListParagraph">
    <w:name w:val="List Paragraph"/>
    <w:basedOn w:val="Normal"/>
    <w:uiPriority w:val="34"/>
    <w:qFormat/>
    <w:rsid w:val="00F219EA"/>
    <w:pPr>
      <w:ind w:left="708"/>
    </w:pPr>
  </w:style>
  <w:style w:type="character" w:customStyle="1" w:styleId="HeaderChar">
    <w:name w:val="Header Char"/>
    <w:link w:val="Header"/>
    <w:rsid w:val="003C1146"/>
    <w:rPr>
      <w:lang w:val="en-US" w:eastAsia="en-US"/>
    </w:rPr>
  </w:style>
  <w:style w:type="table" w:styleId="TableGrid">
    <w:name w:val="Table Grid"/>
    <w:basedOn w:val="TableNormal"/>
    <w:rsid w:val="005D3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A2D4-FFE8-44D7-9688-9E951118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1702</Words>
  <Characters>9703</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NRT.005 Investigation of Positive Direct Antiglobulin Test (DAT)</vt:lpstr>
      <vt:lpstr>NRT.005 Investigation of Positive Direct Antiglobulin Test (DAT)</vt:lpstr>
    </vt:vector>
  </TitlesOfParts>
  <Company>The Ottawa Hospital</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NRT.005 Investigation of Positive Direct Antiglobulin Test (DAT)</dc:title>
  <dc:subject/>
  <dc:creator>Transfusion Ontario Program Office</dc:creator>
  <cp:keywords/>
  <cp:lastModifiedBy>Nesrallah, Heather</cp:lastModifiedBy>
  <cp:revision>2</cp:revision>
  <cp:lastPrinted>2011-02-03T16:20:00Z</cp:lastPrinted>
  <dcterms:created xsi:type="dcterms:W3CDTF">2020-08-11T12:39:00Z</dcterms:created>
  <dcterms:modified xsi:type="dcterms:W3CDTF">2020-08-11T12:39:00Z</dcterms:modified>
</cp:coreProperties>
</file>