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29A" w:rsidRPr="00BC3F6A" w:rsidRDefault="0068429A">
      <w:pPr>
        <w:rPr>
          <w:rFonts w:ascii="Arial" w:hAnsi="Arial"/>
          <w:sz w:val="24"/>
          <w:lang w:val="fr-CA"/>
        </w:rPr>
      </w:pPr>
      <w:bookmarkStart w:id="0" w:name="_GoBack"/>
      <w:bookmarkEnd w:id="0"/>
    </w:p>
    <w:p w:rsidR="0068429A" w:rsidRPr="00AD1A3A" w:rsidRDefault="0068429A">
      <w:pPr>
        <w:numPr>
          <w:ilvl w:val="0"/>
          <w:numId w:val="1"/>
        </w:numPr>
        <w:rPr>
          <w:rFonts w:ascii="Arial" w:hAnsi="Arial"/>
          <w:b/>
          <w:sz w:val="28"/>
          <w:lang w:val="fr-CA"/>
        </w:rPr>
      </w:pPr>
      <w:r w:rsidRPr="00AD1A3A">
        <w:rPr>
          <w:rFonts w:ascii="Arial" w:hAnsi="Arial"/>
          <w:b/>
          <w:sz w:val="28"/>
          <w:lang w:val="fr-CA"/>
        </w:rPr>
        <w:t>Principe</w:t>
      </w:r>
    </w:p>
    <w:p w:rsidR="0068429A" w:rsidRPr="00AD1A3A" w:rsidRDefault="0068429A">
      <w:pPr>
        <w:rPr>
          <w:rFonts w:ascii="Arial" w:hAnsi="Arial"/>
          <w:sz w:val="24"/>
          <w:lang w:val="fr-CA"/>
        </w:rPr>
      </w:pPr>
    </w:p>
    <w:p w:rsidR="0068429A" w:rsidRPr="00AD1A3A" w:rsidRDefault="0068429A">
      <w:pPr>
        <w:ind w:left="720"/>
        <w:rPr>
          <w:rFonts w:ascii="Arial" w:hAnsi="Arial"/>
          <w:sz w:val="24"/>
          <w:lang w:val="fr-CA"/>
        </w:rPr>
      </w:pPr>
      <w:r w:rsidRPr="00AD1A3A">
        <w:rPr>
          <w:rFonts w:ascii="Arial" w:hAnsi="Arial"/>
          <w:sz w:val="24"/>
          <w:lang w:val="fr-CA"/>
        </w:rPr>
        <w:t>Pour résoudre des problèmes liés à la détermination du facteur Rh.</w:t>
      </w:r>
    </w:p>
    <w:p w:rsidR="0068429A" w:rsidRDefault="0068429A">
      <w:pPr>
        <w:ind w:left="720"/>
        <w:rPr>
          <w:rFonts w:ascii="Arial" w:hAnsi="Arial"/>
          <w:sz w:val="24"/>
          <w:lang w:val="fr-CA"/>
        </w:rPr>
      </w:pPr>
    </w:p>
    <w:p w:rsidR="0068429A" w:rsidRPr="00AD1A3A" w:rsidRDefault="0068429A">
      <w:pPr>
        <w:numPr>
          <w:ilvl w:val="0"/>
          <w:numId w:val="1"/>
        </w:numPr>
        <w:rPr>
          <w:rFonts w:ascii="Arial" w:hAnsi="Arial"/>
          <w:b/>
          <w:sz w:val="28"/>
          <w:lang w:val="fr-CA"/>
        </w:rPr>
      </w:pPr>
      <w:r w:rsidRPr="00AD1A3A">
        <w:rPr>
          <w:rFonts w:ascii="Arial" w:hAnsi="Arial"/>
          <w:b/>
          <w:sz w:val="28"/>
          <w:lang w:val="fr-CA"/>
        </w:rPr>
        <w:t>Portée et politiques connexes</w:t>
      </w:r>
    </w:p>
    <w:p w:rsidR="0068429A" w:rsidRPr="00AD1A3A" w:rsidRDefault="0068429A">
      <w:pPr>
        <w:rPr>
          <w:rFonts w:ascii="Arial" w:hAnsi="Arial"/>
          <w:sz w:val="24"/>
          <w:lang w:val="fr-CA"/>
        </w:rPr>
      </w:pPr>
    </w:p>
    <w:p w:rsidR="0068429A" w:rsidRPr="00AD1A3A" w:rsidRDefault="0068429A">
      <w:pPr>
        <w:numPr>
          <w:ilvl w:val="1"/>
          <w:numId w:val="1"/>
        </w:numPr>
        <w:rPr>
          <w:rFonts w:ascii="Arial" w:hAnsi="Arial"/>
          <w:sz w:val="24"/>
          <w:lang w:val="fr-CA"/>
        </w:rPr>
      </w:pPr>
      <w:r w:rsidRPr="00AD1A3A">
        <w:rPr>
          <w:rFonts w:ascii="Arial" w:hAnsi="Arial"/>
          <w:sz w:val="24"/>
          <w:lang w:val="fr-CA"/>
        </w:rPr>
        <w:t>Il faut investiguer les résultats de la détermination du facteur Rh :</w:t>
      </w:r>
    </w:p>
    <w:p w:rsidR="0068429A" w:rsidRPr="00AD1A3A" w:rsidRDefault="00AD1A3A">
      <w:pPr>
        <w:numPr>
          <w:ilvl w:val="0"/>
          <w:numId w:val="2"/>
        </w:numPr>
        <w:tabs>
          <w:tab w:val="clear" w:pos="360"/>
          <w:tab w:val="num" w:pos="1800"/>
        </w:tabs>
        <w:ind w:left="1800"/>
        <w:rPr>
          <w:rFonts w:ascii="Arial" w:hAnsi="Arial"/>
          <w:sz w:val="24"/>
          <w:lang w:val="fr-CA"/>
        </w:rPr>
      </w:pPr>
      <w:r w:rsidRPr="00AD1A3A">
        <w:rPr>
          <w:rFonts w:ascii="Arial" w:hAnsi="Arial"/>
          <w:sz w:val="24"/>
          <w:lang w:val="fr-CA"/>
        </w:rPr>
        <w:t>lorsque l’épreuve de contrôle du facteur Rh a un résultat positif</w:t>
      </w:r>
      <w:r w:rsidR="00C14742">
        <w:rPr>
          <w:rFonts w:ascii="Arial" w:hAnsi="Arial"/>
          <w:sz w:val="24"/>
          <w:lang w:val="fr-CA"/>
        </w:rPr>
        <w:t>.</w:t>
      </w:r>
    </w:p>
    <w:p w:rsidR="0068429A" w:rsidRPr="00AD1A3A" w:rsidRDefault="00AD1A3A" w:rsidP="00AD1A3A">
      <w:pPr>
        <w:numPr>
          <w:ilvl w:val="0"/>
          <w:numId w:val="2"/>
        </w:numPr>
        <w:tabs>
          <w:tab w:val="clear" w:pos="360"/>
          <w:tab w:val="num" w:pos="1800"/>
        </w:tabs>
        <w:ind w:left="1800"/>
        <w:rPr>
          <w:rFonts w:ascii="Arial" w:hAnsi="Arial"/>
          <w:sz w:val="24"/>
          <w:lang w:val="fr-CA"/>
        </w:rPr>
      </w:pPr>
      <w:r w:rsidRPr="00AD1A3A">
        <w:rPr>
          <w:rFonts w:ascii="Arial" w:hAnsi="Arial"/>
          <w:sz w:val="24"/>
          <w:lang w:val="fr-CA"/>
        </w:rPr>
        <w:t>lorsque les résultats sont faibles ou positifs à +1 avec un réactif an</w:t>
      </w:r>
      <w:r w:rsidR="0068429A" w:rsidRPr="00AD1A3A">
        <w:rPr>
          <w:rFonts w:ascii="Arial" w:hAnsi="Arial"/>
          <w:sz w:val="24"/>
          <w:lang w:val="fr-CA"/>
        </w:rPr>
        <w:t>ti-D.</w:t>
      </w:r>
      <w:r>
        <w:rPr>
          <w:rFonts w:ascii="Arial" w:hAnsi="Arial"/>
          <w:sz w:val="24"/>
          <w:lang w:val="fr-CA"/>
        </w:rPr>
        <w:t xml:space="preserve"> </w:t>
      </w:r>
      <w:r w:rsidR="0068429A" w:rsidRPr="00AD1A3A">
        <w:rPr>
          <w:rFonts w:ascii="Arial" w:hAnsi="Arial"/>
          <w:sz w:val="24"/>
          <w:lang w:val="fr-CA"/>
        </w:rPr>
        <w:t xml:space="preserve">Effectuer les lectures microscopiques seulement en cas de soupçon d'agglutination </w:t>
      </w:r>
      <w:r w:rsidR="00C14742">
        <w:rPr>
          <w:rFonts w:ascii="Arial" w:hAnsi="Arial"/>
          <w:sz w:val="24"/>
          <w:lang w:val="fr-CA"/>
        </w:rPr>
        <w:t>de type</w:t>
      </w:r>
      <w:r w:rsidR="0068429A" w:rsidRPr="00AD1A3A">
        <w:rPr>
          <w:rFonts w:ascii="Arial" w:hAnsi="Arial"/>
          <w:sz w:val="24"/>
          <w:lang w:val="fr-CA"/>
        </w:rPr>
        <w:t xml:space="preserve"> champ mixte.</w:t>
      </w:r>
    </w:p>
    <w:p w:rsidR="0068429A" w:rsidRPr="00AD1A3A" w:rsidRDefault="00AD1A3A">
      <w:pPr>
        <w:numPr>
          <w:ilvl w:val="0"/>
          <w:numId w:val="3"/>
        </w:numPr>
        <w:tabs>
          <w:tab w:val="clear" w:pos="360"/>
          <w:tab w:val="num" w:pos="1800"/>
        </w:tabs>
        <w:ind w:left="1800"/>
        <w:rPr>
          <w:rFonts w:ascii="Arial" w:hAnsi="Arial"/>
          <w:sz w:val="24"/>
          <w:lang w:val="fr-CA"/>
        </w:rPr>
      </w:pPr>
      <w:r w:rsidRPr="00AD1A3A">
        <w:rPr>
          <w:rFonts w:ascii="Arial" w:hAnsi="Arial"/>
          <w:sz w:val="24"/>
          <w:lang w:val="fr-CA"/>
        </w:rPr>
        <w:t>l</w:t>
      </w:r>
      <w:r w:rsidR="0068429A" w:rsidRPr="00AD1A3A">
        <w:rPr>
          <w:rFonts w:ascii="Arial" w:hAnsi="Arial"/>
          <w:sz w:val="24"/>
          <w:lang w:val="fr-CA"/>
        </w:rPr>
        <w:t>orsqu'il y a des écarts de détermination du type Rh entre les résultats actuels et précédents.</w:t>
      </w:r>
    </w:p>
    <w:p w:rsidR="0068429A" w:rsidRPr="00AD1A3A" w:rsidRDefault="0068429A">
      <w:pPr>
        <w:ind w:left="1440"/>
        <w:rPr>
          <w:rFonts w:ascii="Arial" w:hAnsi="Arial"/>
          <w:sz w:val="24"/>
          <w:lang w:val="fr-CA"/>
        </w:rPr>
      </w:pPr>
    </w:p>
    <w:p w:rsidR="0068429A" w:rsidRPr="00AD1A3A" w:rsidRDefault="0068429A">
      <w:pPr>
        <w:numPr>
          <w:ilvl w:val="1"/>
          <w:numId w:val="1"/>
        </w:numPr>
        <w:rPr>
          <w:rFonts w:ascii="Arial" w:hAnsi="Arial"/>
          <w:sz w:val="24"/>
          <w:lang w:val="fr-CA"/>
        </w:rPr>
      </w:pPr>
      <w:r w:rsidRPr="00AD1A3A">
        <w:rPr>
          <w:rFonts w:ascii="Arial" w:hAnsi="Arial"/>
          <w:sz w:val="24"/>
          <w:lang w:val="fr-CA"/>
        </w:rPr>
        <w:t>Il faut revoir les dossiers de transfusion antérieurs</w:t>
      </w:r>
      <w:r w:rsidR="00AD1A3A" w:rsidRPr="00AD1A3A">
        <w:rPr>
          <w:rFonts w:ascii="Arial" w:hAnsi="Arial"/>
          <w:sz w:val="24"/>
          <w:lang w:val="fr-CA"/>
        </w:rPr>
        <w:t xml:space="preserve"> et comparer les résultats </w:t>
      </w:r>
      <w:r w:rsidR="00E0506D">
        <w:rPr>
          <w:rFonts w:ascii="Arial" w:hAnsi="Arial"/>
          <w:sz w:val="24"/>
          <w:lang w:val="fr-CA"/>
        </w:rPr>
        <w:t>antérieurs</w:t>
      </w:r>
      <w:r w:rsidR="00C14742">
        <w:rPr>
          <w:rFonts w:ascii="Arial" w:hAnsi="Arial"/>
          <w:sz w:val="24"/>
          <w:lang w:val="fr-CA"/>
        </w:rPr>
        <w:t xml:space="preserve"> </w:t>
      </w:r>
      <w:r w:rsidR="00AD1A3A" w:rsidRPr="00AD1A3A">
        <w:rPr>
          <w:rFonts w:ascii="Arial" w:hAnsi="Arial"/>
          <w:sz w:val="24"/>
          <w:lang w:val="fr-CA"/>
        </w:rPr>
        <w:t>aux résultats courants</w:t>
      </w:r>
      <w:r w:rsidR="00990EB9">
        <w:rPr>
          <w:rFonts w:ascii="Arial" w:hAnsi="Arial"/>
          <w:sz w:val="24"/>
          <w:lang w:val="fr-CA"/>
        </w:rPr>
        <w:t xml:space="preserve"> pour déterminer s’il y a des divergences</w:t>
      </w:r>
      <w:r w:rsidR="00AD1A3A" w:rsidRPr="00DD2DD7">
        <w:rPr>
          <w:rFonts w:ascii="Arial" w:hAnsi="Arial"/>
          <w:sz w:val="24"/>
          <w:lang w:val="fr-CA"/>
        </w:rPr>
        <w:t>.</w:t>
      </w:r>
      <w:r w:rsidRPr="00DD2DD7">
        <w:rPr>
          <w:rFonts w:ascii="Arial" w:hAnsi="Arial"/>
          <w:sz w:val="24"/>
          <w:vertAlign w:val="superscript"/>
          <w:lang w:val="fr-CA"/>
        </w:rPr>
        <w:t xml:space="preserve"> </w:t>
      </w:r>
      <w:r w:rsidR="00990EB9">
        <w:rPr>
          <w:rFonts w:ascii="Arial" w:hAnsi="Arial"/>
          <w:sz w:val="24"/>
          <w:lang w:val="fr-CA"/>
        </w:rPr>
        <w:t>Toute divergence doit être résolue avant de produire un rapport</w:t>
      </w:r>
      <w:r w:rsidR="00990EB9" w:rsidRPr="00990EB9">
        <w:rPr>
          <w:rFonts w:ascii="Arial" w:hAnsi="Arial"/>
          <w:sz w:val="24"/>
          <w:vertAlign w:val="superscript"/>
          <w:lang w:val="fr-CA"/>
        </w:rPr>
        <w:t>9.1</w:t>
      </w:r>
      <w:r w:rsidR="00990EB9">
        <w:rPr>
          <w:rFonts w:ascii="Arial" w:hAnsi="Arial"/>
          <w:sz w:val="24"/>
          <w:lang w:val="fr-CA"/>
        </w:rPr>
        <w:t>.</w:t>
      </w:r>
    </w:p>
    <w:p w:rsidR="0068429A" w:rsidRPr="00AD1A3A" w:rsidRDefault="0068429A">
      <w:pPr>
        <w:ind w:left="720"/>
        <w:rPr>
          <w:rFonts w:ascii="Arial" w:hAnsi="Arial"/>
          <w:sz w:val="24"/>
          <w:lang w:val="fr-CA"/>
        </w:rPr>
      </w:pPr>
    </w:p>
    <w:p w:rsidR="0068429A" w:rsidRPr="00AD1A3A" w:rsidRDefault="0068429A">
      <w:pPr>
        <w:numPr>
          <w:ilvl w:val="1"/>
          <w:numId w:val="1"/>
        </w:numPr>
        <w:rPr>
          <w:rFonts w:ascii="Arial" w:hAnsi="Arial"/>
          <w:sz w:val="24"/>
          <w:lang w:val="fr-CA"/>
        </w:rPr>
      </w:pPr>
      <w:r w:rsidRPr="00AD1A3A">
        <w:rPr>
          <w:rFonts w:ascii="Arial" w:hAnsi="Arial"/>
          <w:sz w:val="24"/>
          <w:lang w:val="fr-CA"/>
        </w:rPr>
        <w:t xml:space="preserve">Tous les réactifs doivent être utilisés et vérifiés conformément aux </w:t>
      </w:r>
      <w:r w:rsidR="009D4308">
        <w:rPr>
          <w:rFonts w:ascii="Arial" w:hAnsi="Arial"/>
          <w:sz w:val="24"/>
          <w:lang w:val="fr-CA"/>
        </w:rPr>
        <w:t xml:space="preserve">directives écrites </w:t>
      </w:r>
      <w:r w:rsidRPr="00AD1A3A">
        <w:rPr>
          <w:rFonts w:ascii="Arial" w:hAnsi="Arial"/>
          <w:sz w:val="24"/>
          <w:lang w:val="fr-CA"/>
        </w:rPr>
        <w:t>du fournisseur</w:t>
      </w:r>
      <w:r w:rsidRPr="00AD1A3A">
        <w:rPr>
          <w:rFonts w:ascii="Arial" w:hAnsi="Arial"/>
          <w:sz w:val="24"/>
          <w:vertAlign w:val="superscript"/>
          <w:lang w:val="fr-CA"/>
        </w:rPr>
        <w:t>9.1</w:t>
      </w:r>
      <w:r w:rsidRPr="00AD1A3A">
        <w:rPr>
          <w:rFonts w:ascii="Arial" w:hAnsi="Arial"/>
          <w:sz w:val="24"/>
          <w:lang w:val="fr-CA"/>
        </w:rPr>
        <w:t>.</w:t>
      </w:r>
    </w:p>
    <w:p w:rsidR="0068429A" w:rsidRPr="00AD1A3A" w:rsidRDefault="0068429A">
      <w:pPr>
        <w:ind w:left="720"/>
        <w:rPr>
          <w:rFonts w:ascii="Arial" w:hAnsi="Arial"/>
          <w:sz w:val="24"/>
          <w:lang w:val="fr-CA"/>
        </w:rPr>
      </w:pPr>
    </w:p>
    <w:p w:rsidR="0068429A" w:rsidRPr="00AD1A3A" w:rsidRDefault="0068429A">
      <w:pPr>
        <w:numPr>
          <w:ilvl w:val="1"/>
          <w:numId w:val="1"/>
        </w:numPr>
        <w:rPr>
          <w:rFonts w:ascii="Arial" w:hAnsi="Arial"/>
          <w:sz w:val="24"/>
          <w:lang w:val="fr-CA"/>
        </w:rPr>
      </w:pPr>
      <w:r w:rsidRPr="00AD1A3A">
        <w:rPr>
          <w:rFonts w:ascii="Arial" w:hAnsi="Arial"/>
          <w:sz w:val="24"/>
          <w:lang w:val="fr-CA"/>
        </w:rPr>
        <w:t>Si la détermination du facteur Rh occasionne un problème et qu'il faut procéder à une transfusion sans délai, il faut mettre en circulation des produits sanguins Rh négatif pour les femmes</w:t>
      </w:r>
      <w:r w:rsidR="009D4308">
        <w:rPr>
          <w:rFonts w:ascii="Arial" w:hAnsi="Arial"/>
          <w:sz w:val="24"/>
          <w:lang w:val="fr-CA"/>
        </w:rPr>
        <w:t xml:space="preserve"> en âge d’avoir des enfants</w:t>
      </w:r>
      <w:r w:rsidRPr="00AD1A3A">
        <w:rPr>
          <w:rFonts w:ascii="Arial" w:hAnsi="Arial"/>
          <w:sz w:val="24"/>
          <w:lang w:val="fr-CA"/>
        </w:rPr>
        <w:t xml:space="preserve"> et les enfants jusqu'à la résolution du problème. </w:t>
      </w:r>
      <w:r w:rsidR="00AD1A3A" w:rsidRPr="00AD1A3A">
        <w:rPr>
          <w:rFonts w:ascii="Arial" w:hAnsi="Arial"/>
          <w:sz w:val="24"/>
          <w:lang w:val="fr-CA"/>
        </w:rPr>
        <w:t>Les autres patients, en l’absence d’anti-D connu, peuvent recevoir du sang Rh positif dans les situations d’urgence où il y a une pénurie de sang</w:t>
      </w:r>
      <w:r w:rsidRPr="00AD1A3A">
        <w:rPr>
          <w:rFonts w:ascii="Arial" w:hAnsi="Arial"/>
          <w:sz w:val="24"/>
          <w:lang w:val="fr-CA"/>
        </w:rPr>
        <w:t>.</w:t>
      </w:r>
    </w:p>
    <w:p w:rsidR="0068429A" w:rsidRPr="00071566" w:rsidRDefault="0068429A">
      <w:pPr>
        <w:ind w:left="720"/>
        <w:rPr>
          <w:rFonts w:ascii="Arial" w:hAnsi="Arial"/>
          <w:sz w:val="22"/>
          <w:lang w:val="fr-CA"/>
        </w:rPr>
      </w:pPr>
    </w:p>
    <w:p w:rsidR="0068429A" w:rsidRPr="00AD1A3A" w:rsidRDefault="00AD1A3A">
      <w:pPr>
        <w:numPr>
          <w:ilvl w:val="0"/>
          <w:numId w:val="1"/>
        </w:numPr>
        <w:rPr>
          <w:rFonts w:ascii="Arial" w:hAnsi="Arial"/>
          <w:b/>
          <w:sz w:val="28"/>
          <w:lang w:val="fr-CA"/>
        </w:rPr>
      </w:pPr>
      <w:r w:rsidRPr="00AD1A3A">
        <w:rPr>
          <w:rFonts w:ascii="Arial" w:hAnsi="Arial"/>
          <w:b/>
          <w:sz w:val="28"/>
          <w:lang w:val="fr-CA"/>
        </w:rPr>
        <w:t>É</w:t>
      </w:r>
      <w:r w:rsidR="0068429A" w:rsidRPr="00AD1A3A">
        <w:rPr>
          <w:rFonts w:ascii="Arial" w:hAnsi="Arial"/>
          <w:b/>
          <w:sz w:val="28"/>
          <w:lang w:val="fr-CA"/>
        </w:rPr>
        <w:t>chantillons</w:t>
      </w:r>
    </w:p>
    <w:p w:rsidR="0068429A" w:rsidRPr="00AD1A3A" w:rsidRDefault="0068429A">
      <w:pPr>
        <w:rPr>
          <w:rFonts w:ascii="Arial" w:hAnsi="Arial"/>
          <w:sz w:val="24"/>
          <w:lang w:val="fr-CA"/>
        </w:rPr>
      </w:pPr>
    </w:p>
    <w:p w:rsidR="0068429A" w:rsidRPr="00AD1A3A" w:rsidRDefault="0068429A">
      <w:pPr>
        <w:ind w:left="720"/>
        <w:rPr>
          <w:rFonts w:ascii="Arial" w:hAnsi="Arial"/>
          <w:sz w:val="24"/>
          <w:lang w:val="fr-CA"/>
        </w:rPr>
      </w:pPr>
      <w:r w:rsidRPr="00AD1A3A">
        <w:rPr>
          <w:rFonts w:ascii="Arial" w:hAnsi="Arial"/>
          <w:sz w:val="24"/>
          <w:lang w:val="fr-CA"/>
        </w:rPr>
        <w:t>Sang total anticoagulé - tube EDTA</w:t>
      </w:r>
    </w:p>
    <w:p w:rsidR="0068429A" w:rsidRPr="00AD1A3A" w:rsidRDefault="0068429A">
      <w:pPr>
        <w:numPr>
          <w:ilvl w:val="0"/>
          <w:numId w:val="1"/>
        </w:numPr>
        <w:rPr>
          <w:rFonts w:ascii="Arial" w:hAnsi="Arial"/>
          <w:b/>
          <w:sz w:val="28"/>
          <w:lang w:val="fr-CA"/>
        </w:rPr>
      </w:pPr>
      <w:r w:rsidRPr="00AD1A3A">
        <w:rPr>
          <w:rFonts w:ascii="Arial" w:hAnsi="Arial"/>
          <w:b/>
          <w:sz w:val="28"/>
          <w:lang w:val="fr-CA"/>
        </w:rPr>
        <w:lastRenderedPageBreak/>
        <w:t>Matériel</w:t>
      </w:r>
    </w:p>
    <w:p w:rsidR="0068429A" w:rsidRPr="00AD1A3A" w:rsidRDefault="0068429A">
      <w:pPr>
        <w:rPr>
          <w:rFonts w:ascii="Arial" w:hAnsi="Arial"/>
          <w:b/>
          <w:sz w:val="24"/>
          <w:lang w:val="fr-CA"/>
        </w:rPr>
      </w:pPr>
    </w:p>
    <w:p w:rsidR="0068429A" w:rsidRPr="00AD1A3A" w:rsidRDefault="0068429A" w:rsidP="00FB6ED0">
      <w:pPr>
        <w:tabs>
          <w:tab w:val="left" w:pos="2430"/>
        </w:tabs>
        <w:ind w:left="720"/>
        <w:rPr>
          <w:rFonts w:ascii="Arial" w:hAnsi="Arial"/>
          <w:sz w:val="24"/>
          <w:lang w:val="fr-CA"/>
        </w:rPr>
      </w:pPr>
      <w:r w:rsidRPr="00FB6ED0">
        <w:rPr>
          <w:rFonts w:ascii="Arial" w:hAnsi="Arial"/>
          <w:b/>
          <w:sz w:val="24"/>
          <w:lang w:val="fr-CA"/>
        </w:rPr>
        <w:t>Équipement</w:t>
      </w:r>
      <w:r w:rsidRPr="00AD1A3A">
        <w:rPr>
          <w:rFonts w:ascii="Arial" w:hAnsi="Arial"/>
          <w:sz w:val="24"/>
          <w:lang w:val="fr-CA"/>
        </w:rPr>
        <w:t> :</w:t>
      </w:r>
      <w:r w:rsidR="00FB6ED0">
        <w:rPr>
          <w:rFonts w:ascii="Arial" w:hAnsi="Arial"/>
          <w:sz w:val="24"/>
          <w:lang w:val="fr-CA"/>
        </w:rPr>
        <w:tab/>
      </w:r>
      <w:r w:rsidRPr="00AD1A3A">
        <w:rPr>
          <w:rFonts w:ascii="Arial" w:hAnsi="Arial"/>
          <w:sz w:val="24"/>
          <w:lang w:val="fr-CA"/>
        </w:rPr>
        <w:t>centrifugeuse sérologique</w:t>
      </w:r>
    </w:p>
    <w:p w:rsidR="0068429A" w:rsidRPr="00AD1A3A" w:rsidRDefault="0068429A" w:rsidP="00FB6ED0">
      <w:pPr>
        <w:tabs>
          <w:tab w:val="left" w:pos="2430"/>
        </w:tabs>
        <w:ind w:left="720"/>
        <w:rPr>
          <w:rFonts w:ascii="Arial" w:hAnsi="Arial"/>
          <w:sz w:val="24"/>
          <w:lang w:val="fr-CA"/>
        </w:rPr>
      </w:pPr>
      <w:r w:rsidRPr="00AD1A3A">
        <w:rPr>
          <w:rFonts w:ascii="Arial" w:hAnsi="Arial"/>
          <w:sz w:val="24"/>
          <w:lang w:val="fr-CA"/>
        </w:rPr>
        <w:tab/>
        <w:t>support à tubes</w:t>
      </w:r>
    </w:p>
    <w:p w:rsidR="0068429A" w:rsidRPr="00AD1A3A" w:rsidRDefault="0068429A" w:rsidP="00FB6ED0">
      <w:pPr>
        <w:tabs>
          <w:tab w:val="left" w:pos="2430"/>
        </w:tabs>
        <w:ind w:left="720"/>
        <w:rPr>
          <w:rFonts w:ascii="Arial" w:hAnsi="Arial"/>
          <w:sz w:val="24"/>
          <w:lang w:val="fr-CA"/>
        </w:rPr>
      </w:pPr>
      <w:r w:rsidRPr="00AD1A3A">
        <w:rPr>
          <w:rFonts w:ascii="Arial" w:hAnsi="Arial"/>
          <w:sz w:val="24"/>
          <w:lang w:val="fr-CA"/>
        </w:rPr>
        <w:tab/>
        <w:t>microscope</w:t>
      </w:r>
    </w:p>
    <w:p w:rsidR="0068429A" w:rsidRPr="00AD1A3A" w:rsidRDefault="0068429A" w:rsidP="00FB6ED0">
      <w:pPr>
        <w:tabs>
          <w:tab w:val="left" w:pos="2430"/>
        </w:tabs>
        <w:ind w:left="720"/>
        <w:rPr>
          <w:rFonts w:ascii="Arial" w:hAnsi="Arial"/>
          <w:sz w:val="24"/>
          <w:lang w:val="fr-CA"/>
        </w:rPr>
      </w:pPr>
    </w:p>
    <w:p w:rsidR="0068429A" w:rsidRPr="00AD1A3A" w:rsidRDefault="0068429A" w:rsidP="00FB6ED0">
      <w:pPr>
        <w:tabs>
          <w:tab w:val="left" w:pos="2430"/>
        </w:tabs>
        <w:ind w:left="720"/>
        <w:rPr>
          <w:rFonts w:ascii="Arial" w:hAnsi="Arial"/>
          <w:sz w:val="24"/>
          <w:lang w:val="fr-CA"/>
        </w:rPr>
      </w:pPr>
      <w:r w:rsidRPr="00FB6ED0">
        <w:rPr>
          <w:rFonts w:ascii="Arial" w:hAnsi="Arial"/>
          <w:b/>
          <w:sz w:val="24"/>
          <w:lang w:val="fr-CA"/>
        </w:rPr>
        <w:t>Fournitures</w:t>
      </w:r>
      <w:r w:rsidRPr="00AD1A3A">
        <w:rPr>
          <w:rFonts w:ascii="Arial" w:hAnsi="Arial"/>
          <w:sz w:val="24"/>
          <w:lang w:val="fr-CA"/>
        </w:rPr>
        <w:t xml:space="preserve"> : </w:t>
      </w:r>
      <w:r w:rsidR="00FB6ED0">
        <w:rPr>
          <w:rFonts w:ascii="Arial" w:hAnsi="Arial"/>
          <w:sz w:val="24"/>
          <w:lang w:val="fr-CA"/>
        </w:rPr>
        <w:tab/>
      </w:r>
      <w:r w:rsidRPr="00AD1A3A">
        <w:rPr>
          <w:rFonts w:ascii="Arial" w:hAnsi="Arial"/>
          <w:sz w:val="24"/>
          <w:lang w:val="fr-CA"/>
        </w:rPr>
        <w:t>tubes 10 x 75 mm</w:t>
      </w:r>
    </w:p>
    <w:p w:rsidR="0068429A" w:rsidRPr="00AD1A3A" w:rsidRDefault="0068429A" w:rsidP="00FB6ED0">
      <w:pPr>
        <w:tabs>
          <w:tab w:val="left" w:pos="2430"/>
        </w:tabs>
        <w:ind w:left="720"/>
        <w:rPr>
          <w:rFonts w:ascii="Arial" w:hAnsi="Arial"/>
          <w:sz w:val="24"/>
          <w:lang w:val="fr-CA"/>
        </w:rPr>
      </w:pPr>
      <w:r w:rsidRPr="00AD1A3A">
        <w:rPr>
          <w:rFonts w:ascii="Arial" w:hAnsi="Arial"/>
          <w:sz w:val="24"/>
          <w:lang w:val="fr-CA"/>
        </w:rPr>
        <w:tab/>
        <w:t>pipettes sérologiques</w:t>
      </w:r>
    </w:p>
    <w:p w:rsidR="0068429A" w:rsidRPr="00AD1A3A" w:rsidRDefault="0068429A" w:rsidP="00FB6ED0">
      <w:pPr>
        <w:tabs>
          <w:tab w:val="left" w:pos="2430"/>
        </w:tabs>
        <w:rPr>
          <w:rFonts w:ascii="Arial" w:hAnsi="Arial"/>
          <w:sz w:val="24"/>
          <w:lang w:val="fr-CA"/>
        </w:rPr>
      </w:pPr>
    </w:p>
    <w:p w:rsidR="0068429A" w:rsidRPr="00AD1A3A" w:rsidRDefault="0068429A" w:rsidP="00FB6ED0">
      <w:pPr>
        <w:tabs>
          <w:tab w:val="left" w:pos="2430"/>
        </w:tabs>
        <w:ind w:left="720"/>
        <w:rPr>
          <w:rFonts w:ascii="Arial" w:hAnsi="Arial"/>
          <w:sz w:val="24"/>
          <w:lang w:val="fr-CA"/>
        </w:rPr>
      </w:pPr>
      <w:r w:rsidRPr="00AD1A3A">
        <w:rPr>
          <w:rFonts w:ascii="Arial" w:hAnsi="Arial"/>
          <w:b/>
          <w:sz w:val="24"/>
          <w:lang w:val="fr-CA"/>
        </w:rPr>
        <w:t>R</w:t>
      </w:r>
      <w:r w:rsidR="00AD1A3A" w:rsidRPr="00AD1A3A">
        <w:rPr>
          <w:rFonts w:ascii="Arial" w:hAnsi="Arial"/>
          <w:b/>
          <w:sz w:val="24"/>
          <w:lang w:val="fr-CA"/>
        </w:rPr>
        <w:t xml:space="preserve">éactifs </w:t>
      </w:r>
      <w:r w:rsidRPr="00AD1A3A">
        <w:rPr>
          <w:rFonts w:ascii="Arial" w:hAnsi="Arial"/>
          <w:b/>
          <w:sz w:val="24"/>
          <w:lang w:val="fr-CA"/>
        </w:rPr>
        <w:t>:</w:t>
      </w:r>
      <w:r w:rsidRPr="00AD1A3A">
        <w:rPr>
          <w:rFonts w:ascii="Arial" w:hAnsi="Arial"/>
          <w:sz w:val="24"/>
          <w:lang w:val="fr-CA"/>
        </w:rPr>
        <w:tab/>
      </w:r>
      <w:r w:rsidR="00AD1A3A" w:rsidRPr="00AD1A3A">
        <w:rPr>
          <w:rFonts w:ascii="Arial" w:hAnsi="Arial"/>
          <w:sz w:val="24"/>
          <w:lang w:val="fr-CA"/>
        </w:rPr>
        <w:t>témoin pour l’</w:t>
      </w:r>
      <w:r w:rsidRPr="00AD1A3A">
        <w:rPr>
          <w:rFonts w:ascii="Arial" w:hAnsi="Arial"/>
          <w:sz w:val="24"/>
          <w:lang w:val="fr-CA"/>
        </w:rPr>
        <w:t xml:space="preserve">anti-D, </w:t>
      </w:r>
      <w:r w:rsidR="00AD1A3A" w:rsidRPr="00AD1A3A">
        <w:rPr>
          <w:rFonts w:ascii="Arial" w:hAnsi="Arial"/>
          <w:sz w:val="24"/>
          <w:lang w:val="fr-CA"/>
        </w:rPr>
        <w:t>le cas échéant</w:t>
      </w:r>
    </w:p>
    <w:p w:rsidR="0068429A" w:rsidRPr="00AD1A3A" w:rsidRDefault="0068429A" w:rsidP="00FB6ED0">
      <w:pPr>
        <w:tabs>
          <w:tab w:val="left" w:pos="2430"/>
        </w:tabs>
        <w:ind w:left="720"/>
        <w:rPr>
          <w:rFonts w:ascii="Arial" w:hAnsi="Arial"/>
          <w:sz w:val="24"/>
          <w:lang w:val="fr-CA"/>
        </w:rPr>
      </w:pPr>
      <w:r w:rsidRPr="00AD1A3A">
        <w:rPr>
          <w:rFonts w:ascii="Arial" w:hAnsi="Arial"/>
          <w:sz w:val="24"/>
          <w:lang w:val="fr-CA"/>
        </w:rPr>
        <w:tab/>
      </w:r>
      <w:r w:rsidR="00AD1A3A" w:rsidRPr="00AD1A3A">
        <w:rPr>
          <w:rFonts w:ascii="Arial" w:hAnsi="Arial"/>
          <w:sz w:val="24"/>
          <w:lang w:val="fr-CA"/>
        </w:rPr>
        <w:t>réactif a</w:t>
      </w:r>
      <w:r w:rsidRPr="00AD1A3A">
        <w:rPr>
          <w:rFonts w:ascii="Arial" w:hAnsi="Arial"/>
          <w:sz w:val="24"/>
          <w:lang w:val="fr-CA"/>
        </w:rPr>
        <w:t>nti-D</w:t>
      </w:r>
    </w:p>
    <w:p w:rsidR="0068429A" w:rsidRPr="00AD1A3A" w:rsidRDefault="0068429A" w:rsidP="00FB6ED0">
      <w:pPr>
        <w:tabs>
          <w:tab w:val="left" w:pos="2430"/>
        </w:tabs>
        <w:ind w:left="720"/>
        <w:rPr>
          <w:rFonts w:ascii="Arial" w:hAnsi="Arial"/>
          <w:sz w:val="24"/>
          <w:lang w:val="fr-CA"/>
        </w:rPr>
      </w:pPr>
      <w:r w:rsidRPr="00AD1A3A">
        <w:rPr>
          <w:rFonts w:ascii="Arial" w:hAnsi="Arial"/>
          <w:sz w:val="24"/>
          <w:lang w:val="fr-CA"/>
        </w:rPr>
        <w:tab/>
        <w:t>solution saline</w:t>
      </w:r>
      <w:r w:rsidR="00935E1C">
        <w:rPr>
          <w:rFonts w:ascii="Arial" w:hAnsi="Arial"/>
          <w:sz w:val="24"/>
          <w:lang w:val="fr-CA"/>
        </w:rPr>
        <w:t xml:space="preserve"> normale</w:t>
      </w:r>
    </w:p>
    <w:p w:rsidR="0068429A" w:rsidRDefault="0068429A">
      <w:pPr>
        <w:ind w:left="720"/>
        <w:rPr>
          <w:rFonts w:ascii="Arial" w:hAnsi="Arial"/>
          <w:sz w:val="24"/>
          <w:lang w:val="fr-CA"/>
        </w:rPr>
      </w:pPr>
    </w:p>
    <w:p w:rsidR="0068429A" w:rsidRPr="00AD1A3A" w:rsidRDefault="0068429A">
      <w:pPr>
        <w:numPr>
          <w:ilvl w:val="0"/>
          <w:numId w:val="1"/>
        </w:numPr>
        <w:rPr>
          <w:rFonts w:ascii="Arial" w:hAnsi="Arial"/>
          <w:b/>
          <w:sz w:val="28"/>
          <w:lang w:val="fr-CA"/>
        </w:rPr>
      </w:pPr>
      <w:r w:rsidRPr="00AD1A3A">
        <w:rPr>
          <w:rFonts w:ascii="Arial" w:hAnsi="Arial"/>
          <w:b/>
          <w:sz w:val="28"/>
          <w:lang w:val="fr-CA"/>
        </w:rPr>
        <w:t>Contrôle de la qualité</w:t>
      </w:r>
    </w:p>
    <w:p w:rsidR="0068429A" w:rsidRPr="00AD1A3A" w:rsidRDefault="0068429A">
      <w:pPr>
        <w:rPr>
          <w:rFonts w:ascii="Arial" w:hAnsi="Arial"/>
          <w:sz w:val="24"/>
          <w:lang w:val="fr-CA"/>
        </w:rPr>
      </w:pPr>
    </w:p>
    <w:p w:rsidR="0068429A" w:rsidRPr="00471CA0" w:rsidRDefault="0068429A">
      <w:pPr>
        <w:numPr>
          <w:ilvl w:val="1"/>
          <w:numId w:val="1"/>
        </w:numPr>
        <w:rPr>
          <w:rFonts w:ascii="Arial" w:hAnsi="Arial"/>
          <w:sz w:val="24"/>
          <w:lang w:val="fr-CA"/>
        </w:rPr>
      </w:pPr>
      <w:r w:rsidRPr="00AD1A3A">
        <w:rPr>
          <w:rFonts w:ascii="Arial" w:hAnsi="Arial"/>
          <w:sz w:val="24"/>
          <w:lang w:val="fr-CA"/>
        </w:rPr>
        <w:t xml:space="preserve">Voir CAQ.001 - Contrôle de la qualité des globules rouges et des </w:t>
      </w:r>
      <w:r w:rsidRPr="00471CA0">
        <w:rPr>
          <w:rFonts w:ascii="Arial" w:hAnsi="Arial"/>
          <w:sz w:val="24"/>
          <w:lang w:val="fr-CA"/>
        </w:rPr>
        <w:t>antisérums commerciaux.</w:t>
      </w:r>
    </w:p>
    <w:p w:rsidR="0068429A" w:rsidRPr="00471CA0" w:rsidRDefault="0068429A">
      <w:pPr>
        <w:ind w:left="720"/>
        <w:rPr>
          <w:rFonts w:ascii="Arial" w:hAnsi="Arial"/>
          <w:sz w:val="24"/>
          <w:lang w:val="fr-CA"/>
        </w:rPr>
      </w:pPr>
    </w:p>
    <w:p w:rsidR="0068429A" w:rsidRPr="00BC3F6A" w:rsidRDefault="00997A91" w:rsidP="00997A91">
      <w:pPr>
        <w:numPr>
          <w:ilvl w:val="1"/>
          <w:numId w:val="1"/>
        </w:numPr>
        <w:rPr>
          <w:rFonts w:ascii="Arial" w:hAnsi="Arial"/>
          <w:sz w:val="24"/>
          <w:lang w:val="fr-CA"/>
        </w:rPr>
      </w:pPr>
      <w:r w:rsidRPr="00997A91">
        <w:rPr>
          <w:rFonts w:ascii="Arial" w:hAnsi="Arial"/>
          <w:sz w:val="24"/>
          <w:lang w:val="fr-CA"/>
        </w:rPr>
        <w:t xml:space="preserve">Un témoin Rh </w:t>
      </w:r>
      <w:r w:rsidR="00990EB9">
        <w:rPr>
          <w:rFonts w:ascii="Arial" w:hAnsi="Arial"/>
          <w:sz w:val="24"/>
          <w:lang w:val="fr-CA"/>
        </w:rPr>
        <w:t xml:space="preserve">peut être </w:t>
      </w:r>
      <w:r w:rsidRPr="00997A91">
        <w:rPr>
          <w:rFonts w:ascii="Arial" w:hAnsi="Arial"/>
          <w:sz w:val="24"/>
          <w:lang w:val="fr-CA"/>
        </w:rPr>
        <w:t>requis pour les épreuves de détermination du facteur Rh</w:t>
      </w:r>
      <w:r w:rsidR="00990EB9">
        <w:rPr>
          <w:rFonts w:ascii="Arial" w:hAnsi="Arial"/>
          <w:sz w:val="24"/>
          <w:lang w:val="fr-CA"/>
        </w:rPr>
        <w:t xml:space="preserve"> (consulter l’encart du fabricant d’anti-D0</w:t>
      </w:r>
      <w:r w:rsidRPr="00997A91">
        <w:rPr>
          <w:rFonts w:ascii="Arial" w:hAnsi="Arial"/>
          <w:sz w:val="24"/>
          <w:lang w:val="fr-CA"/>
        </w:rPr>
        <w:t xml:space="preserve">.  </w:t>
      </w:r>
      <w:r>
        <w:rPr>
          <w:rFonts w:ascii="Arial" w:hAnsi="Arial"/>
          <w:sz w:val="24"/>
          <w:lang w:val="fr-CA"/>
        </w:rPr>
        <w:br/>
      </w:r>
    </w:p>
    <w:p w:rsidR="0068429A" w:rsidRPr="00BF6C68" w:rsidRDefault="00471CA0">
      <w:pPr>
        <w:numPr>
          <w:ilvl w:val="2"/>
          <w:numId w:val="1"/>
        </w:numPr>
        <w:spacing w:line="228" w:lineRule="auto"/>
        <w:rPr>
          <w:rFonts w:ascii="Arial" w:hAnsi="Arial"/>
          <w:sz w:val="24"/>
          <w:lang w:val="fr-CA"/>
        </w:rPr>
      </w:pPr>
      <w:r w:rsidRPr="00BF6C68">
        <w:rPr>
          <w:rFonts w:ascii="Arial" w:hAnsi="Arial"/>
          <w:sz w:val="24"/>
          <w:lang w:val="fr-CA"/>
        </w:rPr>
        <w:t xml:space="preserve">Une réaction négative avec un </w:t>
      </w:r>
      <w:r w:rsidR="0068429A" w:rsidRPr="00BF6C68">
        <w:rPr>
          <w:rFonts w:ascii="Arial" w:hAnsi="Arial"/>
          <w:sz w:val="24"/>
          <w:lang w:val="fr-CA"/>
        </w:rPr>
        <w:t>anti-A o</w:t>
      </w:r>
      <w:r w:rsidRPr="00BF6C68">
        <w:rPr>
          <w:rFonts w:ascii="Arial" w:hAnsi="Arial"/>
          <w:sz w:val="24"/>
          <w:lang w:val="fr-CA"/>
        </w:rPr>
        <w:t>u</w:t>
      </w:r>
      <w:r w:rsidR="0068429A" w:rsidRPr="00BF6C68">
        <w:rPr>
          <w:rFonts w:ascii="Arial" w:hAnsi="Arial"/>
          <w:sz w:val="24"/>
          <w:lang w:val="fr-CA"/>
        </w:rPr>
        <w:t xml:space="preserve"> anti-B </w:t>
      </w:r>
      <w:r w:rsidRPr="00BF6C68">
        <w:rPr>
          <w:rFonts w:ascii="Arial" w:hAnsi="Arial"/>
          <w:sz w:val="24"/>
          <w:lang w:val="fr-CA"/>
        </w:rPr>
        <w:t>élimine habituellement la conclusion d’une agglutination spontanée.</w:t>
      </w:r>
    </w:p>
    <w:p w:rsidR="0068429A" w:rsidRPr="00471CA0" w:rsidRDefault="00471CA0" w:rsidP="00997A91">
      <w:pPr>
        <w:spacing w:line="228" w:lineRule="auto"/>
        <w:ind w:left="2160"/>
        <w:rPr>
          <w:rFonts w:ascii="Arial" w:hAnsi="Arial"/>
          <w:sz w:val="24"/>
          <w:lang w:val="fr-CA"/>
        </w:rPr>
      </w:pPr>
      <w:r w:rsidRPr="00471CA0">
        <w:rPr>
          <w:rFonts w:ascii="Arial" w:hAnsi="Arial"/>
          <w:sz w:val="24"/>
          <w:lang w:val="fr-CA"/>
        </w:rPr>
        <w:t xml:space="preserve"> </w:t>
      </w:r>
    </w:p>
    <w:p w:rsidR="0068429A" w:rsidRDefault="0068429A">
      <w:pPr>
        <w:numPr>
          <w:ilvl w:val="2"/>
          <w:numId w:val="1"/>
        </w:numPr>
        <w:spacing w:line="228" w:lineRule="auto"/>
        <w:rPr>
          <w:rFonts w:ascii="Arial" w:hAnsi="Arial"/>
          <w:sz w:val="24"/>
          <w:lang w:val="fr-CA"/>
        </w:rPr>
      </w:pPr>
      <w:r w:rsidRPr="00471CA0">
        <w:rPr>
          <w:rFonts w:ascii="Arial" w:hAnsi="Arial"/>
          <w:sz w:val="24"/>
          <w:lang w:val="fr-CA"/>
        </w:rPr>
        <w:t xml:space="preserve">Si un </w:t>
      </w:r>
      <w:r w:rsidR="00471CA0">
        <w:rPr>
          <w:rFonts w:ascii="Arial" w:hAnsi="Arial"/>
          <w:sz w:val="24"/>
          <w:lang w:val="fr-CA"/>
        </w:rPr>
        <w:t xml:space="preserve">témoin </w:t>
      </w:r>
      <w:r w:rsidRPr="00471CA0">
        <w:rPr>
          <w:rFonts w:ascii="Arial" w:hAnsi="Arial"/>
          <w:sz w:val="24"/>
          <w:lang w:val="fr-CA"/>
        </w:rPr>
        <w:t xml:space="preserve">commercial pour un réactif hypoprotéique (mélange monoclonal/polyclonal) n'est pas disponible, on peut utiliser du plasma autologue ou un </w:t>
      </w:r>
      <w:r w:rsidR="00471CA0">
        <w:rPr>
          <w:rFonts w:ascii="Arial" w:hAnsi="Arial"/>
          <w:sz w:val="24"/>
          <w:lang w:val="fr-CA"/>
        </w:rPr>
        <w:t xml:space="preserve">témoin </w:t>
      </w:r>
      <w:r w:rsidRPr="00471CA0">
        <w:rPr>
          <w:rFonts w:ascii="Arial" w:hAnsi="Arial"/>
          <w:sz w:val="24"/>
          <w:lang w:val="fr-CA"/>
        </w:rPr>
        <w:t>d'albumine bovine à 6 %.</w:t>
      </w:r>
    </w:p>
    <w:p w:rsidR="00997A91" w:rsidRDefault="00997A91" w:rsidP="00997A91">
      <w:pPr>
        <w:pStyle w:val="ListParagraph"/>
        <w:rPr>
          <w:rFonts w:ascii="Arial" w:hAnsi="Arial"/>
          <w:sz w:val="24"/>
          <w:lang w:val="fr-CA"/>
        </w:rPr>
      </w:pPr>
    </w:p>
    <w:p w:rsidR="00997A91" w:rsidRPr="00471CA0" w:rsidRDefault="00997A91" w:rsidP="00997A91">
      <w:pPr>
        <w:numPr>
          <w:ilvl w:val="2"/>
          <w:numId w:val="1"/>
        </w:numPr>
        <w:rPr>
          <w:rFonts w:ascii="Arial" w:hAnsi="Arial"/>
          <w:sz w:val="24"/>
          <w:lang w:val="fr-CA"/>
        </w:rPr>
      </w:pPr>
      <w:r w:rsidRPr="00471CA0">
        <w:rPr>
          <w:rFonts w:ascii="Arial" w:hAnsi="Arial"/>
          <w:sz w:val="24"/>
          <w:lang w:val="fr-CA"/>
        </w:rPr>
        <w:t>Un résultat faussement positif dans le témoin Rh peut survenir si le plasma contient des autoagglutinines ou une protéine provoquant la formation de rouleaux et que les globules rouges sont testés sans avoir été lavés.</w:t>
      </w:r>
    </w:p>
    <w:p w:rsidR="0068429A" w:rsidRPr="00BC3F6A" w:rsidRDefault="0068429A">
      <w:pPr>
        <w:spacing w:line="228" w:lineRule="auto"/>
        <w:ind w:left="1440"/>
        <w:rPr>
          <w:rFonts w:ascii="Arial" w:hAnsi="Arial"/>
          <w:sz w:val="24"/>
          <w:lang w:val="fr-CA"/>
        </w:rPr>
      </w:pPr>
    </w:p>
    <w:p w:rsidR="0068429A" w:rsidRPr="00471CA0" w:rsidRDefault="00471CA0">
      <w:pPr>
        <w:numPr>
          <w:ilvl w:val="2"/>
          <w:numId w:val="1"/>
        </w:numPr>
        <w:spacing w:line="228" w:lineRule="auto"/>
        <w:rPr>
          <w:rFonts w:ascii="Arial" w:hAnsi="Arial"/>
          <w:sz w:val="24"/>
          <w:lang w:val="fr-CA"/>
        </w:rPr>
      </w:pPr>
      <w:r w:rsidRPr="00471CA0">
        <w:rPr>
          <w:rFonts w:ascii="Arial" w:hAnsi="Arial"/>
          <w:sz w:val="24"/>
          <w:lang w:val="fr-CA"/>
        </w:rPr>
        <w:t>Il faut faire un</w:t>
      </w:r>
      <w:r w:rsidR="00C14742">
        <w:rPr>
          <w:rFonts w:ascii="Arial" w:hAnsi="Arial"/>
          <w:sz w:val="24"/>
          <w:lang w:val="fr-CA"/>
        </w:rPr>
        <w:t xml:space="preserve"> </w:t>
      </w:r>
      <w:r w:rsidRPr="00471CA0">
        <w:rPr>
          <w:rFonts w:ascii="Arial" w:hAnsi="Arial"/>
          <w:sz w:val="24"/>
          <w:lang w:val="fr-CA"/>
        </w:rPr>
        <w:t xml:space="preserve">TDA </w:t>
      </w:r>
      <w:r w:rsidR="009D4308">
        <w:rPr>
          <w:rFonts w:ascii="Arial" w:hAnsi="Arial"/>
          <w:sz w:val="24"/>
          <w:lang w:val="fr-CA"/>
        </w:rPr>
        <w:t xml:space="preserve">à l’aide d’un réactif IgG </w:t>
      </w:r>
      <w:r w:rsidRPr="00471CA0">
        <w:rPr>
          <w:rFonts w:ascii="Arial" w:hAnsi="Arial"/>
          <w:sz w:val="24"/>
          <w:lang w:val="fr-CA"/>
        </w:rPr>
        <w:t>comme contrôle pour certains échantillons</w:t>
      </w:r>
      <w:r w:rsidR="0068429A" w:rsidRPr="00471CA0">
        <w:rPr>
          <w:rFonts w:ascii="Arial" w:hAnsi="Arial"/>
          <w:sz w:val="24"/>
          <w:lang w:val="fr-CA"/>
        </w:rPr>
        <w:t xml:space="preserve"> (</w:t>
      </w:r>
      <w:r w:rsidRPr="00471CA0">
        <w:rPr>
          <w:rFonts w:ascii="Arial" w:hAnsi="Arial"/>
          <w:sz w:val="24"/>
          <w:lang w:val="fr-CA"/>
        </w:rPr>
        <w:t xml:space="preserve">p. ex. sang de cordon, de nouveau-né ou </w:t>
      </w:r>
      <w:r w:rsidR="00C61DEE" w:rsidRPr="00AB2151">
        <w:rPr>
          <w:rFonts w:ascii="Arial" w:hAnsi="Arial"/>
          <w:sz w:val="24"/>
          <w:lang w:val="fr-CA"/>
        </w:rPr>
        <w:t>d’échantillon démontrant une autoagglutination</w:t>
      </w:r>
      <w:r w:rsidR="0068429A" w:rsidRPr="00AB2151">
        <w:rPr>
          <w:rFonts w:ascii="Arial" w:hAnsi="Arial"/>
          <w:sz w:val="24"/>
          <w:lang w:val="fr-CA"/>
        </w:rPr>
        <w:t xml:space="preserve">) </w:t>
      </w:r>
      <w:r w:rsidRPr="00AB2151">
        <w:rPr>
          <w:rFonts w:ascii="Arial" w:hAnsi="Arial"/>
          <w:sz w:val="24"/>
          <w:lang w:val="fr-CA"/>
        </w:rPr>
        <w:t>afin d’éliminer tout</w:t>
      </w:r>
      <w:r w:rsidR="00AB2151">
        <w:rPr>
          <w:rFonts w:ascii="Arial" w:hAnsi="Arial"/>
          <w:sz w:val="24"/>
          <w:lang w:val="fr-CA"/>
        </w:rPr>
        <w:t xml:space="preserve"> typage RH f</w:t>
      </w:r>
      <w:r w:rsidRPr="00AB2151">
        <w:rPr>
          <w:rFonts w:ascii="Arial" w:hAnsi="Arial"/>
          <w:sz w:val="24"/>
          <w:lang w:val="fr-CA"/>
        </w:rPr>
        <w:t>ausse</w:t>
      </w:r>
      <w:r w:rsidR="00AB2151">
        <w:rPr>
          <w:rFonts w:ascii="Arial" w:hAnsi="Arial"/>
          <w:sz w:val="24"/>
          <w:lang w:val="fr-CA"/>
        </w:rPr>
        <w:t xml:space="preserve">ment </w:t>
      </w:r>
      <w:r w:rsidRPr="00AB2151">
        <w:rPr>
          <w:rFonts w:ascii="Arial" w:hAnsi="Arial"/>
          <w:sz w:val="24"/>
          <w:lang w:val="fr-CA"/>
        </w:rPr>
        <w:t>négatif qui pourr</w:t>
      </w:r>
      <w:r w:rsidRPr="00471CA0">
        <w:rPr>
          <w:rFonts w:ascii="Arial" w:hAnsi="Arial"/>
          <w:sz w:val="24"/>
          <w:lang w:val="fr-CA"/>
        </w:rPr>
        <w:t>ait être d</w:t>
      </w:r>
      <w:r w:rsidR="009D4308">
        <w:rPr>
          <w:rFonts w:ascii="Arial" w:hAnsi="Arial"/>
          <w:sz w:val="24"/>
          <w:lang w:val="fr-CA"/>
        </w:rPr>
        <w:t>û</w:t>
      </w:r>
      <w:r w:rsidRPr="00471CA0">
        <w:rPr>
          <w:rFonts w:ascii="Arial" w:hAnsi="Arial"/>
          <w:sz w:val="24"/>
          <w:lang w:val="fr-CA"/>
        </w:rPr>
        <w:t xml:space="preserve"> aux antigènes bloqués. </w:t>
      </w:r>
    </w:p>
    <w:p w:rsidR="0068429A" w:rsidRDefault="0068429A">
      <w:pPr>
        <w:spacing w:line="228" w:lineRule="auto"/>
        <w:ind w:left="1440"/>
        <w:rPr>
          <w:rFonts w:ascii="Arial" w:hAnsi="Arial"/>
          <w:sz w:val="24"/>
          <w:lang w:val="fr-CA"/>
        </w:rPr>
      </w:pPr>
    </w:p>
    <w:p w:rsidR="0068429A" w:rsidRPr="00BC3F6A" w:rsidRDefault="0068429A">
      <w:pPr>
        <w:numPr>
          <w:ilvl w:val="0"/>
          <w:numId w:val="1"/>
        </w:numPr>
        <w:spacing w:line="228" w:lineRule="auto"/>
        <w:rPr>
          <w:rFonts w:ascii="Arial" w:hAnsi="Arial"/>
          <w:b/>
          <w:sz w:val="28"/>
          <w:lang w:val="fr-CA"/>
        </w:rPr>
      </w:pPr>
      <w:r w:rsidRPr="00BC3F6A">
        <w:rPr>
          <w:rFonts w:ascii="Arial" w:hAnsi="Arial"/>
          <w:b/>
          <w:sz w:val="28"/>
          <w:lang w:val="fr-CA"/>
        </w:rPr>
        <w:t>Procédure</w:t>
      </w:r>
    </w:p>
    <w:p w:rsidR="0068429A" w:rsidRPr="00BC3F6A" w:rsidRDefault="0068429A">
      <w:pPr>
        <w:spacing w:line="228" w:lineRule="auto"/>
        <w:rPr>
          <w:rFonts w:ascii="Arial" w:hAnsi="Arial"/>
          <w:b/>
          <w:sz w:val="28"/>
          <w:lang w:val="fr-CA"/>
        </w:rPr>
      </w:pPr>
    </w:p>
    <w:p w:rsidR="00990EB9" w:rsidRDefault="00990EB9">
      <w:pPr>
        <w:numPr>
          <w:ilvl w:val="1"/>
          <w:numId w:val="1"/>
        </w:numPr>
        <w:spacing w:line="228" w:lineRule="auto"/>
        <w:rPr>
          <w:rFonts w:ascii="Arial" w:hAnsi="Arial"/>
          <w:sz w:val="24"/>
          <w:lang w:val="fr-CA"/>
        </w:rPr>
      </w:pPr>
      <w:r>
        <w:rPr>
          <w:rFonts w:ascii="Arial" w:hAnsi="Arial"/>
          <w:sz w:val="24"/>
          <w:lang w:val="fr-CA"/>
        </w:rPr>
        <w:t>Vérifications préliminaires</w:t>
      </w:r>
    </w:p>
    <w:p w:rsidR="0068429A" w:rsidRPr="00471CA0" w:rsidRDefault="00C61DEE" w:rsidP="00990EB9">
      <w:pPr>
        <w:numPr>
          <w:ilvl w:val="2"/>
          <w:numId w:val="1"/>
        </w:numPr>
        <w:spacing w:line="228" w:lineRule="auto"/>
        <w:rPr>
          <w:rFonts w:ascii="Arial" w:hAnsi="Arial"/>
          <w:sz w:val="24"/>
          <w:lang w:val="fr-CA"/>
        </w:rPr>
      </w:pPr>
      <w:r w:rsidRPr="00935E1C">
        <w:rPr>
          <w:rFonts w:ascii="Arial" w:hAnsi="Arial"/>
          <w:sz w:val="24"/>
          <w:lang w:val="fr-CA"/>
        </w:rPr>
        <w:t>Revérifier</w:t>
      </w:r>
      <w:r w:rsidRPr="00471CA0">
        <w:rPr>
          <w:rFonts w:ascii="Arial" w:hAnsi="Arial"/>
          <w:sz w:val="24"/>
          <w:lang w:val="fr-CA"/>
        </w:rPr>
        <w:t xml:space="preserve"> </w:t>
      </w:r>
      <w:r w:rsidR="00AD1A3A" w:rsidRPr="00471CA0">
        <w:rPr>
          <w:rFonts w:ascii="Arial" w:hAnsi="Arial"/>
          <w:sz w:val="24"/>
          <w:lang w:val="fr-CA"/>
        </w:rPr>
        <w:t>l’acceptabilité de tous les échantillons</w:t>
      </w:r>
      <w:r w:rsidR="0068429A" w:rsidRPr="00471CA0">
        <w:rPr>
          <w:rFonts w:ascii="Arial" w:hAnsi="Arial"/>
          <w:sz w:val="24"/>
          <w:lang w:val="fr-CA"/>
        </w:rPr>
        <w:t xml:space="preserve">. Voir PA.002 - Acceptation ou rejet des échantillons. </w:t>
      </w:r>
      <w:r w:rsidR="00AD1A3A" w:rsidRPr="00471CA0">
        <w:rPr>
          <w:rFonts w:ascii="Arial" w:hAnsi="Arial"/>
          <w:sz w:val="24"/>
          <w:lang w:val="fr-CA"/>
        </w:rPr>
        <w:t>Si l</w:t>
      </w:r>
      <w:r w:rsidR="00935E1C">
        <w:rPr>
          <w:rFonts w:ascii="Arial" w:hAnsi="Arial"/>
          <w:sz w:val="24"/>
          <w:lang w:val="fr-CA"/>
        </w:rPr>
        <w:t>’</w:t>
      </w:r>
      <w:r w:rsidR="00AD1A3A" w:rsidRPr="00471CA0">
        <w:rPr>
          <w:rFonts w:ascii="Arial" w:hAnsi="Arial"/>
          <w:sz w:val="24"/>
          <w:lang w:val="fr-CA"/>
        </w:rPr>
        <w:t>échantillon n</w:t>
      </w:r>
      <w:r w:rsidR="00935E1C">
        <w:rPr>
          <w:rFonts w:ascii="Arial" w:hAnsi="Arial"/>
          <w:sz w:val="24"/>
          <w:lang w:val="fr-CA"/>
        </w:rPr>
        <w:t xml:space="preserve">’est </w:t>
      </w:r>
      <w:r w:rsidR="00AD1A3A" w:rsidRPr="00471CA0">
        <w:rPr>
          <w:rFonts w:ascii="Arial" w:hAnsi="Arial"/>
          <w:sz w:val="24"/>
          <w:lang w:val="fr-CA"/>
        </w:rPr>
        <w:t>pas acceptable, en prélever un autre</w:t>
      </w:r>
      <w:r w:rsidR="0068429A" w:rsidRPr="00471CA0">
        <w:rPr>
          <w:rFonts w:ascii="Arial" w:hAnsi="Arial"/>
          <w:sz w:val="24"/>
          <w:lang w:val="fr-CA"/>
        </w:rPr>
        <w:t>.</w:t>
      </w:r>
    </w:p>
    <w:p w:rsidR="0068429A" w:rsidRPr="00471CA0" w:rsidRDefault="0068429A">
      <w:pPr>
        <w:spacing w:line="228" w:lineRule="auto"/>
        <w:ind w:left="720"/>
        <w:rPr>
          <w:rFonts w:ascii="Arial" w:hAnsi="Arial"/>
          <w:sz w:val="24"/>
          <w:lang w:val="fr-CA"/>
        </w:rPr>
      </w:pPr>
    </w:p>
    <w:p w:rsidR="001B6213" w:rsidRDefault="001B6213" w:rsidP="001B6213">
      <w:pPr>
        <w:numPr>
          <w:ilvl w:val="2"/>
          <w:numId w:val="1"/>
        </w:numPr>
        <w:rPr>
          <w:rFonts w:ascii="Arial" w:hAnsi="Arial"/>
          <w:sz w:val="24"/>
          <w:lang w:val="fr-CA"/>
        </w:rPr>
      </w:pPr>
      <w:r>
        <w:rPr>
          <w:rFonts w:ascii="Arial" w:hAnsi="Arial"/>
          <w:sz w:val="24"/>
          <w:lang w:val="fr-CA"/>
        </w:rPr>
        <w:t>Obtenir et noter le diagnostic du patient et ses antécédents transfusionnels et obstétriques.</w:t>
      </w:r>
    </w:p>
    <w:p w:rsidR="001B6213" w:rsidRDefault="001B6213" w:rsidP="001B6213">
      <w:pPr>
        <w:pStyle w:val="ListParagraph"/>
        <w:rPr>
          <w:rFonts w:ascii="Arial" w:hAnsi="Arial"/>
          <w:sz w:val="24"/>
          <w:lang w:val="fr-CA"/>
        </w:rPr>
      </w:pPr>
    </w:p>
    <w:p w:rsidR="0068429A" w:rsidRPr="000C4CF6" w:rsidRDefault="000C4CF6" w:rsidP="001B6213">
      <w:pPr>
        <w:numPr>
          <w:ilvl w:val="2"/>
          <w:numId w:val="1"/>
        </w:numPr>
        <w:rPr>
          <w:rFonts w:ascii="Arial" w:hAnsi="Arial"/>
          <w:sz w:val="24"/>
          <w:lang w:val="fr-CA"/>
        </w:rPr>
      </w:pPr>
      <w:r w:rsidRPr="000C4CF6">
        <w:rPr>
          <w:rFonts w:ascii="Arial" w:hAnsi="Arial"/>
          <w:sz w:val="24"/>
          <w:lang w:val="fr-CA"/>
        </w:rPr>
        <w:t xml:space="preserve">Vérifier l’étiquette sur </w:t>
      </w:r>
      <w:r w:rsidR="00554BAA">
        <w:rPr>
          <w:rFonts w:ascii="Arial" w:hAnsi="Arial"/>
          <w:sz w:val="24"/>
          <w:lang w:val="fr-CA"/>
        </w:rPr>
        <w:t>le</w:t>
      </w:r>
      <w:r w:rsidRPr="000C4CF6">
        <w:rPr>
          <w:rFonts w:ascii="Arial" w:hAnsi="Arial"/>
          <w:sz w:val="24"/>
          <w:lang w:val="fr-CA"/>
        </w:rPr>
        <w:t xml:space="preserve"> ou les </w:t>
      </w:r>
      <w:r w:rsidR="00645F24">
        <w:rPr>
          <w:rFonts w:ascii="Arial" w:hAnsi="Arial"/>
          <w:sz w:val="24"/>
          <w:lang w:val="fr-CA"/>
        </w:rPr>
        <w:t>flacons</w:t>
      </w:r>
      <w:r w:rsidRPr="000C4CF6">
        <w:rPr>
          <w:rFonts w:ascii="Arial" w:hAnsi="Arial"/>
          <w:sz w:val="24"/>
          <w:lang w:val="fr-CA"/>
        </w:rPr>
        <w:t xml:space="preserve"> de réactif pour s’assurer que le bon réactif a été utilisé. </w:t>
      </w:r>
    </w:p>
    <w:p w:rsidR="0068429A" w:rsidRPr="000C4CF6" w:rsidRDefault="0068429A">
      <w:pPr>
        <w:ind w:left="720"/>
        <w:rPr>
          <w:rFonts w:ascii="Arial" w:hAnsi="Arial"/>
          <w:sz w:val="24"/>
          <w:lang w:val="fr-CA"/>
        </w:rPr>
      </w:pPr>
    </w:p>
    <w:p w:rsidR="0068429A" w:rsidRPr="000C4CF6" w:rsidRDefault="0068429A" w:rsidP="001B6213">
      <w:pPr>
        <w:numPr>
          <w:ilvl w:val="2"/>
          <w:numId w:val="1"/>
        </w:numPr>
        <w:rPr>
          <w:rFonts w:ascii="Arial" w:hAnsi="Arial"/>
          <w:sz w:val="24"/>
          <w:lang w:val="fr-CA"/>
        </w:rPr>
      </w:pPr>
      <w:r w:rsidRPr="000C4CF6">
        <w:rPr>
          <w:rFonts w:ascii="Arial" w:hAnsi="Arial"/>
          <w:sz w:val="24"/>
          <w:lang w:val="fr-CA"/>
        </w:rPr>
        <w:t>Pr</w:t>
      </w:r>
      <w:r w:rsidR="000C4CF6" w:rsidRPr="000C4CF6">
        <w:rPr>
          <w:rFonts w:ascii="Arial" w:hAnsi="Arial"/>
          <w:sz w:val="24"/>
          <w:lang w:val="fr-CA"/>
        </w:rPr>
        <w:t xml:space="preserve">éparer une </w:t>
      </w:r>
      <w:r w:rsidR="000C4CF6" w:rsidRPr="00935E1C">
        <w:rPr>
          <w:rFonts w:ascii="Arial" w:hAnsi="Arial"/>
          <w:sz w:val="24"/>
          <w:lang w:val="fr-CA"/>
        </w:rPr>
        <w:t>nouvelle</w:t>
      </w:r>
      <w:r w:rsidR="000C4CF6" w:rsidRPr="000C4CF6">
        <w:rPr>
          <w:rFonts w:ascii="Arial" w:hAnsi="Arial"/>
          <w:sz w:val="24"/>
          <w:lang w:val="fr-CA"/>
        </w:rPr>
        <w:t xml:space="preserve"> suspension à </w:t>
      </w:r>
      <w:r w:rsidR="00554BAA">
        <w:rPr>
          <w:rFonts w:ascii="Arial" w:hAnsi="Arial"/>
          <w:sz w:val="24"/>
          <w:lang w:val="fr-CA"/>
        </w:rPr>
        <w:t>3 </w:t>
      </w:r>
      <w:r w:rsidRPr="000C4CF6">
        <w:rPr>
          <w:rFonts w:ascii="Arial" w:hAnsi="Arial"/>
          <w:sz w:val="24"/>
          <w:lang w:val="fr-CA"/>
        </w:rPr>
        <w:t xml:space="preserve">% </w:t>
      </w:r>
      <w:r w:rsidR="000C4CF6" w:rsidRPr="000C4CF6">
        <w:rPr>
          <w:rFonts w:ascii="Arial" w:hAnsi="Arial"/>
          <w:sz w:val="24"/>
          <w:lang w:val="fr-CA"/>
        </w:rPr>
        <w:t>de globules rouges lavés du patient</w:t>
      </w:r>
      <w:r w:rsidRPr="000C4CF6">
        <w:rPr>
          <w:rFonts w:ascii="Arial" w:hAnsi="Arial"/>
          <w:sz w:val="24"/>
          <w:lang w:val="fr-CA"/>
        </w:rPr>
        <w:t>.</w:t>
      </w:r>
    </w:p>
    <w:p w:rsidR="0068429A" w:rsidRPr="00BC3F6A" w:rsidRDefault="0068429A">
      <w:pPr>
        <w:ind w:left="720"/>
        <w:rPr>
          <w:rFonts w:ascii="Arial" w:hAnsi="Arial"/>
          <w:sz w:val="24"/>
          <w:lang w:val="fr-CA"/>
        </w:rPr>
      </w:pPr>
    </w:p>
    <w:p w:rsidR="0068429A" w:rsidRPr="000C4CF6" w:rsidRDefault="0068429A" w:rsidP="001B6213">
      <w:pPr>
        <w:numPr>
          <w:ilvl w:val="2"/>
          <w:numId w:val="1"/>
        </w:numPr>
        <w:rPr>
          <w:rFonts w:ascii="Arial" w:hAnsi="Arial"/>
          <w:sz w:val="24"/>
          <w:lang w:val="fr-CA"/>
        </w:rPr>
      </w:pPr>
      <w:r w:rsidRPr="000C4CF6">
        <w:rPr>
          <w:rFonts w:ascii="Arial" w:hAnsi="Arial"/>
          <w:sz w:val="24"/>
          <w:lang w:val="fr-CA"/>
        </w:rPr>
        <w:t>R</w:t>
      </w:r>
      <w:r w:rsidR="000C4CF6" w:rsidRPr="000C4CF6">
        <w:rPr>
          <w:rFonts w:ascii="Arial" w:hAnsi="Arial"/>
          <w:sz w:val="24"/>
          <w:lang w:val="fr-CA"/>
        </w:rPr>
        <w:t xml:space="preserve">épéter la détermination du facteur </w:t>
      </w:r>
      <w:r w:rsidRPr="000C4CF6">
        <w:rPr>
          <w:rFonts w:ascii="Arial" w:hAnsi="Arial"/>
          <w:sz w:val="24"/>
          <w:lang w:val="fr-CA"/>
        </w:rPr>
        <w:t xml:space="preserve">Rh </w:t>
      </w:r>
      <w:r w:rsidR="000C4CF6" w:rsidRPr="000C4CF6">
        <w:rPr>
          <w:rFonts w:ascii="Arial" w:hAnsi="Arial"/>
          <w:sz w:val="24"/>
          <w:lang w:val="fr-CA"/>
        </w:rPr>
        <w:t>sur la nouvelle suspension à 3 % de cellules du patient.</w:t>
      </w:r>
    </w:p>
    <w:p w:rsidR="0068429A" w:rsidRDefault="0068429A">
      <w:pPr>
        <w:ind w:left="720"/>
        <w:rPr>
          <w:rFonts w:ascii="Arial" w:hAnsi="Arial"/>
          <w:sz w:val="24"/>
          <w:lang w:val="fr-C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4618"/>
      </w:tblGrid>
      <w:tr w:rsidR="001B6213" w:rsidRPr="009366A0" w:rsidTr="009366A0">
        <w:tc>
          <w:tcPr>
            <w:tcW w:w="2551" w:type="dxa"/>
          </w:tcPr>
          <w:p w:rsidR="001B6213" w:rsidRPr="009366A0" w:rsidRDefault="001B6213">
            <w:pPr>
              <w:rPr>
                <w:rFonts w:ascii="Arial" w:hAnsi="Arial"/>
                <w:b/>
                <w:sz w:val="22"/>
                <w:lang w:val="fr-CA"/>
              </w:rPr>
            </w:pPr>
            <w:r w:rsidRPr="009366A0">
              <w:rPr>
                <w:rFonts w:ascii="Arial" w:hAnsi="Arial"/>
                <w:b/>
                <w:sz w:val="22"/>
                <w:lang w:val="fr-CA"/>
              </w:rPr>
              <w:t xml:space="preserve">Si…, </w:t>
            </w:r>
          </w:p>
        </w:tc>
        <w:tc>
          <w:tcPr>
            <w:tcW w:w="4779" w:type="dxa"/>
          </w:tcPr>
          <w:p w:rsidR="001B6213" w:rsidRPr="009366A0" w:rsidRDefault="001B6213">
            <w:pPr>
              <w:rPr>
                <w:rFonts w:ascii="Arial" w:hAnsi="Arial"/>
                <w:b/>
                <w:sz w:val="22"/>
                <w:lang w:val="fr-CA"/>
              </w:rPr>
            </w:pPr>
            <w:r w:rsidRPr="009366A0">
              <w:rPr>
                <w:rFonts w:ascii="Arial" w:hAnsi="Arial"/>
                <w:b/>
                <w:sz w:val="22"/>
                <w:lang w:val="fr-CA"/>
              </w:rPr>
              <w:t>Vous devez…</w:t>
            </w:r>
          </w:p>
        </w:tc>
      </w:tr>
      <w:tr w:rsidR="001B6213" w:rsidRPr="009366A0" w:rsidTr="009366A0">
        <w:tc>
          <w:tcPr>
            <w:tcW w:w="2551" w:type="dxa"/>
          </w:tcPr>
          <w:p w:rsidR="001B6213" w:rsidRPr="009366A0" w:rsidRDefault="001B6213">
            <w:pPr>
              <w:rPr>
                <w:rFonts w:ascii="Arial" w:hAnsi="Arial"/>
                <w:sz w:val="24"/>
                <w:lang w:val="fr-CA"/>
              </w:rPr>
            </w:pPr>
            <w:r w:rsidRPr="009366A0">
              <w:rPr>
                <w:rFonts w:ascii="Arial" w:hAnsi="Arial"/>
                <w:sz w:val="22"/>
                <w:lang w:val="fr-CA"/>
              </w:rPr>
              <w:t>le problème est résolu</w:t>
            </w:r>
          </w:p>
        </w:tc>
        <w:tc>
          <w:tcPr>
            <w:tcW w:w="4779" w:type="dxa"/>
          </w:tcPr>
          <w:p w:rsidR="001B6213" w:rsidRPr="009366A0" w:rsidRDefault="001B6213" w:rsidP="001B6213">
            <w:pPr>
              <w:rPr>
                <w:rFonts w:ascii="Arial" w:hAnsi="Arial"/>
                <w:sz w:val="24"/>
                <w:lang w:val="fr-CA"/>
              </w:rPr>
            </w:pPr>
            <w:r w:rsidRPr="009366A0">
              <w:rPr>
                <w:rFonts w:ascii="Arial" w:hAnsi="Arial"/>
                <w:sz w:val="22"/>
                <w:lang w:val="fr-CA"/>
              </w:rPr>
              <w:t>voir la Remarque</w:t>
            </w:r>
            <w:r w:rsidR="00B96C6A">
              <w:rPr>
                <w:rFonts w:ascii="Arial" w:hAnsi="Arial"/>
                <w:sz w:val="22"/>
                <w:lang w:val="fr-CA"/>
              </w:rPr>
              <w:t> </w:t>
            </w:r>
            <w:r w:rsidRPr="009366A0">
              <w:rPr>
                <w:rFonts w:ascii="Arial" w:hAnsi="Arial"/>
                <w:sz w:val="22"/>
                <w:lang w:val="fr-CA"/>
              </w:rPr>
              <w:t>8.1 et passer à l’étape</w:t>
            </w:r>
            <w:r w:rsidR="00B96C6A">
              <w:rPr>
                <w:rFonts w:ascii="Arial" w:hAnsi="Arial"/>
                <w:sz w:val="22"/>
                <w:lang w:val="fr-CA"/>
              </w:rPr>
              <w:t> </w:t>
            </w:r>
            <w:r w:rsidRPr="009366A0">
              <w:rPr>
                <w:rFonts w:ascii="Arial" w:hAnsi="Arial"/>
                <w:sz w:val="22"/>
                <w:lang w:val="fr-CA"/>
              </w:rPr>
              <w:t>6.4.</w:t>
            </w:r>
          </w:p>
        </w:tc>
      </w:tr>
      <w:tr w:rsidR="001B6213" w:rsidRPr="009366A0" w:rsidTr="009366A0">
        <w:tc>
          <w:tcPr>
            <w:tcW w:w="2551" w:type="dxa"/>
          </w:tcPr>
          <w:p w:rsidR="001B6213" w:rsidRPr="009366A0" w:rsidRDefault="001B6213" w:rsidP="001B6213">
            <w:pPr>
              <w:rPr>
                <w:rFonts w:ascii="Arial" w:hAnsi="Arial"/>
                <w:sz w:val="24"/>
                <w:lang w:val="fr-CA"/>
              </w:rPr>
            </w:pPr>
            <w:r w:rsidRPr="009366A0">
              <w:rPr>
                <w:rFonts w:ascii="Arial" w:hAnsi="Arial"/>
                <w:sz w:val="22"/>
                <w:lang w:val="fr-CA"/>
              </w:rPr>
              <w:t>le problème persiste et qu’il faut procéder à une transfusion urgente (STAT)</w:t>
            </w:r>
          </w:p>
        </w:tc>
        <w:tc>
          <w:tcPr>
            <w:tcW w:w="4779" w:type="dxa"/>
          </w:tcPr>
          <w:p w:rsidR="001B6213" w:rsidRPr="009366A0" w:rsidRDefault="001B6213" w:rsidP="001B6213">
            <w:pPr>
              <w:rPr>
                <w:rFonts w:ascii="Arial" w:hAnsi="Arial"/>
                <w:sz w:val="22"/>
                <w:lang w:val="fr-CA"/>
              </w:rPr>
            </w:pPr>
            <w:r w:rsidRPr="009366A0">
              <w:rPr>
                <w:rFonts w:ascii="Arial" w:hAnsi="Arial"/>
                <w:sz w:val="22"/>
                <w:lang w:val="fr-CA"/>
              </w:rPr>
              <w:t>mettre en circulation des unités de donneur Rh négatif. Voir Remarque</w:t>
            </w:r>
            <w:r w:rsidR="00B96C6A">
              <w:rPr>
                <w:rFonts w:ascii="Arial" w:hAnsi="Arial"/>
                <w:sz w:val="22"/>
                <w:lang w:val="fr-CA"/>
              </w:rPr>
              <w:t> </w:t>
            </w:r>
            <w:r w:rsidRPr="009366A0">
              <w:rPr>
                <w:rFonts w:ascii="Arial" w:hAnsi="Arial"/>
                <w:sz w:val="22"/>
                <w:lang w:val="fr-CA"/>
              </w:rPr>
              <w:t>8.8.</w:t>
            </w:r>
          </w:p>
        </w:tc>
      </w:tr>
    </w:tbl>
    <w:p w:rsidR="0068429A" w:rsidRPr="00BC3F6A" w:rsidRDefault="0068429A">
      <w:pPr>
        <w:ind w:left="720"/>
        <w:rPr>
          <w:rFonts w:ascii="Arial" w:hAnsi="Arial"/>
          <w:sz w:val="24"/>
          <w:lang w:val="fr-CA"/>
        </w:rPr>
      </w:pPr>
    </w:p>
    <w:p w:rsidR="0068429A" w:rsidRPr="007E41DD" w:rsidRDefault="001B6213">
      <w:pPr>
        <w:numPr>
          <w:ilvl w:val="1"/>
          <w:numId w:val="1"/>
        </w:numPr>
        <w:rPr>
          <w:rFonts w:ascii="Arial" w:hAnsi="Arial"/>
          <w:sz w:val="24"/>
          <w:lang w:val="fr-CA"/>
        </w:rPr>
      </w:pPr>
      <w:r>
        <w:rPr>
          <w:rFonts w:ascii="Arial" w:hAnsi="Arial"/>
          <w:sz w:val="24"/>
          <w:lang w:val="fr-CA"/>
        </w:rPr>
        <w:t xml:space="preserve">Détermination du problème lié </w:t>
      </w:r>
      <w:r w:rsidR="007E41DD" w:rsidRPr="007E41DD">
        <w:rPr>
          <w:rFonts w:ascii="Arial" w:hAnsi="Arial"/>
          <w:sz w:val="24"/>
          <w:lang w:val="fr-CA"/>
        </w:rPr>
        <w:t xml:space="preserve">à la détermination du facteur </w:t>
      </w:r>
      <w:r w:rsidR="0068429A" w:rsidRPr="007E41DD">
        <w:rPr>
          <w:rFonts w:ascii="Arial" w:hAnsi="Arial"/>
          <w:sz w:val="24"/>
          <w:lang w:val="fr-CA"/>
        </w:rPr>
        <w:t>Rh</w:t>
      </w:r>
      <w:r>
        <w:rPr>
          <w:rFonts w:ascii="Arial" w:hAnsi="Arial"/>
          <w:sz w:val="24"/>
          <w:lang w:val="fr-CA"/>
        </w:rPr>
        <w:t xml:space="preserve"> et étapes appropriées</w:t>
      </w:r>
      <w:r w:rsidR="007E41DD" w:rsidRPr="007E41DD">
        <w:rPr>
          <w:rFonts w:ascii="Arial" w:hAnsi="Arial"/>
          <w:sz w:val="24"/>
          <w:lang w:val="fr-CA"/>
        </w:rPr>
        <w:t> </w:t>
      </w:r>
      <w:r w:rsidR="0068429A" w:rsidRPr="007E41DD">
        <w:rPr>
          <w:rFonts w:ascii="Arial" w:hAnsi="Arial"/>
          <w:sz w:val="24"/>
          <w:lang w:val="fr-CA"/>
        </w:rPr>
        <w:t>:</w:t>
      </w:r>
    </w:p>
    <w:p w:rsidR="0068429A" w:rsidRPr="00BC3F6A" w:rsidRDefault="0068429A">
      <w:pPr>
        <w:ind w:left="720"/>
        <w:rPr>
          <w:rFonts w:ascii="Arial" w:hAnsi="Arial"/>
          <w:sz w:val="24"/>
          <w:lang w:val="fr-CA"/>
        </w:rPr>
      </w:pPr>
    </w:p>
    <w:p w:rsidR="0068429A" w:rsidRPr="00096DE4" w:rsidRDefault="001B6213">
      <w:pPr>
        <w:numPr>
          <w:ilvl w:val="2"/>
          <w:numId w:val="1"/>
        </w:numPr>
        <w:rPr>
          <w:rFonts w:ascii="Arial" w:hAnsi="Arial"/>
          <w:sz w:val="24"/>
          <w:lang w:val="fr-CA"/>
        </w:rPr>
      </w:pPr>
      <w:r>
        <w:rPr>
          <w:rFonts w:ascii="Arial" w:hAnsi="Arial"/>
          <w:sz w:val="24"/>
          <w:lang w:val="fr-CA"/>
        </w:rPr>
        <w:t xml:space="preserve">La réaction à l’anti-D se manifeste par un champ mixte et le </w:t>
      </w:r>
      <w:r w:rsidRPr="00BA159B">
        <w:rPr>
          <w:rFonts w:ascii="Arial" w:hAnsi="Arial"/>
          <w:sz w:val="24"/>
          <w:u w:val="single"/>
          <w:lang w:val="fr-CA"/>
        </w:rPr>
        <w:t>témoin est négatif</w:t>
      </w:r>
      <w:r>
        <w:rPr>
          <w:rFonts w:ascii="Arial" w:hAnsi="Arial"/>
          <w:sz w:val="24"/>
          <w:lang w:val="fr-CA"/>
        </w:rPr>
        <w:t> :</w:t>
      </w:r>
    </w:p>
    <w:p w:rsidR="0068429A" w:rsidRDefault="0068429A">
      <w:pPr>
        <w:ind w:left="1440"/>
        <w:rPr>
          <w:rFonts w:ascii="Arial" w:hAnsi="Arial"/>
          <w:sz w:val="24"/>
          <w:lang w:val="fr-C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4636"/>
      </w:tblGrid>
      <w:tr w:rsidR="00BA159B" w:rsidRPr="009366A0" w:rsidTr="009366A0">
        <w:tc>
          <w:tcPr>
            <w:tcW w:w="2551" w:type="dxa"/>
          </w:tcPr>
          <w:p w:rsidR="00BA159B" w:rsidRPr="009366A0" w:rsidRDefault="00BA159B" w:rsidP="009366A0">
            <w:pPr>
              <w:rPr>
                <w:rFonts w:ascii="Arial" w:hAnsi="Arial"/>
                <w:b/>
                <w:sz w:val="22"/>
                <w:lang w:val="fr-CA"/>
              </w:rPr>
            </w:pPr>
            <w:r w:rsidRPr="009366A0">
              <w:rPr>
                <w:rFonts w:ascii="Arial" w:hAnsi="Arial"/>
                <w:b/>
                <w:sz w:val="22"/>
                <w:lang w:val="fr-CA"/>
              </w:rPr>
              <w:t xml:space="preserve">Si…, </w:t>
            </w:r>
          </w:p>
        </w:tc>
        <w:tc>
          <w:tcPr>
            <w:tcW w:w="4779" w:type="dxa"/>
          </w:tcPr>
          <w:p w:rsidR="00BA159B" w:rsidRPr="009366A0" w:rsidRDefault="00BA159B" w:rsidP="009366A0">
            <w:pPr>
              <w:rPr>
                <w:rFonts w:ascii="Arial" w:hAnsi="Arial"/>
                <w:b/>
                <w:sz w:val="22"/>
                <w:lang w:val="fr-CA"/>
              </w:rPr>
            </w:pPr>
            <w:r w:rsidRPr="009366A0">
              <w:rPr>
                <w:rFonts w:ascii="Arial" w:hAnsi="Arial"/>
                <w:b/>
                <w:sz w:val="22"/>
                <w:lang w:val="fr-CA"/>
              </w:rPr>
              <w:t>Vous devez…</w:t>
            </w:r>
          </w:p>
        </w:tc>
      </w:tr>
      <w:tr w:rsidR="00BA159B" w:rsidRPr="009366A0" w:rsidTr="009366A0">
        <w:tc>
          <w:tcPr>
            <w:tcW w:w="2551" w:type="dxa"/>
          </w:tcPr>
          <w:p w:rsidR="00BA159B" w:rsidRPr="009366A0" w:rsidRDefault="00BA159B" w:rsidP="009366A0">
            <w:pPr>
              <w:rPr>
                <w:rFonts w:ascii="Arial" w:hAnsi="Arial"/>
                <w:sz w:val="24"/>
                <w:lang w:val="fr-CA"/>
              </w:rPr>
            </w:pPr>
            <w:r w:rsidRPr="009366A0">
              <w:rPr>
                <w:rFonts w:ascii="Arial" w:hAnsi="Arial"/>
                <w:sz w:val="22"/>
                <w:lang w:val="fr-CA"/>
              </w:rPr>
              <w:t xml:space="preserve"> le patient a reçu au cours des trois (3) derniers mois du sang ayant un facteur Rh différent</w:t>
            </w:r>
          </w:p>
        </w:tc>
        <w:tc>
          <w:tcPr>
            <w:tcW w:w="4779" w:type="dxa"/>
          </w:tcPr>
          <w:p w:rsidR="00BA159B" w:rsidRPr="009366A0" w:rsidRDefault="00BA159B" w:rsidP="009366A0">
            <w:pPr>
              <w:numPr>
                <w:ilvl w:val="0"/>
                <w:numId w:val="27"/>
              </w:numPr>
              <w:ind w:left="318" w:hanging="142"/>
              <w:rPr>
                <w:rFonts w:ascii="Arial" w:hAnsi="Arial"/>
                <w:sz w:val="24"/>
                <w:lang w:val="fr-CA"/>
              </w:rPr>
            </w:pPr>
            <w:r w:rsidRPr="009366A0">
              <w:rPr>
                <w:rFonts w:ascii="Arial" w:hAnsi="Arial"/>
                <w:sz w:val="22"/>
                <w:lang w:val="fr-CA"/>
              </w:rPr>
              <w:t>faire une lecture microscopique des tubes à la recherche d’agglutination de type champ mixte et noter les résultats</w:t>
            </w:r>
            <w:r w:rsidRPr="009366A0">
              <w:rPr>
                <w:rFonts w:ascii="Arial" w:hAnsi="Arial"/>
                <w:lang w:val="fr-CA"/>
              </w:rPr>
              <w:t>.</w:t>
            </w:r>
          </w:p>
          <w:p w:rsidR="00BA159B" w:rsidRPr="009366A0" w:rsidRDefault="00BA159B" w:rsidP="009366A0">
            <w:pPr>
              <w:numPr>
                <w:ilvl w:val="0"/>
                <w:numId w:val="27"/>
              </w:numPr>
              <w:ind w:left="318" w:hanging="142"/>
              <w:rPr>
                <w:rFonts w:ascii="Arial" w:hAnsi="Arial"/>
                <w:sz w:val="24"/>
                <w:lang w:val="fr-CA"/>
              </w:rPr>
            </w:pPr>
            <w:r w:rsidRPr="009366A0">
              <w:rPr>
                <w:rFonts w:ascii="Arial" w:hAnsi="Arial"/>
                <w:sz w:val="22"/>
                <w:lang w:val="fr-CA"/>
              </w:rPr>
              <w:t>écrire une note explicative au sujet de la divergence (p. ex. Le patient a reçu _______ unités de sang Rh positif le ________________).</w:t>
            </w:r>
          </w:p>
          <w:p w:rsidR="00BA159B" w:rsidRPr="009366A0" w:rsidRDefault="00BA159B" w:rsidP="009366A0">
            <w:pPr>
              <w:numPr>
                <w:ilvl w:val="0"/>
                <w:numId w:val="5"/>
              </w:numPr>
              <w:tabs>
                <w:tab w:val="clear" w:pos="360"/>
                <w:tab w:val="num" w:pos="318"/>
              </w:tabs>
              <w:ind w:left="318" w:hanging="188"/>
              <w:rPr>
                <w:rFonts w:ascii="Arial" w:hAnsi="Arial"/>
                <w:sz w:val="24"/>
                <w:lang w:val="fr-CA"/>
              </w:rPr>
            </w:pPr>
            <w:r w:rsidRPr="009366A0">
              <w:rPr>
                <w:rFonts w:ascii="Arial" w:hAnsi="Arial"/>
                <w:sz w:val="22"/>
                <w:lang w:val="fr-CA"/>
              </w:rPr>
              <w:t>Une hémorragie fœtomaternelle importante peut aussi susciter une agglutination de type champ mixte.</w:t>
            </w:r>
          </w:p>
        </w:tc>
      </w:tr>
      <w:tr w:rsidR="00BA159B" w:rsidRPr="009366A0" w:rsidTr="009366A0">
        <w:tc>
          <w:tcPr>
            <w:tcW w:w="2551" w:type="dxa"/>
          </w:tcPr>
          <w:p w:rsidR="00BA159B" w:rsidRPr="009366A0" w:rsidRDefault="00BA159B" w:rsidP="00BA159B">
            <w:pPr>
              <w:rPr>
                <w:rFonts w:ascii="Arial" w:hAnsi="Arial"/>
                <w:sz w:val="24"/>
                <w:lang w:val="fr-CA"/>
              </w:rPr>
            </w:pPr>
            <w:r w:rsidRPr="009366A0">
              <w:rPr>
                <w:rFonts w:ascii="Arial" w:hAnsi="Arial"/>
                <w:sz w:val="22"/>
                <w:lang w:val="fr-CA"/>
              </w:rPr>
              <w:t xml:space="preserve"> le patient n’a reçu aucune transfusion au cours des trois (3) derniers mois, </w:t>
            </w:r>
          </w:p>
        </w:tc>
        <w:tc>
          <w:tcPr>
            <w:tcW w:w="4779" w:type="dxa"/>
          </w:tcPr>
          <w:p w:rsidR="00BA159B" w:rsidRPr="009366A0" w:rsidRDefault="00BA159B" w:rsidP="00BA159B">
            <w:pPr>
              <w:rPr>
                <w:rFonts w:ascii="Arial" w:hAnsi="Arial"/>
                <w:sz w:val="22"/>
                <w:lang w:val="fr-CA"/>
              </w:rPr>
            </w:pPr>
            <w:r w:rsidRPr="009366A0">
              <w:rPr>
                <w:rFonts w:ascii="Arial" w:hAnsi="Arial"/>
                <w:sz w:val="22"/>
                <w:lang w:val="fr-CA"/>
              </w:rPr>
              <w:t xml:space="preserve">procéder à une détermination de l’antigène D faible. Voir AR.006 – Détermination de l’antigène D faible. </w:t>
            </w:r>
          </w:p>
        </w:tc>
      </w:tr>
    </w:tbl>
    <w:p w:rsidR="00BA159B" w:rsidRPr="0025758E" w:rsidRDefault="00BA159B">
      <w:pPr>
        <w:ind w:left="1440"/>
        <w:rPr>
          <w:rFonts w:ascii="Arial" w:hAnsi="Arial"/>
          <w:sz w:val="24"/>
          <w:lang w:val="fr-CA"/>
        </w:rPr>
      </w:pPr>
    </w:p>
    <w:p w:rsidR="00CF19F6" w:rsidRDefault="00CF19F6" w:rsidP="00CF19F6">
      <w:pPr>
        <w:numPr>
          <w:ilvl w:val="0"/>
          <w:numId w:val="4"/>
        </w:numPr>
        <w:tabs>
          <w:tab w:val="clear" w:pos="360"/>
          <w:tab w:val="num" w:pos="2520"/>
        </w:tabs>
        <w:ind w:left="2520" w:hanging="819"/>
        <w:rPr>
          <w:rFonts w:ascii="Arial" w:hAnsi="Arial"/>
          <w:sz w:val="24"/>
          <w:lang w:val="fr-CA"/>
        </w:rPr>
      </w:pPr>
      <w:r>
        <w:rPr>
          <w:rFonts w:ascii="Arial" w:hAnsi="Arial"/>
          <w:sz w:val="24"/>
          <w:lang w:val="fr-CA"/>
        </w:rPr>
        <w:t>Voir à la Remarque</w:t>
      </w:r>
      <w:r w:rsidR="00B96C6A">
        <w:rPr>
          <w:rFonts w:ascii="Arial" w:hAnsi="Arial"/>
          <w:sz w:val="24"/>
          <w:lang w:val="fr-CA"/>
        </w:rPr>
        <w:t> </w:t>
      </w:r>
      <w:r>
        <w:rPr>
          <w:rFonts w:ascii="Arial" w:hAnsi="Arial"/>
          <w:sz w:val="24"/>
          <w:lang w:val="fr-CA"/>
        </w:rPr>
        <w:t>8.2 les autres causes possibles d’agglutination de type champ mixte.</w:t>
      </w:r>
    </w:p>
    <w:p w:rsidR="0068429A" w:rsidRPr="0025758E" w:rsidRDefault="00CF19F6" w:rsidP="00CF19F6">
      <w:pPr>
        <w:numPr>
          <w:ilvl w:val="0"/>
          <w:numId w:val="4"/>
        </w:numPr>
        <w:tabs>
          <w:tab w:val="clear" w:pos="360"/>
          <w:tab w:val="num" w:pos="2520"/>
        </w:tabs>
        <w:ind w:left="2160" w:hanging="459"/>
        <w:rPr>
          <w:rFonts w:ascii="Arial" w:hAnsi="Arial"/>
          <w:sz w:val="24"/>
          <w:lang w:val="fr-CA"/>
        </w:rPr>
      </w:pPr>
      <w:r w:rsidRPr="00CF19F6">
        <w:rPr>
          <w:rFonts w:ascii="Arial" w:hAnsi="Arial"/>
          <w:sz w:val="24"/>
          <w:lang w:val="fr-CA"/>
        </w:rPr>
        <w:t>Si le problème est résolu, passer à l’étape</w:t>
      </w:r>
      <w:r w:rsidR="00B96C6A">
        <w:rPr>
          <w:rFonts w:ascii="Arial" w:hAnsi="Arial"/>
          <w:sz w:val="24"/>
          <w:lang w:val="fr-CA"/>
        </w:rPr>
        <w:t> </w:t>
      </w:r>
      <w:r w:rsidRPr="00CF19F6">
        <w:rPr>
          <w:rFonts w:ascii="Arial" w:hAnsi="Arial"/>
          <w:sz w:val="24"/>
          <w:lang w:val="fr-CA"/>
        </w:rPr>
        <w:t>6.4.</w:t>
      </w:r>
      <w:r>
        <w:rPr>
          <w:rFonts w:ascii="Arial" w:hAnsi="Arial"/>
          <w:sz w:val="24"/>
          <w:lang w:val="fr-CA"/>
        </w:rPr>
        <w:br/>
      </w:r>
      <w:r w:rsidRPr="00CF19F6">
        <w:rPr>
          <w:rFonts w:ascii="Arial" w:hAnsi="Arial"/>
          <w:sz w:val="24"/>
          <w:lang w:val="fr-CA"/>
        </w:rPr>
        <w:t xml:space="preserve"> </w:t>
      </w:r>
    </w:p>
    <w:p w:rsidR="00BA159B" w:rsidRDefault="00BA159B" w:rsidP="00BA159B">
      <w:pPr>
        <w:numPr>
          <w:ilvl w:val="2"/>
          <w:numId w:val="1"/>
        </w:numPr>
        <w:rPr>
          <w:rFonts w:ascii="Arial" w:hAnsi="Arial"/>
          <w:sz w:val="24"/>
          <w:lang w:val="fr-CA"/>
        </w:rPr>
      </w:pPr>
      <w:r>
        <w:rPr>
          <w:rFonts w:ascii="Arial" w:hAnsi="Arial"/>
          <w:sz w:val="24"/>
          <w:lang w:val="fr-CA"/>
        </w:rPr>
        <w:t xml:space="preserve">La réaction à l’anti-D se manifeste par un champ mixte et le </w:t>
      </w:r>
      <w:r w:rsidRPr="00BA159B">
        <w:rPr>
          <w:rFonts w:ascii="Arial" w:hAnsi="Arial"/>
          <w:sz w:val="24"/>
          <w:u w:val="single"/>
          <w:lang w:val="fr-CA"/>
        </w:rPr>
        <w:t xml:space="preserve">témoin est </w:t>
      </w:r>
      <w:r>
        <w:rPr>
          <w:rFonts w:ascii="Arial" w:hAnsi="Arial"/>
          <w:sz w:val="24"/>
          <w:u w:val="single"/>
          <w:lang w:val="fr-CA"/>
        </w:rPr>
        <w:t xml:space="preserve">positif : </w:t>
      </w:r>
      <w:r>
        <w:rPr>
          <w:rFonts w:ascii="Arial" w:hAnsi="Arial"/>
          <w:sz w:val="24"/>
          <w:lang w:val="fr-CA"/>
        </w:rPr>
        <w:t> </w:t>
      </w:r>
    </w:p>
    <w:p w:rsidR="00BA159B" w:rsidRDefault="00BA159B" w:rsidP="00BA159B">
      <w:pPr>
        <w:ind w:left="2160"/>
        <w:rPr>
          <w:rFonts w:ascii="Arial" w:hAnsi="Arial"/>
          <w:sz w:val="24"/>
          <w:lang w:val="fr-CA"/>
        </w:rPr>
      </w:pPr>
    </w:p>
    <w:p w:rsidR="00BA159B" w:rsidRPr="00C5601C" w:rsidRDefault="00BA159B" w:rsidP="00BA159B">
      <w:pPr>
        <w:numPr>
          <w:ilvl w:val="3"/>
          <w:numId w:val="1"/>
        </w:numPr>
        <w:rPr>
          <w:rFonts w:ascii="Arial" w:hAnsi="Arial"/>
          <w:sz w:val="24"/>
          <w:lang w:val="fr-CA"/>
        </w:rPr>
      </w:pPr>
      <w:r w:rsidRPr="00C5601C">
        <w:rPr>
          <w:rFonts w:ascii="Arial" w:hAnsi="Arial"/>
          <w:sz w:val="24"/>
          <w:lang w:val="fr-CA"/>
        </w:rPr>
        <w:t>Laver les cellules quatre (4) fois ave</w:t>
      </w:r>
      <w:r>
        <w:rPr>
          <w:rFonts w:ascii="Arial" w:hAnsi="Arial"/>
          <w:sz w:val="24"/>
          <w:lang w:val="fr-CA"/>
        </w:rPr>
        <w:t>c</w:t>
      </w:r>
      <w:r w:rsidRPr="00C5601C">
        <w:rPr>
          <w:rFonts w:ascii="Arial" w:hAnsi="Arial"/>
          <w:sz w:val="24"/>
          <w:lang w:val="fr-CA"/>
        </w:rPr>
        <w:t xml:space="preserve"> une </w:t>
      </w:r>
      <w:r>
        <w:rPr>
          <w:rFonts w:ascii="Arial" w:hAnsi="Arial"/>
          <w:sz w:val="24"/>
          <w:lang w:val="fr-CA"/>
        </w:rPr>
        <w:t>solution saline normale</w:t>
      </w:r>
      <w:r w:rsidRPr="00C5601C">
        <w:rPr>
          <w:rFonts w:ascii="Arial" w:hAnsi="Arial"/>
          <w:sz w:val="24"/>
          <w:lang w:val="fr-CA"/>
        </w:rPr>
        <w:t xml:space="preserve"> (en cas de soupçon d’agglutinines froides, prendre une </w:t>
      </w:r>
      <w:r>
        <w:rPr>
          <w:rFonts w:ascii="Arial" w:hAnsi="Arial"/>
          <w:sz w:val="24"/>
          <w:lang w:val="fr-CA"/>
        </w:rPr>
        <w:t>solution saline normale</w:t>
      </w:r>
      <w:r w:rsidRPr="00C5601C">
        <w:rPr>
          <w:rFonts w:ascii="Arial" w:hAnsi="Arial"/>
          <w:sz w:val="24"/>
          <w:lang w:val="fr-CA"/>
        </w:rPr>
        <w:t xml:space="preserve"> chauffée à 37 </w:t>
      </w:r>
      <w:r w:rsidRPr="00C5601C">
        <w:rPr>
          <w:rFonts w:ascii="Arial" w:hAnsi="Arial"/>
          <w:sz w:val="24"/>
          <w:vertAlign w:val="superscript"/>
          <w:lang w:val="fr-CA"/>
        </w:rPr>
        <w:t>o</w:t>
      </w:r>
      <w:r w:rsidRPr="00C5601C">
        <w:rPr>
          <w:rFonts w:ascii="Arial" w:hAnsi="Arial"/>
          <w:sz w:val="24"/>
          <w:lang w:val="fr-CA"/>
        </w:rPr>
        <w:t xml:space="preserve">C </w:t>
      </w:r>
      <w:r>
        <w:rPr>
          <w:rFonts w:ascii="Arial" w:hAnsi="Arial"/>
          <w:sz w:val="24"/>
          <w:lang w:val="fr-CA"/>
        </w:rPr>
        <w:t>p</w:t>
      </w:r>
      <w:r w:rsidRPr="00C5601C">
        <w:rPr>
          <w:rFonts w:ascii="Arial" w:hAnsi="Arial"/>
          <w:sz w:val="24"/>
          <w:lang w:val="fr-CA"/>
        </w:rPr>
        <w:t>our laver les cellules</w:t>
      </w:r>
      <w:r>
        <w:rPr>
          <w:rFonts w:ascii="Arial" w:hAnsi="Arial"/>
          <w:sz w:val="24"/>
          <w:lang w:val="fr-CA"/>
        </w:rPr>
        <w:t>)</w:t>
      </w:r>
      <w:r w:rsidRPr="00C5601C">
        <w:rPr>
          <w:rFonts w:ascii="Arial" w:hAnsi="Arial"/>
          <w:sz w:val="24"/>
          <w:lang w:val="fr-CA"/>
        </w:rPr>
        <w:t>.</w:t>
      </w:r>
      <w:r>
        <w:rPr>
          <w:rFonts w:ascii="Arial" w:hAnsi="Arial"/>
          <w:sz w:val="24"/>
          <w:lang w:val="fr-CA"/>
        </w:rPr>
        <w:t xml:space="preserve"> </w:t>
      </w:r>
      <w:r w:rsidRPr="00C5601C">
        <w:rPr>
          <w:rFonts w:ascii="Arial" w:hAnsi="Arial"/>
          <w:sz w:val="24"/>
          <w:lang w:val="fr-CA"/>
        </w:rPr>
        <w:t xml:space="preserve">Voir </w:t>
      </w:r>
      <w:r w:rsidR="00CF19F6">
        <w:rPr>
          <w:rFonts w:ascii="Arial" w:hAnsi="Arial"/>
          <w:sz w:val="24"/>
          <w:lang w:val="fr-CA"/>
        </w:rPr>
        <w:t>AR</w:t>
      </w:r>
      <w:r w:rsidRPr="00C5601C">
        <w:rPr>
          <w:rFonts w:ascii="Arial" w:hAnsi="Arial"/>
          <w:sz w:val="24"/>
          <w:lang w:val="fr-CA"/>
        </w:rPr>
        <w:t>.00</w:t>
      </w:r>
      <w:r w:rsidR="00CF19F6">
        <w:rPr>
          <w:rFonts w:ascii="Arial" w:hAnsi="Arial"/>
          <w:sz w:val="24"/>
          <w:lang w:val="fr-CA"/>
        </w:rPr>
        <w:t>2</w:t>
      </w:r>
      <w:r w:rsidRPr="00C5601C">
        <w:rPr>
          <w:rFonts w:ascii="Arial" w:hAnsi="Arial"/>
          <w:sz w:val="24"/>
          <w:lang w:val="fr-CA"/>
        </w:rPr>
        <w:t xml:space="preserve"> - Lavage automatisé ou manuel des cellules.</w:t>
      </w:r>
    </w:p>
    <w:p w:rsidR="00BA159B" w:rsidRPr="00C5601C" w:rsidRDefault="00BA159B" w:rsidP="00BA159B">
      <w:pPr>
        <w:numPr>
          <w:ilvl w:val="3"/>
          <w:numId w:val="1"/>
        </w:numPr>
        <w:rPr>
          <w:rFonts w:ascii="Arial" w:hAnsi="Arial"/>
          <w:sz w:val="24"/>
          <w:lang w:val="fr-CA"/>
        </w:rPr>
      </w:pPr>
      <w:r w:rsidRPr="00C5601C">
        <w:rPr>
          <w:rFonts w:ascii="Arial" w:hAnsi="Arial"/>
          <w:sz w:val="24"/>
          <w:lang w:val="fr-CA"/>
        </w:rPr>
        <w:t xml:space="preserve">Répéter la détermination du facteur Rh sur une suspension </w:t>
      </w:r>
      <w:r w:rsidR="00CF19F6">
        <w:rPr>
          <w:rFonts w:ascii="Arial" w:hAnsi="Arial"/>
          <w:sz w:val="24"/>
          <w:lang w:val="fr-CA"/>
        </w:rPr>
        <w:t xml:space="preserve">fraîche </w:t>
      </w:r>
      <w:r w:rsidRPr="00C5601C">
        <w:rPr>
          <w:rFonts w:ascii="Arial" w:hAnsi="Arial"/>
          <w:sz w:val="24"/>
          <w:lang w:val="fr-CA"/>
        </w:rPr>
        <w:t>à 3</w:t>
      </w:r>
      <w:r w:rsidR="00B96C6A">
        <w:rPr>
          <w:rFonts w:ascii="Arial" w:hAnsi="Arial"/>
          <w:sz w:val="24"/>
          <w:lang w:val="fr-CA"/>
        </w:rPr>
        <w:t> </w:t>
      </w:r>
      <w:r w:rsidRPr="00C5601C">
        <w:rPr>
          <w:rFonts w:ascii="Arial" w:hAnsi="Arial"/>
          <w:sz w:val="24"/>
          <w:lang w:val="fr-CA"/>
        </w:rPr>
        <w:t xml:space="preserve">% de cellules </w:t>
      </w:r>
      <w:r w:rsidRPr="00935E1C">
        <w:rPr>
          <w:rFonts w:ascii="Arial" w:hAnsi="Arial"/>
          <w:sz w:val="24"/>
          <w:lang w:val="fr-CA"/>
        </w:rPr>
        <w:t>lavées</w:t>
      </w:r>
      <w:r w:rsidRPr="00C5601C">
        <w:rPr>
          <w:rFonts w:ascii="Arial" w:hAnsi="Arial"/>
          <w:sz w:val="24"/>
          <w:lang w:val="fr-CA"/>
        </w:rPr>
        <w:t>.</w:t>
      </w:r>
    </w:p>
    <w:p w:rsidR="00BA159B" w:rsidRPr="00BC3F6A" w:rsidRDefault="00BA159B" w:rsidP="00BA159B">
      <w:pPr>
        <w:numPr>
          <w:ilvl w:val="3"/>
          <w:numId w:val="1"/>
        </w:numPr>
        <w:rPr>
          <w:rFonts w:ascii="Arial" w:hAnsi="Arial"/>
          <w:sz w:val="24"/>
          <w:lang w:val="fr-CA"/>
        </w:rPr>
      </w:pPr>
      <w:r w:rsidRPr="00C5601C">
        <w:rPr>
          <w:rFonts w:ascii="Arial" w:hAnsi="Arial"/>
          <w:sz w:val="24"/>
          <w:lang w:val="fr-CA"/>
        </w:rPr>
        <w:t>Si le témoin est négatif lors de l’utilisation d’une suspension à 3</w:t>
      </w:r>
      <w:r w:rsidR="00B96C6A">
        <w:rPr>
          <w:rFonts w:ascii="Arial" w:hAnsi="Arial"/>
          <w:sz w:val="24"/>
          <w:lang w:val="fr-CA"/>
        </w:rPr>
        <w:t> </w:t>
      </w:r>
      <w:r w:rsidRPr="00C5601C">
        <w:rPr>
          <w:rFonts w:ascii="Arial" w:hAnsi="Arial"/>
          <w:sz w:val="24"/>
          <w:lang w:val="fr-CA"/>
        </w:rPr>
        <w:t xml:space="preserve">% de cellules </w:t>
      </w:r>
      <w:r w:rsidRPr="006F2C9F">
        <w:rPr>
          <w:rFonts w:ascii="Arial" w:hAnsi="Arial"/>
          <w:sz w:val="24"/>
          <w:lang w:val="fr-CA"/>
        </w:rPr>
        <w:t>lavées</w:t>
      </w:r>
      <w:r w:rsidRPr="00C5601C">
        <w:rPr>
          <w:rFonts w:ascii="Arial" w:hAnsi="Arial"/>
          <w:sz w:val="24"/>
          <w:lang w:val="fr-CA"/>
        </w:rPr>
        <w:t>, inscrire le facteur Rh. Voir à la Remarque</w:t>
      </w:r>
      <w:r w:rsidR="00B96C6A">
        <w:rPr>
          <w:rFonts w:ascii="Arial" w:hAnsi="Arial"/>
          <w:sz w:val="24"/>
          <w:lang w:val="fr-CA"/>
        </w:rPr>
        <w:t> </w:t>
      </w:r>
      <w:r w:rsidRPr="00C5601C">
        <w:rPr>
          <w:rFonts w:ascii="Arial" w:hAnsi="Arial"/>
          <w:sz w:val="24"/>
          <w:lang w:val="fr-CA"/>
        </w:rPr>
        <w:t>8.3 les causes possibles. Passer à l’étape</w:t>
      </w:r>
      <w:r w:rsidR="00B96C6A">
        <w:rPr>
          <w:rFonts w:ascii="Arial" w:hAnsi="Arial"/>
          <w:sz w:val="24"/>
          <w:lang w:val="fr-CA"/>
        </w:rPr>
        <w:t> </w:t>
      </w:r>
      <w:r w:rsidRPr="00C5601C">
        <w:rPr>
          <w:rFonts w:ascii="Arial" w:hAnsi="Arial"/>
          <w:sz w:val="24"/>
          <w:lang w:val="fr-CA"/>
        </w:rPr>
        <w:t>6.</w:t>
      </w:r>
      <w:r w:rsidR="00CF19F6">
        <w:rPr>
          <w:rFonts w:ascii="Arial" w:hAnsi="Arial"/>
          <w:sz w:val="24"/>
          <w:lang w:val="fr-CA"/>
        </w:rPr>
        <w:t>4</w:t>
      </w:r>
      <w:r w:rsidRPr="00C5601C">
        <w:rPr>
          <w:rFonts w:ascii="Arial" w:hAnsi="Arial"/>
          <w:sz w:val="24"/>
          <w:lang w:val="fr-CA"/>
        </w:rPr>
        <w:t>.</w:t>
      </w:r>
    </w:p>
    <w:p w:rsidR="0068429A" w:rsidRPr="00935E1C" w:rsidRDefault="0068429A" w:rsidP="00CF19F6">
      <w:pPr>
        <w:rPr>
          <w:rFonts w:ascii="Arial" w:hAnsi="Arial"/>
          <w:sz w:val="24"/>
          <w:lang w:val="fr-C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4890"/>
      </w:tblGrid>
      <w:tr w:rsidR="00BA159B" w:rsidRPr="009366A0" w:rsidTr="009366A0">
        <w:tc>
          <w:tcPr>
            <w:tcW w:w="2268" w:type="dxa"/>
          </w:tcPr>
          <w:p w:rsidR="00BA159B" w:rsidRPr="009366A0" w:rsidRDefault="00BA159B" w:rsidP="009366A0">
            <w:pPr>
              <w:rPr>
                <w:rFonts w:ascii="Arial" w:hAnsi="Arial"/>
                <w:b/>
                <w:sz w:val="22"/>
                <w:lang w:val="fr-CA"/>
              </w:rPr>
            </w:pPr>
            <w:r w:rsidRPr="009366A0">
              <w:rPr>
                <w:rFonts w:ascii="Arial" w:hAnsi="Arial"/>
                <w:b/>
                <w:sz w:val="22"/>
                <w:lang w:val="fr-CA"/>
              </w:rPr>
              <w:t xml:space="preserve">Si…, </w:t>
            </w:r>
          </w:p>
        </w:tc>
        <w:tc>
          <w:tcPr>
            <w:tcW w:w="5062" w:type="dxa"/>
          </w:tcPr>
          <w:p w:rsidR="00BA159B" w:rsidRPr="009366A0" w:rsidRDefault="00BA159B" w:rsidP="009366A0">
            <w:pPr>
              <w:rPr>
                <w:rFonts w:ascii="Arial" w:hAnsi="Arial"/>
                <w:b/>
                <w:sz w:val="22"/>
                <w:lang w:val="fr-CA"/>
              </w:rPr>
            </w:pPr>
            <w:r w:rsidRPr="009366A0">
              <w:rPr>
                <w:rFonts w:ascii="Arial" w:hAnsi="Arial"/>
                <w:b/>
                <w:sz w:val="22"/>
                <w:lang w:val="fr-CA"/>
              </w:rPr>
              <w:t>Vous devez…</w:t>
            </w:r>
          </w:p>
        </w:tc>
      </w:tr>
      <w:tr w:rsidR="00BA159B" w:rsidRPr="009366A0" w:rsidTr="009366A0">
        <w:tc>
          <w:tcPr>
            <w:tcW w:w="2268" w:type="dxa"/>
          </w:tcPr>
          <w:p w:rsidR="00BA159B" w:rsidRPr="009366A0" w:rsidRDefault="00CF19F6" w:rsidP="00CF19F6">
            <w:pPr>
              <w:rPr>
                <w:rFonts w:ascii="Arial" w:hAnsi="Arial"/>
                <w:sz w:val="24"/>
                <w:lang w:val="fr-CA"/>
              </w:rPr>
            </w:pPr>
            <w:r w:rsidRPr="009366A0">
              <w:rPr>
                <w:rFonts w:ascii="Arial" w:hAnsi="Arial"/>
                <w:sz w:val="22"/>
                <w:lang w:val="fr-CA"/>
              </w:rPr>
              <w:t xml:space="preserve">le témoin reste positif quand on utilise des cellules lavées, </w:t>
            </w:r>
          </w:p>
        </w:tc>
        <w:tc>
          <w:tcPr>
            <w:tcW w:w="5062" w:type="dxa"/>
          </w:tcPr>
          <w:p w:rsidR="00BA159B" w:rsidRPr="009366A0" w:rsidRDefault="00CF19F6" w:rsidP="009D4308">
            <w:pPr>
              <w:rPr>
                <w:rFonts w:ascii="Arial" w:hAnsi="Arial"/>
                <w:sz w:val="24"/>
                <w:lang w:val="fr-CA"/>
              </w:rPr>
            </w:pPr>
            <w:r w:rsidRPr="009366A0">
              <w:rPr>
                <w:rFonts w:ascii="Arial" w:hAnsi="Arial"/>
                <w:sz w:val="22"/>
                <w:lang w:val="fr-CA"/>
              </w:rPr>
              <w:t>faire un test direct à l’antiglobuline (TDA). Voir AR.00</w:t>
            </w:r>
            <w:r w:rsidR="009D4308" w:rsidRPr="009366A0">
              <w:rPr>
                <w:rFonts w:ascii="Arial" w:hAnsi="Arial"/>
                <w:sz w:val="22"/>
                <w:lang w:val="fr-CA"/>
              </w:rPr>
              <w:t>7</w:t>
            </w:r>
            <w:r w:rsidRPr="009366A0">
              <w:rPr>
                <w:rFonts w:ascii="Arial" w:hAnsi="Arial"/>
                <w:sz w:val="22"/>
                <w:lang w:val="fr-CA"/>
              </w:rPr>
              <w:t xml:space="preserve"> - Test direct à l'antiglobuline </w:t>
            </w:r>
          </w:p>
        </w:tc>
      </w:tr>
      <w:tr w:rsidR="00BA159B" w:rsidRPr="009366A0" w:rsidTr="009366A0">
        <w:tc>
          <w:tcPr>
            <w:tcW w:w="2268" w:type="dxa"/>
          </w:tcPr>
          <w:p w:rsidR="00BA159B" w:rsidRPr="009366A0" w:rsidRDefault="00CF19F6" w:rsidP="009366A0">
            <w:pPr>
              <w:rPr>
                <w:rFonts w:ascii="Arial" w:hAnsi="Arial"/>
                <w:sz w:val="24"/>
                <w:lang w:val="fr-CA"/>
              </w:rPr>
            </w:pPr>
            <w:r w:rsidRPr="009366A0">
              <w:rPr>
                <w:rFonts w:ascii="Arial" w:hAnsi="Arial"/>
                <w:sz w:val="22"/>
                <w:szCs w:val="22"/>
                <w:lang w:val="fr-CA"/>
              </w:rPr>
              <w:t>le TDA est positif,</w:t>
            </w:r>
          </w:p>
        </w:tc>
        <w:tc>
          <w:tcPr>
            <w:tcW w:w="5062" w:type="dxa"/>
          </w:tcPr>
          <w:p w:rsidR="00BA159B" w:rsidRPr="009366A0" w:rsidRDefault="00CF19F6" w:rsidP="009366A0">
            <w:pPr>
              <w:rPr>
                <w:rFonts w:ascii="Arial" w:hAnsi="Arial"/>
                <w:sz w:val="22"/>
                <w:lang w:val="fr-CA"/>
              </w:rPr>
            </w:pPr>
            <w:r w:rsidRPr="009366A0">
              <w:rPr>
                <w:rFonts w:ascii="Arial" w:hAnsi="Arial"/>
                <w:sz w:val="22"/>
                <w:szCs w:val="22"/>
                <w:lang w:val="fr-CA"/>
              </w:rPr>
              <w:t>répéter la détermination du facteur RH en se servant d’un anti-D monoclonal et d’un témoin d’ABS à 6 %.</w:t>
            </w:r>
          </w:p>
        </w:tc>
      </w:tr>
      <w:tr w:rsidR="00CF19F6" w:rsidRPr="009366A0" w:rsidTr="009366A0">
        <w:tc>
          <w:tcPr>
            <w:tcW w:w="2268" w:type="dxa"/>
          </w:tcPr>
          <w:p w:rsidR="00CF19F6" w:rsidRPr="009366A0" w:rsidRDefault="00CF19F6" w:rsidP="009366A0">
            <w:pPr>
              <w:rPr>
                <w:rFonts w:ascii="Arial" w:hAnsi="Arial"/>
                <w:sz w:val="22"/>
                <w:szCs w:val="22"/>
                <w:lang w:val="fr-CA"/>
              </w:rPr>
            </w:pPr>
            <w:r w:rsidRPr="009366A0">
              <w:rPr>
                <w:rFonts w:ascii="Arial" w:hAnsi="Arial"/>
                <w:sz w:val="22"/>
                <w:szCs w:val="22"/>
                <w:lang w:val="fr-CA"/>
              </w:rPr>
              <w:t>le témoin est négatif,</w:t>
            </w:r>
          </w:p>
        </w:tc>
        <w:tc>
          <w:tcPr>
            <w:tcW w:w="5062" w:type="dxa"/>
          </w:tcPr>
          <w:p w:rsidR="00CF19F6" w:rsidRPr="009366A0" w:rsidRDefault="00CF19F6" w:rsidP="009366A0">
            <w:pPr>
              <w:rPr>
                <w:rFonts w:ascii="Arial" w:hAnsi="Arial"/>
                <w:sz w:val="22"/>
                <w:szCs w:val="22"/>
                <w:lang w:val="fr-CA"/>
              </w:rPr>
            </w:pPr>
            <w:r w:rsidRPr="009366A0">
              <w:rPr>
                <w:rFonts w:ascii="Arial" w:hAnsi="Arial"/>
                <w:sz w:val="22"/>
                <w:szCs w:val="22"/>
                <w:lang w:val="fr-CA"/>
              </w:rPr>
              <w:t>inscrire le facteur Rh</w:t>
            </w:r>
          </w:p>
        </w:tc>
      </w:tr>
      <w:tr w:rsidR="00CF19F6" w:rsidRPr="009366A0" w:rsidTr="009366A0">
        <w:tc>
          <w:tcPr>
            <w:tcW w:w="2268" w:type="dxa"/>
          </w:tcPr>
          <w:p w:rsidR="00CF19F6" w:rsidRPr="009366A0" w:rsidRDefault="00CF19F6" w:rsidP="009366A0">
            <w:pPr>
              <w:rPr>
                <w:rFonts w:ascii="Arial" w:hAnsi="Arial"/>
                <w:sz w:val="22"/>
                <w:szCs w:val="22"/>
                <w:lang w:val="fr-CA"/>
              </w:rPr>
            </w:pPr>
            <w:r w:rsidRPr="009366A0">
              <w:rPr>
                <w:rFonts w:ascii="Arial" w:hAnsi="Arial"/>
                <w:sz w:val="22"/>
                <w:szCs w:val="22"/>
                <w:lang w:val="fr-CA"/>
              </w:rPr>
              <w:t>le témoin est positif,</w:t>
            </w:r>
          </w:p>
        </w:tc>
        <w:tc>
          <w:tcPr>
            <w:tcW w:w="5062" w:type="dxa"/>
          </w:tcPr>
          <w:p w:rsidR="008C3CC6" w:rsidRPr="009366A0" w:rsidRDefault="00CF19F6" w:rsidP="008C3CC6">
            <w:pPr>
              <w:rPr>
                <w:rFonts w:ascii="Arial" w:hAnsi="Arial"/>
                <w:sz w:val="22"/>
                <w:lang w:val="fr-CA"/>
              </w:rPr>
            </w:pPr>
            <w:r w:rsidRPr="009366A0">
              <w:rPr>
                <w:rFonts w:ascii="Arial" w:hAnsi="Arial"/>
                <w:sz w:val="22"/>
                <w:szCs w:val="22"/>
                <w:lang w:val="fr-CA"/>
              </w:rPr>
              <w:t>traiter les cellules par chloroquine pour retirer les anticorps qui recouvrent les cellules. Suivre les directives du fabricant pour traiter les cellules par chloroquine</w:t>
            </w:r>
            <w:r w:rsidR="001E4BA7" w:rsidRPr="009366A0">
              <w:rPr>
                <w:rFonts w:ascii="Arial" w:hAnsi="Arial"/>
                <w:sz w:val="22"/>
                <w:szCs w:val="22"/>
                <w:lang w:val="fr-CA"/>
              </w:rPr>
              <w:t>. V</w:t>
            </w:r>
            <w:r w:rsidR="00AB78C8" w:rsidRPr="009366A0">
              <w:rPr>
                <w:rFonts w:ascii="Arial" w:hAnsi="Arial"/>
                <w:sz w:val="22"/>
                <w:szCs w:val="22"/>
                <w:lang w:val="fr-CA"/>
              </w:rPr>
              <w:t>o</w:t>
            </w:r>
            <w:r w:rsidR="001E4BA7" w:rsidRPr="009366A0">
              <w:rPr>
                <w:rFonts w:ascii="Arial" w:hAnsi="Arial"/>
                <w:sz w:val="22"/>
                <w:szCs w:val="22"/>
                <w:lang w:val="fr-CA"/>
              </w:rPr>
              <w:t xml:space="preserve">us pourriez aussi vous </w:t>
            </w:r>
            <w:r w:rsidR="001E4BA7" w:rsidRPr="009366A0">
              <w:rPr>
                <w:rFonts w:ascii="Arial" w:hAnsi="Arial"/>
                <w:sz w:val="22"/>
                <w:lang w:val="fr-CA"/>
              </w:rPr>
              <w:t>servir d’une trousse EGA ou envoyer l’échantillon à un laboratoire de référence pour étude</w:t>
            </w:r>
            <w:r w:rsidR="008C3CC6" w:rsidRPr="009366A0">
              <w:rPr>
                <w:rFonts w:ascii="Arial" w:hAnsi="Arial"/>
                <w:sz w:val="22"/>
                <w:lang w:val="fr-CA"/>
              </w:rPr>
              <w:t>;</w:t>
            </w:r>
          </w:p>
          <w:p w:rsidR="001E4BA7" w:rsidRPr="009366A0" w:rsidRDefault="008C3CC6" w:rsidP="008C3CC6">
            <w:pPr>
              <w:rPr>
                <w:rFonts w:ascii="Arial" w:hAnsi="Arial"/>
                <w:sz w:val="22"/>
                <w:szCs w:val="22"/>
                <w:lang w:val="fr-CA"/>
              </w:rPr>
            </w:pPr>
            <w:r w:rsidRPr="009366A0">
              <w:rPr>
                <w:rFonts w:ascii="Arial" w:hAnsi="Arial"/>
                <w:sz w:val="22"/>
                <w:lang w:val="fr-CA"/>
              </w:rPr>
              <w:t>r</w:t>
            </w:r>
            <w:r w:rsidR="001E4BA7" w:rsidRPr="009366A0">
              <w:rPr>
                <w:rFonts w:ascii="Arial" w:hAnsi="Arial"/>
                <w:sz w:val="22"/>
                <w:lang w:val="fr-CA"/>
              </w:rPr>
              <w:t>épéter la détermination à l’aide de cellules traitées par chloroquine/EGA. (Voir PS.011 – Dissociation d’IgG par choloroquine ou trousse EGA.)</w:t>
            </w:r>
          </w:p>
        </w:tc>
      </w:tr>
      <w:tr w:rsidR="001E4BA7" w:rsidRPr="009366A0" w:rsidTr="009366A0">
        <w:tc>
          <w:tcPr>
            <w:tcW w:w="2268" w:type="dxa"/>
          </w:tcPr>
          <w:p w:rsidR="001E4BA7" w:rsidRPr="009366A0" w:rsidRDefault="001E4BA7" w:rsidP="009366A0">
            <w:pPr>
              <w:rPr>
                <w:rFonts w:ascii="Arial" w:hAnsi="Arial"/>
                <w:sz w:val="22"/>
                <w:szCs w:val="22"/>
                <w:lang w:val="fr-CA"/>
              </w:rPr>
            </w:pPr>
            <w:r w:rsidRPr="009366A0">
              <w:rPr>
                <w:rFonts w:ascii="Arial" w:hAnsi="Arial"/>
                <w:sz w:val="22"/>
                <w:lang w:val="fr-CA"/>
              </w:rPr>
              <w:t>la divergence est résolue</w:t>
            </w:r>
          </w:p>
        </w:tc>
        <w:tc>
          <w:tcPr>
            <w:tcW w:w="5062" w:type="dxa"/>
          </w:tcPr>
          <w:p w:rsidR="001E4BA7" w:rsidRPr="009366A0" w:rsidRDefault="001E4BA7" w:rsidP="001E4BA7">
            <w:pPr>
              <w:rPr>
                <w:rFonts w:ascii="Arial" w:hAnsi="Arial"/>
                <w:sz w:val="22"/>
                <w:szCs w:val="22"/>
                <w:lang w:val="fr-CA"/>
              </w:rPr>
            </w:pPr>
            <w:r w:rsidRPr="009366A0">
              <w:rPr>
                <w:rFonts w:ascii="Arial" w:hAnsi="Arial"/>
                <w:sz w:val="22"/>
                <w:lang w:val="fr-CA"/>
              </w:rPr>
              <w:t>inscrire le facteur Rh et ajouter une note précisant que la détermination a été faite à l’aide de cellules traitées par chloroquine/EGA.</w:t>
            </w:r>
          </w:p>
        </w:tc>
      </w:tr>
      <w:tr w:rsidR="001E4BA7" w:rsidRPr="009366A0" w:rsidTr="009366A0">
        <w:tc>
          <w:tcPr>
            <w:tcW w:w="2268" w:type="dxa"/>
          </w:tcPr>
          <w:p w:rsidR="001E4BA7" w:rsidRPr="009366A0" w:rsidRDefault="001E4BA7" w:rsidP="009366A0">
            <w:pPr>
              <w:rPr>
                <w:rFonts w:ascii="Arial" w:hAnsi="Arial"/>
                <w:sz w:val="22"/>
                <w:szCs w:val="22"/>
                <w:lang w:val="fr-CA"/>
              </w:rPr>
            </w:pPr>
            <w:r w:rsidRPr="009366A0">
              <w:rPr>
                <w:rFonts w:ascii="Arial" w:hAnsi="Arial"/>
                <w:sz w:val="22"/>
                <w:lang w:val="fr-CA"/>
              </w:rPr>
              <w:t>la divergence n’est pas réglée</w:t>
            </w:r>
          </w:p>
        </w:tc>
        <w:tc>
          <w:tcPr>
            <w:tcW w:w="5062" w:type="dxa"/>
          </w:tcPr>
          <w:p w:rsidR="001E4BA7" w:rsidRPr="009366A0" w:rsidRDefault="001E4BA7" w:rsidP="001E4BA7">
            <w:pPr>
              <w:rPr>
                <w:rFonts w:ascii="Arial" w:hAnsi="Arial"/>
                <w:sz w:val="22"/>
                <w:szCs w:val="22"/>
                <w:lang w:val="fr-CA"/>
              </w:rPr>
            </w:pPr>
            <w:r w:rsidRPr="009366A0">
              <w:rPr>
                <w:rFonts w:ascii="Arial" w:hAnsi="Arial"/>
                <w:sz w:val="22"/>
                <w:lang w:val="fr-CA"/>
              </w:rPr>
              <w:t>envoyer l’échantillon à un laboratoire de référence pour des tests supplémentaires.</w:t>
            </w:r>
          </w:p>
        </w:tc>
      </w:tr>
    </w:tbl>
    <w:p w:rsidR="0068429A" w:rsidRPr="00DD7072" w:rsidRDefault="0068429A">
      <w:pPr>
        <w:ind w:left="1440"/>
        <w:rPr>
          <w:rFonts w:ascii="Arial" w:hAnsi="Arial"/>
          <w:sz w:val="24"/>
          <w:lang w:val="fr-CA"/>
        </w:rPr>
      </w:pPr>
    </w:p>
    <w:p w:rsidR="0068429A" w:rsidRPr="0025758E" w:rsidRDefault="00D466FE" w:rsidP="001E4BA7">
      <w:pPr>
        <w:numPr>
          <w:ilvl w:val="2"/>
          <w:numId w:val="1"/>
        </w:numPr>
        <w:rPr>
          <w:rFonts w:ascii="Arial" w:hAnsi="Arial"/>
          <w:sz w:val="24"/>
          <w:lang w:val="fr-CA"/>
        </w:rPr>
      </w:pPr>
      <w:r w:rsidRPr="006F2C9F">
        <w:rPr>
          <w:rFonts w:ascii="Arial" w:hAnsi="Arial"/>
          <w:sz w:val="24"/>
          <w:lang w:val="fr-CA"/>
        </w:rPr>
        <w:t>Si les résultats sont divergents</w:t>
      </w:r>
      <w:r w:rsidR="0068429A" w:rsidRPr="00DD7072">
        <w:rPr>
          <w:rFonts w:ascii="Arial" w:hAnsi="Arial"/>
          <w:sz w:val="24"/>
          <w:lang w:val="fr-CA"/>
        </w:rPr>
        <w:t xml:space="preserve"> (</w:t>
      </w:r>
      <w:r w:rsidR="0025758E" w:rsidRPr="00DD7072">
        <w:rPr>
          <w:rFonts w:ascii="Arial" w:hAnsi="Arial"/>
          <w:sz w:val="24"/>
          <w:lang w:val="fr-CA"/>
        </w:rPr>
        <w:t>le facteur Rh précédent ne</w:t>
      </w:r>
      <w:r w:rsidR="0025758E" w:rsidRPr="0025758E">
        <w:rPr>
          <w:rFonts w:ascii="Arial" w:hAnsi="Arial"/>
          <w:sz w:val="24"/>
          <w:lang w:val="fr-CA"/>
        </w:rPr>
        <w:t xml:space="preserve"> correspond pas au résultat du test courant</w:t>
      </w:r>
      <w:r w:rsidR="0068429A" w:rsidRPr="0025758E">
        <w:rPr>
          <w:rFonts w:ascii="Arial" w:hAnsi="Arial"/>
          <w:sz w:val="24"/>
          <w:lang w:val="fr-CA"/>
        </w:rPr>
        <w:t>)</w:t>
      </w:r>
      <w:r w:rsidR="0025758E" w:rsidRPr="0025758E">
        <w:rPr>
          <w:rFonts w:ascii="Arial" w:hAnsi="Arial"/>
          <w:sz w:val="24"/>
          <w:lang w:val="fr-CA"/>
        </w:rPr>
        <w:t xml:space="preserve"> </w:t>
      </w:r>
      <w:r w:rsidR="0068429A" w:rsidRPr="0025758E">
        <w:rPr>
          <w:rFonts w:ascii="Arial" w:hAnsi="Arial"/>
          <w:sz w:val="24"/>
          <w:lang w:val="fr-CA"/>
        </w:rPr>
        <w:t>:</w:t>
      </w:r>
    </w:p>
    <w:p w:rsidR="002504F0" w:rsidRDefault="002504F0" w:rsidP="002504F0">
      <w:pPr>
        <w:ind w:left="720"/>
        <w:rPr>
          <w:rFonts w:ascii="Arial" w:hAnsi="Arial"/>
          <w:sz w:val="24"/>
          <w:lang w:val="fr-CA"/>
        </w:rPr>
      </w:pPr>
    </w:p>
    <w:p w:rsidR="00071566" w:rsidRPr="00935E1C" w:rsidRDefault="00071566" w:rsidP="002504F0">
      <w:pPr>
        <w:ind w:left="720"/>
        <w:rPr>
          <w:rFonts w:ascii="Arial" w:hAnsi="Arial"/>
          <w:sz w:val="24"/>
          <w:lang w:val="fr-C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4622"/>
      </w:tblGrid>
      <w:tr w:rsidR="002504F0" w:rsidRPr="009366A0" w:rsidTr="009366A0">
        <w:tc>
          <w:tcPr>
            <w:tcW w:w="2551" w:type="dxa"/>
          </w:tcPr>
          <w:p w:rsidR="002504F0" w:rsidRPr="009366A0" w:rsidRDefault="002504F0" w:rsidP="009366A0">
            <w:pPr>
              <w:rPr>
                <w:rFonts w:ascii="Arial" w:hAnsi="Arial"/>
                <w:b/>
                <w:sz w:val="22"/>
                <w:lang w:val="fr-CA"/>
              </w:rPr>
            </w:pPr>
            <w:r w:rsidRPr="009366A0">
              <w:rPr>
                <w:rFonts w:ascii="Arial" w:hAnsi="Arial"/>
                <w:b/>
                <w:sz w:val="22"/>
                <w:lang w:val="fr-CA"/>
              </w:rPr>
              <w:t xml:space="preserve">Si…, </w:t>
            </w:r>
          </w:p>
        </w:tc>
        <w:tc>
          <w:tcPr>
            <w:tcW w:w="4779" w:type="dxa"/>
          </w:tcPr>
          <w:p w:rsidR="002504F0" w:rsidRPr="009366A0" w:rsidRDefault="002504F0" w:rsidP="009366A0">
            <w:pPr>
              <w:rPr>
                <w:rFonts w:ascii="Arial" w:hAnsi="Arial"/>
                <w:b/>
                <w:sz w:val="22"/>
                <w:lang w:val="fr-CA"/>
              </w:rPr>
            </w:pPr>
            <w:r w:rsidRPr="009366A0">
              <w:rPr>
                <w:rFonts w:ascii="Arial" w:hAnsi="Arial"/>
                <w:b/>
                <w:sz w:val="22"/>
                <w:lang w:val="fr-CA"/>
              </w:rPr>
              <w:t>Vous devez…</w:t>
            </w:r>
          </w:p>
        </w:tc>
      </w:tr>
      <w:tr w:rsidR="002504F0" w:rsidRPr="009366A0" w:rsidTr="009366A0">
        <w:tc>
          <w:tcPr>
            <w:tcW w:w="2551" w:type="dxa"/>
          </w:tcPr>
          <w:p w:rsidR="002504F0" w:rsidRPr="009366A0" w:rsidRDefault="002504F0" w:rsidP="008C3CC6">
            <w:pPr>
              <w:rPr>
                <w:rFonts w:ascii="Arial" w:hAnsi="Arial"/>
                <w:sz w:val="24"/>
                <w:lang w:val="fr-CA"/>
              </w:rPr>
            </w:pPr>
            <w:r w:rsidRPr="009366A0">
              <w:rPr>
                <w:rFonts w:ascii="Arial" w:hAnsi="Arial"/>
                <w:sz w:val="22"/>
                <w:lang w:val="fr-CA"/>
              </w:rPr>
              <w:t xml:space="preserve">le patient a reçu au cours des trois derniers mois une transfusion de sang ayant un facteur Rh différent, </w:t>
            </w:r>
          </w:p>
        </w:tc>
        <w:tc>
          <w:tcPr>
            <w:tcW w:w="4779" w:type="dxa"/>
          </w:tcPr>
          <w:p w:rsidR="002504F0" w:rsidRPr="009366A0" w:rsidRDefault="002504F0" w:rsidP="002504F0">
            <w:pPr>
              <w:rPr>
                <w:rFonts w:ascii="Arial" w:hAnsi="Arial"/>
                <w:sz w:val="24"/>
                <w:lang w:val="fr-CA"/>
              </w:rPr>
            </w:pPr>
            <w:r w:rsidRPr="009366A0">
              <w:rPr>
                <w:rFonts w:ascii="Arial" w:hAnsi="Arial"/>
                <w:sz w:val="22"/>
                <w:lang w:val="fr-CA"/>
              </w:rPr>
              <w:t>suivre les étapes</w:t>
            </w:r>
            <w:r w:rsidR="00B96C6A">
              <w:rPr>
                <w:rFonts w:ascii="Arial" w:hAnsi="Arial"/>
                <w:sz w:val="22"/>
                <w:lang w:val="fr-CA"/>
              </w:rPr>
              <w:t> </w:t>
            </w:r>
            <w:r w:rsidRPr="009366A0">
              <w:rPr>
                <w:rFonts w:ascii="Arial" w:hAnsi="Arial"/>
                <w:sz w:val="22"/>
                <w:lang w:val="fr-CA"/>
              </w:rPr>
              <w:t>6.2.1</w:t>
            </w:r>
          </w:p>
        </w:tc>
      </w:tr>
      <w:tr w:rsidR="002504F0" w:rsidRPr="009366A0" w:rsidTr="009366A0">
        <w:tc>
          <w:tcPr>
            <w:tcW w:w="2551" w:type="dxa"/>
          </w:tcPr>
          <w:p w:rsidR="002504F0" w:rsidRPr="009366A0" w:rsidRDefault="002504F0" w:rsidP="002504F0">
            <w:pPr>
              <w:rPr>
                <w:rFonts w:ascii="Arial" w:hAnsi="Arial"/>
                <w:sz w:val="24"/>
                <w:lang w:val="fr-CA"/>
              </w:rPr>
            </w:pPr>
            <w:r w:rsidRPr="009366A0">
              <w:rPr>
                <w:rFonts w:ascii="Arial" w:hAnsi="Arial"/>
                <w:sz w:val="22"/>
                <w:lang w:val="fr-CA"/>
              </w:rPr>
              <w:t xml:space="preserve">le patient n’a reçu aucune transfusion au cours des 3 derniers mois et que la divergence n’est pas résolue avec l’épreuve de dépistage de l’antigène D faible, </w:t>
            </w:r>
          </w:p>
        </w:tc>
        <w:tc>
          <w:tcPr>
            <w:tcW w:w="4779" w:type="dxa"/>
          </w:tcPr>
          <w:p w:rsidR="002504F0" w:rsidRPr="009366A0" w:rsidRDefault="002504F0" w:rsidP="002504F0">
            <w:pPr>
              <w:rPr>
                <w:rFonts w:ascii="Arial" w:hAnsi="Arial"/>
                <w:sz w:val="22"/>
                <w:lang w:val="fr-CA"/>
              </w:rPr>
            </w:pPr>
            <w:r w:rsidRPr="009366A0">
              <w:rPr>
                <w:rFonts w:ascii="Arial" w:hAnsi="Arial"/>
                <w:sz w:val="22"/>
                <w:lang w:val="fr-CA"/>
              </w:rPr>
              <w:t xml:space="preserve">prélever un nouvel échantillon et répéter le test. </w:t>
            </w:r>
          </w:p>
          <w:p w:rsidR="002504F0" w:rsidRPr="009366A0" w:rsidRDefault="002504F0" w:rsidP="009366A0">
            <w:pPr>
              <w:rPr>
                <w:rFonts w:ascii="Arial" w:hAnsi="Arial"/>
                <w:sz w:val="22"/>
                <w:lang w:val="fr-CA"/>
              </w:rPr>
            </w:pPr>
          </w:p>
        </w:tc>
      </w:tr>
      <w:tr w:rsidR="002504F0" w:rsidRPr="009366A0" w:rsidTr="009366A0">
        <w:tc>
          <w:tcPr>
            <w:tcW w:w="2551" w:type="dxa"/>
          </w:tcPr>
          <w:p w:rsidR="002504F0" w:rsidRPr="009366A0" w:rsidRDefault="002504F0" w:rsidP="002504F0">
            <w:pPr>
              <w:rPr>
                <w:rFonts w:ascii="Arial" w:hAnsi="Arial"/>
                <w:sz w:val="22"/>
                <w:lang w:val="fr-CA"/>
              </w:rPr>
            </w:pPr>
            <w:r w:rsidRPr="009366A0">
              <w:rPr>
                <w:rFonts w:ascii="Arial" w:hAnsi="Arial"/>
                <w:sz w:val="22"/>
                <w:lang w:val="fr-CA"/>
              </w:rPr>
              <w:t xml:space="preserve">le résultat sur le nouvel échantillon est le même que celui obtenu sur l’échantillon divergent, </w:t>
            </w:r>
          </w:p>
        </w:tc>
        <w:tc>
          <w:tcPr>
            <w:tcW w:w="4779" w:type="dxa"/>
          </w:tcPr>
          <w:p w:rsidR="002504F0" w:rsidRPr="009366A0" w:rsidRDefault="002504F0" w:rsidP="002504F0">
            <w:pPr>
              <w:rPr>
                <w:rFonts w:ascii="Arial" w:hAnsi="Arial"/>
                <w:sz w:val="22"/>
                <w:lang w:val="fr-CA"/>
              </w:rPr>
            </w:pPr>
            <w:r w:rsidRPr="009366A0">
              <w:rPr>
                <w:rFonts w:ascii="Arial" w:hAnsi="Arial"/>
                <w:sz w:val="22"/>
                <w:lang w:val="fr-CA"/>
              </w:rPr>
              <w:t xml:space="preserve">envisager les possibilités suivantes : </w:t>
            </w:r>
          </w:p>
          <w:p w:rsidR="002504F0" w:rsidRPr="009366A0" w:rsidRDefault="002504F0" w:rsidP="009366A0">
            <w:pPr>
              <w:numPr>
                <w:ilvl w:val="0"/>
                <w:numId w:val="10"/>
              </w:numPr>
              <w:tabs>
                <w:tab w:val="clear" w:pos="360"/>
              </w:tabs>
              <w:ind w:left="318" w:hanging="318"/>
              <w:rPr>
                <w:rFonts w:ascii="Arial" w:hAnsi="Arial"/>
                <w:sz w:val="22"/>
                <w:lang w:val="fr-CA"/>
              </w:rPr>
            </w:pPr>
            <w:r w:rsidRPr="009366A0">
              <w:rPr>
                <w:rFonts w:ascii="Arial" w:hAnsi="Arial"/>
                <w:sz w:val="22"/>
                <w:lang w:val="fr-CA"/>
              </w:rPr>
              <w:t xml:space="preserve">Une erreur peut être survenue au moment du prélèvement de l’échantillon antérieur. </w:t>
            </w:r>
          </w:p>
          <w:p w:rsidR="002504F0" w:rsidRPr="009366A0" w:rsidRDefault="002504F0" w:rsidP="009366A0">
            <w:pPr>
              <w:numPr>
                <w:ilvl w:val="0"/>
                <w:numId w:val="10"/>
              </w:numPr>
              <w:tabs>
                <w:tab w:val="clear" w:pos="360"/>
              </w:tabs>
              <w:ind w:left="318" w:hanging="318"/>
              <w:rPr>
                <w:rFonts w:ascii="Arial" w:hAnsi="Arial"/>
                <w:sz w:val="22"/>
                <w:lang w:val="fr-CA"/>
              </w:rPr>
            </w:pPr>
            <w:r w:rsidRPr="009366A0">
              <w:rPr>
                <w:rFonts w:ascii="Arial" w:hAnsi="Arial"/>
                <w:sz w:val="22"/>
                <w:lang w:val="fr-CA"/>
              </w:rPr>
              <w:t xml:space="preserve">Une erreur de technique ou d’inscription affectant l’échantillon antérieur. Si possible, revoir les résultats au dossier pour s’assurer qu’il n’y a eu aucune erreur d’interprétation. Passer à 7.0 – Documentation. </w:t>
            </w:r>
          </w:p>
          <w:p w:rsidR="002504F0" w:rsidRPr="009366A0" w:rsidRDefault="002504F0" w:rsidP="009366A0">
            <w:pPr>
              <w:numPr>
                <w:ilvl w:val="0"/>
                <w:numId w:val="10"/>
              </w:numPr>
              <w:tabs>
                <w:tab w:val="clear" w:pos="360"/>
              </w:tabs>
              <w:ind w:left="318" w:hanging="284"/>
              <w:rPr>
                <w:rFonts w:ascii="Arial" w:hAnsi="Arial"/>
                <w:sz w:val="22"/>
                <w:lang w:val="fr-CA"/>
              </w:rPr>
            </w:pPr>
            <w:r w:rsidRPr="009366A0">
              <w:rPr>
                <w:rFonts w:ascii="Arial" w:hAnsi="Arial"/>
                <w:sz w:val="22"/>
                <w:lang w:val="fr-CA"/>
              </w:rPr>
              <w:t xml:space="preserve">Le patient a usurpé l’identité d’une autre personne. </w:t>
            </w:r>
          </w:p>
          <w:p w:rsidR="002504F0" w:rsidRPr="009366A0" w:rsidRDefault="002504F0" w:rsidP="009366A0">
            <w:pPr>
              <w:numPr>
                <w:ilvl w:val="0"/>
                <w:numId w:val="10"/>
              </w:numPr>
              <w:tabs>
                <w:tab w:val="clear" w:pos="360"/>
              </w:tabs>
              <w:ind w:left="318" w:hanging="284"/>
              <w:rPr>
                <w:rFonts w:ascii="Arial" w:hAnsi="Arial"/>
                <w:sz w:val="22"/>
                <w:szCs w:val="22"/>
                <w:lang w:val="fr-CA"/>
              </w:rPr>
            </w:pPr>
            <w:r w:rsidRPr="009366A0">
              <w:rPr>
                <w:rFonts w:ascii="Arial" w:hAnsi="Arial"/>
                <w:sz w:val="22"/>
                <w:lang w:val="fr-CA"/>
              </w:rPr>
              <w:t>Une maladie a provoqué la perte d’antigènes. Voir la Remarque</w:t>
            </w:r>
            <w:r w:rsidR="00B96C6A">
              <w:rPr>
                <w:rFonts w:ascii="Arial" w:hAnsi="Arial"/>
                <w:sz w:val="22"/>
                <w:lang w:val="fr-CA"/>
              </w:rPr>
              <w:t> </w:t>
            </w:r>
            <w:r w:rsidRPr="009366A0">
              <w:rPr>
                <w:rFonts w:ascii="Arial" w:hAnsi="Arial"/>
                <w:sz w:val="22"/>
                <w:lang w:val="fr-CA"/>
              </w:rPr>
              <w:t>8.6.</w:t>
            </w:r>
          </w:p>
        </w:tc>
      </w:tr>
      <w:tr w:rsidR="002504F0" w:rsidRPr="009366A0" w:rsidTr="009366A0">
        <w:tc>
          <w:tcPr>
            <w:tcW w:w="2551" w:type="dxa"/>
          </w:tcPr>
          <w:p w:rsidR="002504F0" w:rsidRPr="009366A0" w:rsidRDefault="002504F0" w:rsidP="009366A0">
            <w:pPr>
              <w:rPr>
                <w:rFonts w:ascii="Arial" w:hAnsi="Arial"/>
                <w:sz w:val="22"/>
                <w:szCs w:val="22"/>
                <w:lang w:val="fr-CA"/>
              </w:rPr>
            </w:pPr>
            <w:r w:rsidRPr="009366A0">
              <w:rPr>
                <w:rFonts w:ascii="Arial" w:hAnsi="Arial"/>
                <w:sz w:val="22"/>
                <w:lang w:val="fr-CA"/>
              </w:rPr>
              <w:t>le résultat obtenu sur le nouvel échantillon diffère de celui obtenu avec l’échantillon divergent et correspond au dossier antérieur</w:t>
            </w:r>
          </w:p>
        </w:tc>
        <w:tc>
          <w:tcPr>
            <w:tcW w:w="4779" w:type="dxa"/>
          </w:tcPr>
          <w:p w:rsidR="008C3CC6" w:rsidRPr="009366A0" w:rsidRDefault="002504F0" w:rsidP="008C3CC6">
            <w:pPr>
              <w:rPr>
                <w:rFonts w:ascii="Arial" w:hAnsi="Arial"/>
                <w:sz w:val="22"/>
                <w:lang w:val="fr-CA"/>
              </w:rPr>
            </w:pPr>
            <w:r w:rsidRPr="009366A0">
              <w:rPr>
                <w:rFonts w:ascii="Arial" w:hAnsi="Arial"/>
                <w:sz w:val="22"/>
                <w:lang w:val="fr-CA"/>
              </w:rPr>
              <w:t>envisager l</w:t>
            </w:r>
            <w:r w:rsidR="00AB78C8" w:rsidRPr="009366A0">
              <w:rPr>
                <w:rFonts w:ascii="Arial" w:hAnsi="Arial"/>
                <w:sz w:val="22"/>
                <w:lang w:val="fr-CA"/>
              </w:rPr>
              <w:t>a</w:t>
            </w:r>
            <w:r w:rsidRPr="009366A0">
              <w:rPr>
                <w:rFonts w:ascii="Arial" w:hAnsi="Arial"/>
                <w:sz w:val="22"/>
                <w:lang w:val="fr-CA"/>
              </w:rPr>
              <w:t xml:space="preserve"> possibilité d’une erreur au moment du prélèvement de l’échantillon divergent.</w:t>
            </w:r>
          </w:p>
          <w:p w:rsidR="002504F0" w:rsidRPr="009366A0" w:rsidRDefault="008C3CC6" w:rsidP="009366A0">
            <w:pPr>
              <w:numPr>
                <w:ilvl w:val="0"/>
                <w:numId w:val="29"/>
              </w:numPr>
              <w:ind w:left="318" w:hanging="284"/>
              <w:rPr>
                <w:rFonts w:ascii="Arial" w:hAnsi="Arial"/>
                <w:sz w:val="22"/>
                <w:lang w:val="fr-CA"/>
              </w:rPr>
            </w:pPr>
            <w:r w:rsidRPr="009366A0">
              <w:rPr>
                <w:rFonts w:ascii="Arial" w:hAnsi="Arial"/>
                <w:sz w:val="22"/>
                <w:lang w:val="fr-CA"/>
              </w:rPr>
              <w:t>V</w:t>
            </w:r>
            <w:r w:rsidR="002504F0" w:rsidRPr="009366A0">
              <w:rPr>
                <w:rFonts w:ascii="Arial" w:hAnsi="Arial"/>
                <w:sz w:val="22"/>
                <w:lang w:val="fr-CA"/>
              </w:rPr>
              <w:t>érifier si d’autres patients pourraient être en cause (p. ex. échantillon d’un autre patient prélevé à peu près au même moment par le même phlébotomiste).</w:t>
            </w:r>
          </w:p>
          <w:p w:rsidR="002504F0" w:rsidRPr="009366A0" w:rsidRDefault="002504F0" w:rsidP="009366A0">
            <w:pPr>
              <w:numPr>
                <w:ilvl w:val="0"/>
                <w:numId w:val="17"/>
              </w:numPr>
              <w:tabs>
                <w:tab w:val="left" w:pos="34"/>
              </w:tabs>
              <w:ind w:left="318" w:hanging="284"/>
              <w:rPr>
                <w:rFonts w:ascii="Arial" w:hAnsi="Arial"/>
                <w:sz w:val="22"/>
                <w:szCs w:val="22"/>
                <w:lang w:val="fr-CA"/>
              </w:rPr>
            </w:pPr>
            <w:r w:rsidRPr="009366A0">
              <w:rPr>
                <w:rFonts w:ascii="Arial" w:hAnsi="Arial"/>
                <w:sz w:val="22"/>
                <w:lang w:val="fr-CA"/>
              </w:rPr>
              <w:t>Remplir un rapport d’incident et remettre à un superviseur.</w:t>
            </w:r>
          </w:p>
        </w:tc>
      </w:tr>
    </w:tbl>
    <w:p w:rsidR="002504F0" w:rsidRPr="00DD7072" w:rsidRDefault="002504F0" w:rsidP="008C3CC6">
      <w:pPr>
        <w:rPr>
          <w:rFonts w:ascii="Arial" w:hAnsi="Arial"/>
          <w:sz w:val="24"/>
          <w:lang w:val="fr-CA"/>
        </w:rPr>
      </w:pPr>
    </w:p>
    <w:p w:rsidR="008C3CC6" w:rsidRDefault="008C3CC6" w:rsidP="008C3CC6">
      <w:pPr>
        <w:numPr>
          <w:ilvl w:val="1"/>
          <w:numId w:val="1"/>
        </w:numPr>
        <w:rPr>
          <w:rFonts w:ascii="Arial" w:hAnsi="Arial"/>
          <w:sz w:val="24"/>
          <w:lang w:val="fr-CA"/>
        </w:rPr>
      </w:pPr>
      <w:r>
        <w:rPr>
          <w:rFonts w:ascii="Arial" w:hAnsi="Arial"/>
          <w:sz w:val="24"/>
          <w:lang w:val="fr-CA"/>
        </w:rPr>
        <w:t>Documentation du processus</w:t>
      </w:r>
    </w:p>
    <w:p w:rsidR="0068429A" w:rsidRPr="00983665" w:rsidRDefault="00983665" w:rsidP="008C3CC6">
      <w:pPr>
        <w:numPr>
          <w:ilvl w:val="2"/>
          <w:numId w:val="1"/>
        </w:numPr>
        <w:rPr>
          <w:rFonts w:ascii="Arial" w:hAnsi="Arial"/>
          <w:sz w:val="24"/>
          <w:lang w:val="fr-CA"/>
        </w:rPr>
      </w:pPr>
      <w:r w:rsidRPr="00983665">
        <w:rPr>
          <w:rFonts w:ascii="Arial" w:hAnsi="Arial"/>
          <w:sz w:val="24"/>
          <w:lang w:val="fr-CA"/>
        </w:rPr>
        <w:t xml:space="preserve">Inscrire </w:t>
      </w:r>
      <w:r w:rsidR="00476827">
        <w:rPr>
          <w:rFonts w:ascii="Arial" w:hAnsi="Arial"/>
          <w:sz w:val="24"/>
          <w:lang w:val="fr-CA"/>
        </w:rPr>
        <w:t>le processus</w:t>
      </w:r>
      <w:r w:rsidRPr="00983665">
        <w:rPr>
          <w:rFonts w:ascii="Arial" w:hAnsi="Arial"/>
          <w:sz w:val="24"/>
          <w:lang w:val="fr-CA"/>
        </w:rPr>
        <w:t xml:space="preserve"> et la conclusion de l’investigation sur le formulaire de demande ou à l’ordinateur</w:t>
      </w:r>
      <w:r w:rsidR="0068429A" w:rsidRPr="00983665">
        <w:rPr>
          <w:rFonts w:ascii="Arial" w:hAnsi="Arial"/>
          <w:sz w:val="24"/>
          <w:lang w:val="fr-CA"/>
        </w:rPr>
        <w:t>.</w:t>
      </w:r>
    </w:p>
    <w:p w:rsidR="0068429A" w:rsidRPr="00983665" w:rsidRDefault="0068429A">
      <w:pPr>
        <w:ind w:left="720"/>
        <w:rPr>
          <w:rFonts w:ascii="Arial" w:hAnsi="Arial"/>
          <w:sz w:val="24"/>
          <w:lang w:val="fr-CA"/>
        </w:rPr>
      </w:pPr>
    </w:p>
    <w:p w:rsidR="0068429A" w:rsidRPr="00983665" w:rsidRDefault="008C3CC6" w:rsidP="008C3CC6">
      <w:pPr>
        <w:numPr>
          <w:ilvl w:val="1"/>
          <w:numId w:val="1"/>
        </w:numPr>
        <w:rPr>
          <w:rFonts w:ascii="Arial" w:hAnsi="Arial"/>
          <w:sz w:val="24"/>
          <w:lang w:val="fr-CA"/>
        </w:rPr>
      </w:pPr>
      <w:r>
        <w:rPr>
          <w:rFonts w:ascii="Arial" w:hAnsi="Arial"/>
          <w:sz w:val="24"/>
          <w:lang w:val="fr-CA"/>
        </w:rPr>
        <w:t>V</w:t>
      </w:r>
      <w:r w:rsidR="00BC3F6A" w:rsidRPr="00983665">
        <w:rPr>
          <w:rFonts w:ascii="Arial" w:hAnsi="Arial"/>
          <w:sz w:val="24"/>
          <w:lang w:val="fr-CA"/>
        </w:rPr>
        <w:t>érification.</w:t>
      </w:r>
    </w:p>
    <w:p w:rsidR="0068429A" w:rsidRDefault="00BC3F6A" w:rsidP="008C3CC6">
      <w:pPr>
        <w:numPr>
          <w:ilvl w:val="2"/>
          <w:numId w:val="1"/>
        </w:numPr>
        <w:ind w:left="2127" w:hanging="687"/>
        <w:rPr>
          <w:rFonts w:ascii="Arial" w:hAnsi="Arial"/>
          <w:sz w:val="24"/>
          <w:lang w:val="fr-CA"/>
        </w:rPr>
      </w:pPr>
      <w:r w:rsidRPr="00983665">
        <w:rPr>
          <w:rFonts w:ascii="Arial" w:hAnsi="Arial"/>
          <w:sz w:val="24"/>
          <w:lang w:val="fr-CA"/>
        </w:rPr>
        <w:t xml:space="preserve">S’assurer que les renseignements sur l’étiquette de chaque échantillon </w:t>
      </w:r>
      <w:r w:rsidR="00476827">
        <w:rPr>
          <w:rFonts w:ascii="Arial" w:hAnsi="Arial"/>
          <w:sz w:val="24"/>
          <w:lang w:val="fr-CA"/>
        </w:rPr>
        <w:t xml:space="preserve">testé </w:t>
      </w:r>
      <w:r w:rsidRPr="00983665">
        <w:rPr>
          <w:rFonts w:ascii="Arial" w:hAnsi="Arial"/>
          <w:sz w:val="24"/>
          <w:lang w:val="fr-CA"/>
        </w:rPr>
        <w:t xml:space="preserve">sont identiques à ce qui figure sur </w:t>
      </w:r>
      <w:r w:rsidR="008C3CC6">
        <w:rPr>
          <w:rFonts w:ascii="Arial" w:hAnsi="Arial"/>
          <w:sz w:val="24"/>
          <w:lang w:val="fr-CA"/>
        </w:rPr>
        <w:t xml:space="preserve">la demande et sur </w:t>
      </w:r>
      <w:r w:rsidRPr="00983665">
        <w:rPr>
          <w:rFonts w:ascii="Arial" w:hAnsi="Arial"/>
          <w:sz w:val="24"/>
          <w:lang w:val="fr-CA"/>
        </w:rPr>
        <w:t>les tubes à essai correspondants.</w:t>
      </w:r>
      <w:r w:rsidR="0068429A" w:rsidRPr="00983665">
        <w:rPr>
          <w:rFonts w:ascii="Arial" w:hAnsi="Arial"/>
          <w:sz w:val="24"/>
          <w:lang w:val="fr-CA"/>
        </w:rPr>
        <w:t xml:space="preserve"> </w:t>
      </w:r>
    </w:p>
    <w:p w:rsidR="00A92867" w:rsidRPr="00983665" w:rsidRDefault="00A92867" w:rsidP="00A92867">
      <w:pPr>
        <w:ind w:left="2127"/>
        <w:rPr>
          <w:rFonts w:ascii="Arial" w:hAnsi="Arial"/>
          <w:sz w:val="24"/>
          <w:lang w:val="fr-CA"/>
        </w:rPr>
      </w:pPr>
    </w:p>
    <w:p w:rsidR="00006D1A" w:rsidRDefault="00006D1A" w:rsidP="008C3CC6">
      <w:pPr>
        <w:numPr>
          <w:ilvl w:val="1"/>
          <w:numId w:val="1"/>
        </w:numPr>
        <w:rPr>
          <w:rFonts w:ascii="Arial" w:hAnsi="Arial"/>
          <w:sz w:val="24"/>
          <w:lang w:val="fr-CA"/>
        </w:rPr>
      </w:pPr>
      <w:r>
        <w:rPr>
          <w:rFonts w:ascii="Arial" w:hAnsi="Arial"/>
          <w:sz w:val="24"/>
          <w:lang w:val="fr-CA"/>
        </w:rPr>
        <w:t>Signature</w:t>
      </w:r>
    </w:p>
    <w:p w:rsidR="0068429A" w:rsidRPr="00BC3F6A" w:rsidRDefault="000C4CF6" w:rsidP="00006D1A">
      <w:pPr>
        <w:numPr>
          <w:ilvl w:val="2"/>
          <w:numId w:val="1"/>
        </w:numPr>
        <w:rPr>
          <w:rFonts w:ascii="Arial" w:hAnsi="Arial"/>
          <w:sz w:val="24"/>
          <w:lang w:val="fr-CA"/>
        </w:rPr>
      </w:pPr>
      <w:r w:rsidRPr="00983665">
        <w:rPr>
          <w:rFonts w:ascii="Arial" w:hAnsi="Arial"/>
          <w:sz w:val="24"/>
          <w:lang w:val="fr-CA"/>
        </w:rPr>
        <w:t xml:space="preserve">Mettre ses initiales ou signer et inscrire l’heure et la date de la conclusion de l’épreuve sur le formulaire de demande ou remplir le </w:t>
      </w:r>
      <w:r w:rsidRPr="000C4CF6">
        <w:rPr>
          <w:rFonts w:ascii="Arial" w:hAnsi="Arial"/>
          <w:sz w:val="24"/>
          <w:lang w:val="fr-CA"/>
        </w:rPr>
        <w:t>dossier à l’ordinateur</w:t>
      </w:r>
      <w:r>
        <w:rPr>
          <w:rFonts w:ascii="Arial" w:hAnsi="Arial"/>
          <w:sz w:val="24"/>
          <w:lang w:val="fr-CA"/>
        </w:rPr>
        <w:t xml:space="preserve">. </w:t>
      </w:r>
    </w:p>
    <w:p w:rsidR="00006D1A" w:rsidRPr="00BC3F6A" w:rsidRDefault="00006D1A">
      <w:pPr>
        <w:ind w:left="720"/>
        <w:rPr>
          <w:rFonts w:ascii="Arial" w:hAnsi="Arial"/>
          <w:sz w:val="24"/>
          <w:lang w:val="fr-CA"/>
        </w:rPr>
      </w:pPr>
    </w:p>
    <w:p w:rsidR="0068429A" w:rsidRPr="00BC3F6A" w:rsidRDefault="00BC3F6A" w:rsidP="008C3CC6">
      <w:pPr>
        <w:numPr>
          <w:ilvl w:val="0"/>
          <w:numId w:val="1"/>
        </w:numPr>
        <w:rPr>
          <w:rFonts w:ascii="Arial" w:hAnsi="Arial"/>
          <w:b/>
          <w:sz w:val="28"/>
          <w:lang w:val="fr-CA"/>
        </w:rPr>
      </w:pPr>
      <w:r w:rsidRPr="00BC3F6A">
        <w:rPr>
          <w:rFonts w:ascii="Arial" w:hAnsi="Arial"/>
          <w:b/>
          <w:color w:val="000000"/>
          <w:sz w:val="28"/>
          <w:lang w:val="fr-CA"/>
        </w:rPr>
        <w:t>Documentation</w:t>
      </w:r>
    </w:p>
    <w:p w:rsidR="0068429A" w:rsidRPr="00BC3F6A" w:rsidRDefault="0068429A">
      <w:pPr>
        <w:rPr>
          <w:rFonts w:ascii="Arial" w:hAnsi="Arial"/>
          <w:sz w:val="24"/>
          <w:lang w:val="fr-CA"/>
        </w:rPr>
      </w:pPr>
    </w:p>
    <w:p w:rsidR="0068429A" w:rsidRPr="000C4CF6" w:rsidRDefault="00554BAA" w:rsidP="008C3CC6">
      <w:pPr>
        <w:numPr>
          <w:ilvl w:val="1"/>
          <w:numId w:val="1"/>
        </w:numPr>
        <w:rPr>
          <w:rFonts w:ascii="Arial" w:hAnsi="Arial"/>
          <w:sz w:val="24"/>
          <w:lang w:val="fr-CA"/>
        </w:rPr>
      </w:pPr>
      <w:r>
        <w:rPr>
          <w:rFonts w:ascii="Arial" w:hAnsi="Arial"/>
          <w:sz w:val="24"/>
          <w:lang w:val="fr-CA"/>
        </w:rPr>
        <w:t>Inscrire </w:t>
      </w:r>
      <w:r w:rsidR="0068429A" w:rsidRPr="000C4CF6">
        <w:rPr>
          <w:rFonts w:ascii="Arial" w:hAnsi="Arial"/>
          <w:sz w:val="24"/>
          <w:lang w:val="fr-CA"/>
        </w:rPr>
        <w:t>:</w:t>
      </w:r>
    </w:p>
    <w:p w:rsidR="0068429A" w:rsidRPr="000C4CF6" w:rsidRDefault="000C4CF6">
      <w:pPr>
        <w:numPr>
          <w:ilvl w:val="0"/>
          <w:numId w:val="12"/>
        </w:numPr>
        <w:tabs>
          <w:tab w:val="clear" w:pos="360"/>
          <w:tab w:val="num" w:pos="1800"/>
        </w:tabs>
        <w:ind w:left="1800"/>
        <w:rPr>
          <w:rFonts w:ascii="Arial" w:hAnsi="Arial"/>
          <w:sz w:val="24"/>
          <w:lang w:val="fr-CA"/>
        </w:rPr>
      </w:pPr>
      <w:r w:rsidRPr="000C4CF6">
        <w:rPr>
          <w:rFonts w:ascii="Arial" w:hAnsi="Arial"/>
          <w:sz w:val="24"/>
          <w:lang w:val="fr-CA"/>
        </w:rPr>
        <w:t>toutes les procédures qui ont servi à résoudre le problème lié à la détermination du facteur Rh (p.ex. lavage de la suspension cellulaire, recours à un anti-D différent</w:t>
      </w:r>
      <w:r w:rsidR="0068429A" w:rsidRPr="000C4CF6">
        <w:rPr>
          <w:rFonts w:ascii="Arial" w:hAnsi="Arial"/>
          <w:sz w:val="24"/>
          <w:lang w:val="fr-CA"/>
        </w:rPr>
        <w:t>, etc.)</w:t>
      </w:r>
      <w:r w:rsidRPr="000C4CF6">
        <w:rPr>
          <w:rFonts w:ascii="Arial" w:hAnsi="Arial"/>
          <w:sz w:val="24"/>
          <w:lang w:val="fr-CA"/>
        </w:rPr>
        <w:t>;</w:t>
      </w:r>
    </w:p>
    <w:p w:rsidR="0068429A" w:rsidRPr="00983665" w:rsidRDefault="000C4CF6">
      <w:pPr>
        <w:numPr>
          <w:ilvl w:val="0"/>
          <w:numId w:val="12"/>
        </w:numPr>
        <w:tabs>
          <w:tab w:val="clear" w:pos="360"/>
          <w:tab w:val="num" w:pos="1800"/>
        </w:tabs>
        <w:ind w:left="1800"/>
        <w:rPr>
          <w:rFonts w:ascii="Arial" w:hAnsi="Arial"/>
          <w:sz w:val="24"/>
          <w:lang w:val="fr-CA"/>
        </w:rPr>
      </w:pPr>
      <w:r w:rsidRPr="00983665">
        <w:rPr>
          <w:rFonts w:ascii="Arial" w:hAnsi="Arial"/>
          <w:sz w:val="24"/>
          <w:lang w:val="fr-CA"/>
        </w:rPr>
        <w:t>tou</w:t>
      </w:r>
      <w:r w:rsidR="009D4308">
        <w:rPr>
          <w:rFonts w:ascii="Arial" w:hAnsi="Arial"/>
          <w:sz w:val="24"/>
          <w:lang w:val="fr-CA"/>
        </w:rPr>
        <w:t>tes</w:t>
      </w:r>
      <w:r w:rsidRPr="00983665">
        <w:rPr>
          <w:rFonts w:ascii="Arial" w:hAnsi="Arial"/>
          <w:sz w:val="24"/>
          <w:lang w:val="fr-CA"/>
        </w:rPr>
        <w:t xml:space="preserve"> les </w:t>
      </w:r>
      <w:r w:rsidR="009D4308">
        <w:rPr>
          <w:rFonts w:ascii="Arial" w:hAnsi="Arial"/>
          <w:sz w:val="24"/>
          <w:lang w:val="fr-CA"/>
        </w:rPr>
        <w:t xml:space="preserve">réactions </w:t>
      </w:r>
      <w:r w:rsidRPr="00983665">
        <w:rPr>
          <w:rFonts w:ascii="Arial" w:hAnsi="Arial"/>
          <w:sz w:val="24"/>
          <w:lang w:val="fr-CA"/>
        </w:rPr>
        <w:t>ob</w:t>
      </w:r>
      <w:r w:rsidR="00364106">
        <w:rPr>
          <w:rFonts w:ascii="Arial" w:hAnsi="Arial"/>
          <w:sz w:val="24"/>
          <w:lang w:val="fr-CA"/>
        </w:rPr>
        <w:t xml:space="preserve">servées </w:t>
      </w:r>
      <w:r w:rsidR="009D4308">
        <w:rPr>
          <w:rFonts w:ascii="Arial" w:hAnsi="Arial"/>
          <w:sz w:val="24"/>
          <w:lang w:val="fr-CA"/>
        </w:rPr>
        <w:t>pendant les tests</w:t>
      </w:r>
      <w:r w:rsidR="00006D1A" w:rsidRPr="00006D1A">
        <w:rPr>
          <w:rFonts w:ascii="Arial" w:hAnsi="Arial"/>
          <w:sz w:val="24"/>
          <w:vertAlign w:val="superscript"/>
          <w:lang w:val="fr-CA"/>
        </w:rPr>
        <w:t>9.1</w:t>
      </w:r>
      <w:r w:rsidR="0068429A" w:rsidRPr="00983665">
        <w:rPr>
          <w:rFonts w:ascii="Arial" w:hAnsi="Arial"/>
          <w:sz w:val="24"/>
          <w:lang w:val="fr-CA"/>
        </w:rPr>
        <w:t>.</w:t>
      </w:r>
    </w:p>
    <w:p w:rsidR="0068429A" w:rsidRPr="00983665" w:rsidRDefault="0068429A">
      <w:pPr>
        <w:ind w:left="1440"/>
        <w:rPr>
          <w:rFonts w:ascii="Arial" w:hAnsi="Arial"/>
          <w:sz w:val="24"/>
          <w:lang w:val="fr-CA"/>
        </w:rPr>
      </w:pPr>
    </w:p>
    <w:p w:rsidR="0068429A" w:rsidRPr="00983665" w:rsidRDefault="00CA2C50" w:rsidP="008C3CC6">
      <w:pPr>
        <w:numPr>
          <w:ilvl w:val="1"/>
          <w:numId w:val="1"/>
        </w:numPr>
        <w:rPr>
          <w:rFonts w:ascii="Arial" w:hAnsi="Arial"/>
          <w:sz w:val="24"/>
          <w:lang w:val="fr-CA"/>
        </w:rPr>
      </w:pPr>
      <w:r w:rsidRPr="00983665">
        <w:rPr>
          <w:rFonts w:ascii="Arial" w:hAnsi="Arial"/>
          <w:sz w:val="24"/>
          <w:lang w:val="fr-CA"/>
        </w:rPr>
        <w:t xml:space="preserve">Lorsque le facteur Rh auparavant négatif d’un patient </w:t>
      </w:r>
      <w:r w:rsidR="00983665" w:rsidRPr="00983665">
        <w:rPr>
          <w:rFonts w:ascii="Arial" w:hAnsi="Arial"/>
          <w:sz w:val="24"/>
          <w:lang w:val="fr-CA"/>
        </w:rPr>
        <w:t>se révèle</w:t>
      </w:r>
      <w:r w:rsidRPr="00983665">
        <w:rPr>
          <w:rFonts w:ascii="Arial" w:hAnsi="Arial"/>
          <w:sz w:val="24"/>
          <w:lang w:val="fr-CA"/>
        </w:rPr>
        <w:t xml:space="preserve"> Rh positif après investigation, on doit inscrire (par exemple) : Le statut Rh positif de cet échantillon a été confirmé. </w:t>
      </w:r>
    </w:p>
    <w:p w:rsidR="0068429A" w:rsidRPr="00983665" w:rsidRDefault="0068429A">
      <w:pPr>
        <w:ind w:left="720"/>
        <w:rPr>
          <w:rFonts w:ascii="Arial" w:hAnsi="Arial"/>
          <w:sz w:val="24"/>
          <w:lang w:val="fr-CA"/>
        </w:rPr>
      </w:pPr>
    </w:p>
    <w:p w:rsidR="00CA2C50" w:rsidRPr="00983665" w:rsidRDefault="00CA2C50" w:rsidP="008C3CC6">
      <w:pPr>
        <w:numPr>
          <w:ilvl w:val="1"/>
          <w:numId w:val="1"/>
        </w:numPr>
        <w:rPr>
          <w:rFonts w:ascii="Arial" w:hAnsi="Arial"/>
          <w:sz w:val="24"/>
          <w:lang w:val="fr-CA"/>
        </w:rPr>
      </w:pPr>
      <w:r w:rsidRPr="00983665">
        <w:rPr>
          <w:rFonts w:ascii="Arial" w:hAnsi="Arial"/>
          <w:sz w:val="24"/>
          <w:lang w:val="fr-CA"/>
        </w:rPr>
        <w:t xml:space="preserve">Lorsque le facteur Rh auparavant </w:t>
      </w:r>
      <w:r w:rsidR="00983665" w:rsidRPr="00983665">
        <w:rPr>
          <w:rFonts w:ascii="Arial" w:hAnsi="Arial"/>
          <w:sz w:val="24"/>
          <w:lang w:val="fr-CA"/>
        </w:rPr>
        <w:t>positif</w:t>
      </w:r>
      <w:r w:rsidRPr="00983665">
        <w:rPr>
          <w:rFonts w:ascii="Arial" w:hAnsi="Arial"/>
          <w:sz w:val="24"/>
          <w:lang w:val="fr-CA"/>
        </w:rPr>
        <w:t xml:space="preserve"> d’un patient </w:t>
      </w:r>
      <w:r w:rsidR="00983665" w:rsidRPr="00983665">
        <w:rPr>
          <w:rFonts w:ascii="Arial" w:hAnsi="Arial"/>
          <w:sz w:val="24"/>
          <w:lang w:val="fr-CA"/>
        </w:rPr>
        <w:t xml:space="preserve">se révèle </w:t>
      </w:r>
      <w:r w:rsidRPr="00983665">
        <w:rPr>
          <w:rFonts w:ascii="Arial" w:hAnsi="Arial"/>
          <w:sz w:val="24"/>
          <w:lang w:val="fr-CA"/>
        </w:rPr>
        <w:t xml:space="preserve">Rh </w:t>
      </w:r>
      <w:r w:rsidR="00983665" w:rsidRPr="00983665">
        <w:rPr>
          <w:rFonts w:ascii="Arial" w:hAnsi="Arial"/>
          <w:sz w:val="24"/>
          <w:lang w:val="fr-CA"/>
        </w:rPr>
        <w:t xml:space="preserve">négatif </w:t>
      </w:r>
      <w:r w:rsidRPr="00983665">
        <w:rPr>
          <w:rFonts w:ascii="Arial" w:hAnsi="Arial"/>
          <w:sz w:val="24"/>
          <w:lang w:val="fr-CA"/>
        </w:rPr>
        <w:t xml:space="preserve">après investigation, on doit inscrire (par exemple) : Le statut Rh </w:t>
      </w:r>
      <w:r w:rsidR="00983665" w:rsidRPr="00983665">
        <w:rPr>
          <w:rFonts w:ascii="Arial" w:hAnsi="Arial"/>
          <w:sz w:val="24"/>
          <w:lang w:val="fr-CA"/>
        </w:rPr>
        <w:t xml:space="preserve">négatif </w:t>
      </w:r>
      <w:r w:rsidRPr="00983665">
        <w:rPr>
          <w:rFonts w:ascii="Arial" w:hAnsi="Arial"/>
          <w:sz w:val="24"/>
          <w:lang w:val="fr-CA"/>
        </w:rPr>
        <w:t xml:space="preserve">de cet échantillon a été confirmé. </w:t>
      </w:r>
    </w:p>
    <w:p w:rsidR="0068429A" w:rsidRPr="00BC3F6A" w:rsidRDefault="0068429A">
      <w:pPr>
        <w:ind w:left="720"/>
        <w:rPr>
          <w:rFonts w:ascii="Arial" w:hAnsi="Arial"/>
          <w:sz w:val="24"/>
          <w:lang w:val="fr-CA"/>
        </w:rPr>
      </w:pPr>
    </w:p>
    <w:p w:rsidR="0068429A" w:rsidRPr="00DA3917" w:rsidRDefault="00BC3F6A" w:rsidP="008C3CC6">
      <w:pPr>
        <w:numPr>
          <w:ilvl w:val="0"/>
          <w:numId w:val="1"/>
        </w:numPr>
        <w:rPr>
          <w:rFonts w:ascii="Arial" w:hAnsi="Arial"/>
          <w:b/>
          <w:sz w:val="28"/>
          <w:lang w:val="fr-CA"/>
        </w:rPr>
      </w:pPr>
      <w:r w:rsidRPr="00DA3917">
        <w:rPr>
          <w:rFonts w:ascii="Arial" w:hAnsi="Arial"/>
          <w:b/>
          <w:sz w:val="28"/>
          <w:lang w:val="fr-CA"/>
        </w:rPr>
        <w:t>Remarques</w:t>
      </w:r>
    </w:p>
    <w:p w:rsidR="0068429A" w:rsidRPr="00DA3917" w:rsidRDefault="0068429A">
      <w:pPr>
        <w:rPr>
          <w:rFonts w:ascii="Arial" w:hAnsi="Arial"/>
          <w:sz w:val="24"/>
          <w:lang w:val="fr-CA"/>
        </w:rPr>
      </w:pPr>
    </w:p>
    <w:p w:rsidR="0068429A" w:rsidRPr="00DA3917" w:rsidRDefault="00DA3917" w:rsidP="008C3CC6">
      <w:pPr>
        <w:numPr>
          <w:ilvl w:val="1"/>
          <w:numId w:val="1"/>
        </w:numPr>
        <w:rPr>
          <w:rFonts w:ascii="Arial" w:hAnsi="Arial"/>
          <w:sz w:val="24"/>
          <w:lang w:val="fr-CA"/>
        </w:rPr>
      </w:pPr>
      <w:r w:rsidRPr="00DA3917">
        <w:rPr>
          <w:rFonts w:ascii="Arial" w:hAnsi="Arial"/>
          <w:sz w:val="24"/>
          <w:lang w:val="fr-CA"/>
        </w:rPr>
        <w:t xml:space="preserve">Si la divergence est résolue, elle peut avoir été causée par l’un des éléments suivants : </w:t>
      </w:r>
    </w:p>
    <w:p w:rsidR="00DA3917" w:rsidRPr="00DA3917" w:rsidRDefault="00CA2C50" w:rsidP="00DA3917">
      <w:pPr>
        <w:numPr>
          <w:ilvl w:val="0"/>
          <w:numId w:val="13"/>
        </w:numPr>
        <w:tabs>
          <w:tab w:val="clear" w:pos="360"/>
          <w:tab w:val="num" w:pos="1800"/>
        </w:tabs>
        <w:ind w:left="1800"/>
        <w:rPr>
          <w:rFonts w:ascii="Arial" w:hAnsi="Arial"/>
          <w:sz w:val="24"/>
          <w:lang w:val="fr-CA"/>
        </w:rPr>
      </w:pPr>
      <w:r>
        <w:rPr>
          <w:rFonts w:ascii="Arial" w:hAnsi="Arial"/>
          <w:sz w:val="24"/>
          <w:lang w:val="fr-CA"/>
        </w:rPr>
        <w:t>e</w:t>
      </w:r>
      <w:r w:rsidR="00DA3917" w:rsidRPr="00DA3917">
        <w:rPr>
          <w:rFonts w:ascii="Arial" w:hAnsi="Arial"/>
          <w:sz w:val="24"/>
          <w:lang w:val="fr-CA"/>
        </w:rPr>
        <w:t>rreurs de procédure</w:t>
      </w:r>
    </w:p>
    <w:p w:rsidR="00DA3917" w:rsidRDefault="00CA2C50" w:rsidP="00DA3917">
      <w:pPr>
        <w:numPr>
          <w:ilvl w:val="0"/>
          <w:numId w:val="13"/>
        </w:numPr>
        <w:tabs>
          <w:tab w:val="clear" w:pos="360"/>
          <w:tab w:val="num" w:pos="1800"/>
        </w:tabs>
        <w:ind w:left="1800"/>
        <w:rPr>
          <w:rFonts w:ascii="Arial" w:hAnsi="Arial"/>
          <w:sz w:val="24"/>
          <w:lang w:val="fr-CA"/>
        </w:rPr>
      </w:pPr>
      <w:r>
        <w:rPr>
          <w:rFonts w:ascii="Arial" w:hAnsi="Arial"/>
          <w:sz w:val="24"/>
          <w:lang w:val="fr-CA"/>
        </w:rPr>
        <w:t>a</w:t>
      </w:r>
      <w:r w:rsidR="00DA3917" w:rsidRPr="00DA3917">
        <w:rPr>
          <w:rFonts w:ascii="Arial" w:hAnsi="Arial"/>
          <w:sz w:val="24"/>
          <w:lang w:val="fr-CA"/>
        </w:rPr>
        <w:t>ntisérum qui n’a pas été ajouté ou mauvais antisérum utilisé</w:t>
      </w:r>
    </w:p>
    <w:p w:rsidR="00476827" w:rsidRDefault="00476827" w:rsidP="00DA3917">
      <w:pPr>
        <w:numPr>
          <w:ilvl w:val="0"/>
          <w:numId w:val="13"/>
        </w:numPr>
        <w:tabs>
          <w:tab w:val="clear" w:pos="360"/>
          <w:tab w:val="num" w:pos="1800"/>
        </w:tabs>
        <w:ind w:left="1800"/>
        <w:rPr>
          <w:rFonts w:ascii="Arial" w:hAnsi="Arial"/>
          <w:sz w:val="24"/>
          <w:lang w:val="fr-CA"/>
        </w:rPr>
      </w:pPr>
      <w:r>
        <w:rPr>
          <w:rFonts w:ascii="Arial" w:hAnsi="Arial"/>
          <w:sz w:val="24"/>
          <w:lang w:val="fr-CA"/>
        </w:rPr>
        <w:t>suspension cellulaire trop forte</w:t>
      </w:r>
    </w:p>
    <w:p w:rsidR="00DA3917" w:rsidRDefault="00CA2C50" w:rsidP="00DA3917">
      <w:pPr>
        <w:numPr>
          <w:ilvl w:val="0"/>
          <w:numId w:val="13"/>
        </w:numPr>
        <w:tabs>
          <w:tab w:val="clear" w:pos="360"/>
          <w:tab w:val="num" w:pos="1800"/>
        </w:tabs>
        <w:ind w:left="1800"/>
        <w:rPr>
          <w:rFonts w:ascii="Arial" w:hAnsi="Arial"/>
          <w:sz w:val="24"/>
          <w:lang w:val="fr-CA"/>
        </w:rPr>
      </w:pPr>
      <w:r>
        <w:rPr>
          <w:rFonts w:ascii="Arial" w:hAnsi="Arial"/>
          <w:sz w:val="24"/>
          <w:lang w:val="fr-CA"/>
        </w:rPr>
        <w:t>c</w:t>
      </w:r>
      <w:r w:rsidR="00DA3917" w:rsidRPr="00DA3917">
        <w:rPr>
          <w:rFonts w:ascii="Arial" w:hAnsi="Arial"/>
          <w:sz w:val="24"/>
          <w:lang w:val="fr-CA"/>
        </w:rPr>
        <w:t>entrifugation insuffisante ou excessive</w:t>
      </w:r>
    </w:p>
    <w:p w:rsidR="00DA3917" w:rsidRDefault="00CA2C50" w:rsidP="00DA3917">
      <w:pPr>
        <w:numPr>
          <w:ilvl w:val="0"/>
          <w:numId w:val="13"/>
        </w:numPr>
        <w:tabs>
          <w:tab w:val="clear" w:pos="360"/>
          <w:tab w:val="num" w:pos="1800"/>
        </w:tabs>
        <w:ind w:left="1800"/>
        <w:rPr>
          <w:rFonts w:ascii="Arial" w:hAnsi="Arial"/>
          <w:sz w:val="24"/>
          <w:lang w:val="fr-CA"/>
        </w:rPr>
      </w:pPr>
      <w:r>
        <w:rPr>
          <w:rFonts w:ascii="Arial" w:hAnsi="Arial"/>
          <w:sz w:val="24"/>
          <w:lang w:val="fr-CA"/>
        </w:rPr>
        <w:t>a</w:t>
      </w:r>
      <w:r w:rsidR="00DA3917" w:rsidRPr="00DA3917">
        <w:rPr>
          <w:rFonts w:ascii="Arial" w:hAnsi="Arial"/>
          <w:sz w:val="24"/>
          <w:lang w:val="fr-CA"/>
        </w:rPr>
        <w:t>gitation trop vigoureuse du tube qui a suscité la dispersion de petits agglutinats</w:t>
      </w:r>
    </w:p>
    <w:p w:rsidR="0068429A" w:rsidRDefault="00CA2C50" w:rsidP="00DA3917">
      <w:pPr>
        <w:numPr>
          <w:ilvl w:val="0"/>
          <w:numId w:val="13"/>
        </w:numPr>
        <w:tabs>
          <w:tab w:val="clear" w:pos="360"/>
          <w:tab w:val="num" w:pos="1800"/>
        </w:tabs>
        <w:ind w:left="1800"/>
        <w:rPr>
          <w:rFonts w:ascii="Arial" w:hAnsi="Arial"/>
          <w:sz w:val="24"/>
          <w:lang w:val="fr-CA"/>
        </w:rPr>
      </w:pPr>
      <w:r>
        <w:rPr>
          <w:rFonts w:ascii="Arial" w:hAnsi="Arial"/>
          <w:sz w:val="24"/>
          <w:lang w:val="fr-CA"/>
        </w:rPr>
        <w:t>é</w:t>
      </w:r>
      <w:r w:rsidR="00DA3917" w:rsidRPr="00DA3917">
        <w:rPr>
          <w:rFonts w:ascii="Arial" w:hAnsi="Arial"/>
          <w:sz w:val="24"/>
          <w:lang w:val="fr-CA"/>
        </w:rPr>
        <w:t>chec de la remise en suspension de tout le culot globulaire</w:t>
      </w:r>
    </w:p>
    <w:p w:rsidR="00DA3917" w:rsidRPr="00DA3917" w:rsidRDefault="00CA2C50" w:rsidP="00DA3917">
      <w:pPr>
        <w:numPr>
          <w:ilvl w:val="0"/>
          <w:numId w:val="13"/>
        </w:numPr>
        <w:tabs>
          <w:tab w:val="clear" w:pos="360"/>
          <w:tab w:val="num" w:pos="1800"/>
        </w:tabs>
        <w:ind w:left="1800"/>
        <w:rPr>
          <w:rFonts w:ascii="Arial" w:hAnsi="Arial"/>
          <w:sz w:val="24"/>
          <w:lang w:val="fr-CA"/>
        </w:rPr>
      </w:pPr>
      <w:r>
        <w:rPr>
          <w:rFonts w:ascii="Arial" w:hAnsi="Arial"/>
          <w:sz w:val="24"/>
          <w:lang w:val="fr-CA"/>
        </w:rPr>
        <w:t>l</w:t>
      </w:r>
      <w:r w:rsidR="00DA3917">
        <w:rPr>
          <w:rFonts w:ascii="Arial" w:hAnsi="Arial"/>
          <w:sz w:val="24"/>
          <w:lang w:val="fr-CA"/>
        </w:rPr>
        <w:t xml:space="preserve">ecture microscopique quand les directives accompagnant l’antisérum </w:t>
      </w:r>
      <w:r>
        <w:rPr>
          <w:rFonts w:ascii="Arial" w:hAnsi="Arial"/>
          <w:sz w:val="24"/>
          <w:lang w:val="fr-CA"/>
        </w:rPr>
        <w:t xml:space="preserve">mentionnaient </w:t>
      </w:r>
      <w:r w:rsidR="00DA3917">
        <w:rPr>
          <w:rFonts w:ascii="Arial" w:hAnsi="Arial"/>
          <w:sz w:val="24"/>
          <w:lang w:val="fr-CA"/>
        </w:rPr>
        <w:t>une lecture macroscopique</w:t>
      </w:r>
    </w:p>
    <w:p w:rsidR="00DA3917" w:rsidRPr="00BC3F6A" w:rsidRDefault="00DA3917">
      <w:pPr>
        <w:ind w:left="1440"/>
        <w:rPr>
          <w:rFonts w:ascii="Arial" w:hAnsi="Arial"/>
          <w:sz w:val="24"/>
          <w:lang w:val="fr-CA"/>
        </w:rPr>
      </w:pPr>
    </w:p>
    <w:p w:rsidR="0068429A" w:rsidRPr="00013C0E" w:rsidRDefault="00DA3917" w:rsidP="008C3CC6">
      <w:pPr>
        <w:numPr>
          <w:ilvl w:val="1"/>
          <w:numId w:val="1"/>
        </w:numPr>
        <w:rPr>
          <w:rFonts w:ascii="Arial" w:hAnsi="Arial"/>
          <w:sz w:val="24"/>
          <w:lang w:val="fr-CA"/>
        </w:rPr>
      </w:pPr>
      <w:r w:rsidRPr="00013C0E">
        <w:rPr>
          <w:rFonts w:ascii="Arial" w:hAnsi="Arial"/>
          <w:sz w:val="24"/>
          <w:lang w:val="fr-CA"/>
        </w:rPr>
        <w:t xml:space="preserve">Causes possibles d’une agglutination de type champ </w:t>
      </w:r>
      <w:r w:rsidR="00554BAA">
        <w:rPr>
          <w:rFonts w:ascii="Arial" w:hAnsi="Arial"/>
          <w:sz w:val="24"/>
          <w:lang w:val="fr-CA"/>
        </w:rPr>
        <w:t>mixte </w:t>
      </w:r>
      <w:r w:rsidR="0068429A" w:rsidRPr="00013C0E">
        <w:rPr>
          <w:rFonts w:ascii="Arial" w:hAnsi="Arial"/>
          <w:sz w:val="24"/>
          <w:lang w:val="fr-CA"/>
        </w:rPr>
        <w:t>:</w:t>
      </w:r>
    </w:p>
    <w:p w:rsidR="0068429A" w:rsidRPr="00013C0E" w:rsidRDefault="00013C0E">
      <w:pPr>
        <w:numPr>
          <w:ilvl w:val="0"/>
          <w:numId w:val="14"/>
        </w:numPr>
        <w:tabs>
          <w:tab w:val="clear" w:pos="360"/>
          <w:tab w:val="num" w:pos="1800"/>
        </w:tabs>
        <w:ind w:left="1800"/>
        <w:rPr>
          <w:rFonts w:ascii="Arial" w:hAnsi="Arial"/>
          <w:sz w:val="24"/>
          <w:lang w:val="fr-CA"/>
        </w:rPr>
      </w:pPr>
      <w:r w:rsidRPr="00013C0E">
        <w:rPr>
          <w:rFonts w:ascii="Arial" w:hAnsi="Arial"/>
          <w:sz w:val="24"/>
          <w:lang w:val="fr-CA"/>
        </w:rPr>
        <w:t>récente transfusion avec une unité de donneur ayant un facteur Rh différent</w:t>
      </w:r>
    </w:p>
    <w:p w:rsidR="00006D1A" w:rsidRDefault="00006D1A">
      <w:pPr>
        <w:numPr>
          <w:ilvl w:val="0"/>
          <w:numId w:val="14"/>
        </w:numPr>
        <w:tabs>
          <w:tab w:val="clear" w:pos="360"/>
          <w:tab w:val="num" w:pos="1800"/>
        </w:tabs>
        <w:ind w:left="1800"/>
        <w:rPr>
          <w:rFonts w:ascii="Arial" w:hAnsi="Arial"/>
          <w:sz w:val="24"/>
          <w:lang w:val="fr-CA"/>
        </w:rPr>
      </w:pPr>
      <w:r>
        <w:rPr>
          <w:rFonts w:ascii="Arial" w:hAnsi="Arial"/>
          <w:sz w:val="24"/>
          <w:lang w:val="fr-CA"/>
        </w:rPr>
        <w:t xml:space="preserve">récente transfusion de moelle osseuse ou de cellules souches hématopoïétiques allogènes </w:t>
      </w:r>
    </w:p>
    <w:p w:rsidR="0068429A" w:rsidRPr="00013C0E" w:rsidRDefault="00DA3917">
      <w:pPr>
        <w:numPr>
          <w:ilvl w:val="0"/>
          <w:numId w:val="14"/>
        </w:numPr>
        <w:tabs>
          <w:tab w:val="clear" w:pos="360"/>
          <w:tab w:val="num" w:pos="1800"/>
        </w:tabs>
        <w:ind w:left="1800"/>
        <w:rPr>
          <w:rFonts w:ascii="Arial" w:hAnsi="Arial"/>
          <w:sz w:val="24"/>
          <w:lang w:val="fr-CA"/>
        </w:rPr>
      </w:pPr>
      <w:r w:rsidRPr="00013C0E">
        <w:rPr>
          <w:rFonts w:ascii="Arial" w:hAnsi="Arial"/>
          <w:sz w:val="24"/>
          <w:lang w:val="fr-CA"/>
        </w:rPr>
        <w:t>contamination de l’échantillon</w:t>
      </w:r>
    </w:p>
    <w:p w:rsidR="0068429A" w:rsidRPr="00013C0E" w:rsidRDefault="00DA3917">
      <w:pPr>
        <w:numPr>
          <w:ilvl w:val="0"/>
          <w:numId w:val="14"/>
        </w:numPr>
        <w:tabs>
          <w:tab w:val="clear" w:pos="360"/>
          <w:tab w:val="num" w:pos="1800"/>
        </w:tabs>
        <w:ind w:left="1800"/>
        <w:rPr>
          <w:rFonts w:ascii="Arial" w:hAnsi="Arial"/>
          <w:sz w:val="24"/>
          <w:lang w:val="fr-CA"/>
        </w:rPr>
      </w:pPr>
      <w:r w:rsidRPr="00013C0E">
        <w:rPr>
          <w:rFonts w:ascii="Arial" w:hAnsi="Arial"/>
          <w:sz w:val="24"/>
          <w:lang w:val="fr-CA"/>
        </w:rPr>
        <w:t xml:space="preserve">phénotype Rh inhabituel qui pourrait ou non être associé à la production d’alloanticorps </w:t>
      </w:r>
      <w:r w:rsidR="0068429A" w:rsidRPr="00013C0E">
        <w:rPr>
          <w:rFonts w:ascii="Arial" w:hAnsi="Arial"/>
          <w:sz w:val="24"/>
          <w:lang w:val="fr-CA"/>
        </w:rPr>
        <w:t>Rh</w:t>
      </w:r>
    </w:p>
    <w:p w:rsidR="0068429A" w:rsidRPr="00013C0E" w:rsidRDefault="00DA3917">
      <w:pPr>
        <w:numPr>
          <w:ilvl w:val="0"/>
          <w:numId w:val="14"/>
        </w:numPr>
        <w:tabs>
          <w:tab w:val="clear" w:pos="360"/>
          <w:tab w:val="num" w:pos="1800"/>
        </w:tabs>
        <w:ind w:left="1800"/>
        <w:rPr>
          <w:rFonts w:ascii="Arial" w:hAnsi="Arial"/>
          <w:sz w:val="24"/>
          <w:lang w:val="fr-CA"/>
        </w:rPr>
      </w:pPr>
      <w:r w:rsidRPr="00013C0E">
        <w:rPr>
          <w:rFonts w:ascii="Arial" w:hAnsi="Arial"/>
          <w:sz w:val="24"/>
          <w:lang w:val="fr-CA"/>
        </w:rPr>
        <w:t xml:space="preserve">hémorragie </w:t>
      </w:r>
      <w:r w:rsidR="00013C0E" w:rsidRPr="00013C0E">
        <w:rPr>
          <w:rFonts w:ascii="Arial" w:hAnsi="Arial"/>
          <w:sz w:val="24"/>
          <w:lang w:val="fr-CA"/>
        </w:rPr>
        <w:t>fœtomaternelle</w:t>
      </w:r>
      <w:r w:rsidRPr="00013C0E">
        <w:rPr>
          <w:rFonts w:ascii="Arial" w:hAnsi="Arial"/>
          <w:sz w:val="24"/>
          <w:lang w:val="fr-CA"/>
        </w:rPr>
        <w:t xml:space="preserve"> importante</w:t>
      </w:r>
    </w:p>
    <w:p w:rsidR="0068429A" w:rsidRPr="00013C0E" w:rsidRDefault="00DA3917">
      <w:pPr>
        <w:numPr>
          <w:ilvl w:val="0"/>
          <w:numId w:val="14"/>
        </w:numPr>
        <w:tabs>
          <w:tab w:val="clear" w:pos="360"/>
          <w:tab w:val="num" w:pos="1800"/>
        </w:tabs>
        <w:ind w:left="1800"/>
        <w:rPr>
          <w:rFonts w:ascii="Arial" w:hAnsi="Arial"/>
          <w:sz w:val="24"/>
          <w:lang w:val="fr-CA"/>
        </w:rPr>
      </w:pPr>
      <w:r w:rsidRPr="00013C0E">
        <w:rPr>
          <w:rFonts w:ascii="Arial" w:hAnsi="Arial"/>
          <w:sz w:val="24"/>
          <w:lang w:val="fr-CA"/>
        </w:rPr>
        <w:t xml:space="preserve">anomalies génétiques, notamment </w:t>
      </w:r>
      <w:r w:rsidR="0068429A" w:rsidRPr="00013C0E">
        <w:rPr>
          <w:rFonts w:ascii="Arial" w:hAnsi="Arial"/>
          <w:sz w:val="24"/>
          <w:lang w:val="fr-CA"/>
        </w:rPr>
        <w:t>disperm</w:t>
      </w:r>
      <w:r w:rsidRPr="00013C0E">
        <w:rPr>
          <w:rFonts w:ascii="Arial" w:hAnsi="Arial"/>
          <w:sz w:val="24"/>
          <w:lang w:val="fr-CA"/>
        </w:rPr>
        <w:t xml:space="preserve">ie et </w:t>
      </w:r>
      <w:r w:rsidR="0068429A" w:rsidRPr="00013C0E">
        <w:rPr>
          <w:rFonts w:ascii="Arial" w:hAnsi="Arial"/>
          <w:sz w:val="24"/>
          <w:lang w:val="fr-CA"/>
        </w:rPr>
        <w:t>chim</w:t>
      </w:r>
      <w:r w:rsidRPr="00013C0E">
        <w:rPr>
          <w:rFonts w:ascii="Arial" w:hAnsi="Arial"/>
          <w:sz w:val="24"/>
          <w:lang w:val="fr-CA"/>
        </w:rPr>
        <w:t>é</w:t>
      </w:r>
      <w:r w:rsidR="0068429A" w:rsidRPr="00013C0E">
        <w:rPr>
          <w:rFonts w:ascii="Arial" w:hAnsi="Arial"/>
          <w:sz w:val="24"/>
          <w:lang w:val="fr-CA"/>
        </w:rPr>
        <w:t>rism</w:t>
      </w:r>
      <w:r w:rsidRPr="00013C0E">
        <w:rPr>
          <w:rFonts w:ascii="Arial" w:hAnsi="Arial"/>
          <w:sz w:val="24"/>
          <w:lang w:val="fr-CA"/>
        </w:rPr>
        <w:t>e</w:t>
      </w:r>
    </w:p>
    <w:p w:rsidR="0068429A" w:rsidRPr="00013C0E" w:rsidRDefault="0068429A">
      <w:pPr>
        <w:ind w:left="1440"/>
        <w:rPr>
          <w:rFonts w:ascii="Arial" w:hAnsi="Arial"/>
          <w:sz w:val="24"/>
          <w:lang w:val="fr-CA"/>
        </w:rPr>
      </w:pPr>
    </w:p>
    <w:p w:rsidR="0068429A" w:rsidRPr="00013C0E" w:rsidRDefault="00DA3917" w:rsidP="008C3CC6">
      <w:pPr>
        <w:numPr>
          <w:ilvl w:val="1"/>
          <w:numId w:val="1"/>
        </w:numPr>
        <w:rPr>
          <w:rFonts w:ascii="Arial" w:hAnsi="Arial"/>
          <w:sz w:val="24"/>
          <w:lang w:val="fr-CA"/>
        </w:rPr>
      </w:pPr>
      <w:r w:rsidRPr="00013C0E">
        <w:rPr>
          <w:rFonts w:ascii="Arial" w:hAnsi="Arial"/>
          <w:sz w:val="24"/>
          <w:lang w:val="fr-CA"/>
        </w:rPr>
        <w:t xml:space="preserve">La présence d’un témoin positif pourrait être attribuable à diverses raisons : </w:t>
      </w:r>
    </w:p>
    <w:p w:rsidR="0068429A" w:rsidRPr="00013C0E" w:rsidRDefault="00AD1A3A">
      <w:pPr>
        <w:numPr>
          <w:ilvl w:val="0"/>
          <w:numId w:val="15"/>
        </w:numPr>
        <w:tabs>
          <w:tab w:val="clear" w:pos="360"/>
          <w:tab w:val="num" w:pos="1800"/>
        </w:tabs>
        <w:ind w:left="1800"/>
        <w:rPr>
          <w:rFonts w:ascii="Arial" w:hAnsi="Arial"/>
          <w:sz w:val="24"/>
          <w:lang w:val="fr-CA"/>
        </w:rPr>
      </w:pPr>
      <w:r w:rsidRPr="00013C0E">
        <w:rPr>
          <w:rFonts w:ascii="Arial" w:hAnsi="Arial"/>
          <w:sz w:val="24"/>
          <w:lang w:val="fr-CA"/>
        </w:rPr>
        <w:t>r</w:t>
      </w:r>
      <w:r w:rsidR="0068429A" w:rsidRPr="00013C0E">
        <w:rPr>
          <w:rFonts w:ascii="Arial" w:hAnsi="Arial"/>
          <w:sz w:val="24"/>
          <w:lang w:val="fr-CA"/>
        </w:rPr>
        <w:t>ouleaux</w:t>
      </w:r>
    </w:p>
    <w:p w:rsidR="0068429A" w:rsidRPr="00013C0E" w:rsidRDefault="00AD1A3A">
      <w:pPr>
        <w:numPr>
          <w:ilvl w:val="0"/>
          <w:numId w:val="15"/>
        </w:numPr>
        <w:tabs>
          <w:tab w:val="clear" w:pos="360"/>
          <w:tab w:val="num" w:pos="1800"/>
        </w:tabs>
        <w:ind w:left="1800"/>
        <w:rPr>
          <w:rFonts w:ascii="Arial" w:hAnsi="Arial"/>
          <w:sz w:val="24"/>
          <w:lang w:val="fr-CA"/>
        </w:rPr>
      </w:pPr>
      <w:r w:rsidRPr="00013C0E">
        <w:rPr>
          <w:rFonts w:ascii="Arial" w:hAnsi="Arial"/>
          <w:sz w:val="24"/>
          <w:lang w:val="fr-CA"/>
        </w:rPr>
        <w:t>a</w:t>
      </w:r>
      <w:r w:rsidR="0068429A" w:rsidRPr="00013C0E">
        <w:rPr>
          <w:rFonts w:ascii="Arial" w:hAnsi="Arial"/>
          <w:sz w:val="24"/>
          <w:lang w:val="fr-CA"/>
        </w:rPr>
        <w:t>utoagglutinin</w:t>
      </w:r>
      <w:r w:rsidRPr="00013C0E">
        <w:rPr>
          <w:rFonts w:ascii="Arial" w:hAnsi="Arial"/>
          <w:sz w:val="24"/>
          <w:lang w:val="fr-CA"/>
        </w:rPr>
        <w:t>e</w:t>
      </w:r>
      <w:r w:rsidR="0068429A" w:rsidRPr="00013C0E">
        <w:rPr>
          <w:rFonts w:ascii="Arial" w:hAnsi="Arial"/>
          <w:sz w:val="24"/>
          <w:lang w:val="fr-CA"/>
        </w:rPr>
        <w:t>s</w:t>
      </w:r>
      <w:r w:rsidRPr="00013C0E">
        <w:rPr>
          <w:rFonts w:ascii="Arial" w:hAnsi="Arial"/>
          <w:sz w:val="24"/>
          <w:lang w:val="fr-CA"/>
        </w:rPr>
        <w:t xml:space="preserve"> fortes</w:t>
      </w:r>
    </w:p>
    <w:p w:rsidR="0068429A" w:rsidRPr="00013C0E" w:rsidRDefault="00AD1A3A">
      <w:pPr>
        <w:numPr>
          <w:ilvl w:val="0"/>
          <w:numId w:val="15"/>
        </w:numPr>
        <w:tabs>
          <w:tab w:val="clear" w:pos="360"/>
          <w:tab w:val="num" w:pos="1800"/>
        </w:tabs>
        <w:ind w:left="1800"/>
        <w:rPr>
          <w:rFonts w:ascii="Arial" w:hAnsi="Arial"/>
          <w:sz w:val="24"/>
          <w:lang w:val="fr-CA"/>
        </w:rPr>
      </w:pPr>
      <w:r w:rsidRPr="00013C0E">
        <w:rPr>
          <w:rFonts w:ascii="Arial" w:hAnsi="Arial"/>
          <w:sz w:val="24"/>
          <w:lang w:val="fr-CA"/>
        </w:rPr>
        <w:t>test direct à l’antiglobuline (TDA) positif</w:t>
      </w:r>
    </w:p>
    <w:p w:rsidR="0068429A" w:rsidRPr="00013C0E" w:rsidRDefault="0068429A">
      <w:pPr>
        <w:ind w:left="1440"/>
        <w:rPr>
          <w:rFonts w:ascii="Arial" w:hAnsi="Arial"/>
          <w:sz w:val="24"/>
          <w:lang w:val="fr-CA"/>
        </w:rPr>
      </w:pPr>
    </w:p>
    <w:p w:rsidR="0068429A" w:rsidRPr="00013C0E" w:rsidRDefault="00013C0E" w:rsidP="008C3CC6">
      <w:pPr>
        <w:numPr>
          <w:ilvl w:val="1"/>
          <w:numId w:val="1"/>
        </w:numPr>
        <w:rPr>
          <w:rFonts w:ascii="Arial" w:hAnsi="Arial"/>
          <w:sz w:val="24"/>
          <w:lang w:val="fr-CA"/>
        </w:rPr>
      </w:pPr>
      <w:r w:rsidRPr="00013C0E">
        <w:rPr>
          <w:rFonts w:ascii="Arial" w:hAnsi="Arial"/>
          <w:sz w:val="24"/>
          <w:lang w:val="fr-CA"/>
        </w:rPr>
        <w:t>Si l’anti-D et le témoin Rh sont des réactifs hyperprotéiques, répéter la détermination du facteur Rh en se servant d’un réactif hypoprotéi</w:t>
      </w:r>
      <w:r w:rsidR="006F2C9F">
        <w:rPr>
          <w:rFonts w:ascii="Arial" w:hAnsi="Arial"/>
          <w:sz w:val="24"/>
          <w:lang w:val="fr-CA"/>
        </w:rPr>
        <w:t>né</w:t>
      </w:r>
      <w:r w:rsidRPr="00013C0E">
        <w:rPr>
          <w:rFonts w:ascii="Arial" w:hAnsi="Arial"/>
          <w:sz w:val="24"/>
          <w:lang w:val="fr-CA"/>
        </w:rPr>
        <w:t>, comme un anti-D et un témoin monoclonaux</w:t>
      </w:r>
      <w:r w:rsidR="0068429A" w:rsidRPr="00013C0E">
        <w:rPr>
          <w:rFonts w:ascii="Arial" w:hAnsi="Arial"/>
          <w:sz w:val="24"/>
          <w:lang w:val="fr-CA"/>
        </w:rPr>
        <w:t xml:space="preserve">. </w:t>
      </w:r>
      <w:r w:rsidRPr="00013C0E">
        <w:rPr>
          <w:rFonts w:ascii="Arial" w:hAnsi="Arial"/>
          <w:sz w:val="24"/>
          <w:lang w:val="fr-CA"/>
        </w:rPr>
        <w:t>Si le témoin hypoprotéiné reste positif, retirer les anticorps recouvrant les cellules avant de répéter l’épreuve</w:t>
      </w:r>
      <w:r w:rsidR="0068429A" w:rsidRPr="00013C0E">
        <w:rPr>
          <w:rFonts w:ascii="Arial" w:hAnsi="Arial"/>
          <w:sz w:val="24"/>
          <w:lang w:val="fr-CA"/>
        </w:rPr>
        <w:t>.</w:t>
      </w:r>
    </w:p>
    <w:p w:rsidR="0068429A" w:rsidRPr="00013C0E" w:rsidRDefault="0068429A">
      <w:pPr>
        <w:ind w:left="720"/>
        <w:rPr>
          <w:rFonts w:ascii="Arial" w:hAnsi="Arial"/>
          <w:sz w:val="24"/>
          <w:lang w:val="fr-CA"/>
        </w:rPr>
      </w:pPr>
    </w:p>
    <w:p w:rsidR="0068429A" w:rsidRPr="00013C0E" w:rsidRDefault="00013C0E" w:rsidP="008C3CC6">
      <w:pPr>
        <w:numPr>
          <w:ilvl w:val="1"/>
          <w:numId w:val="1"/>
        </w:numPr>
        <w:rPr>
          <w:rFonts w:ascii="Arial" w:hAnsi="Arial"/>
          <w:sz w:val="24"/>
          <w:lang w:val="fr-CA"/>
        </w:rPr>
      </w:pPr>
      <w:r w:rsidRPr="00013C0E">
        <w:rPr>
          <w:rFonts w:ascii="Arial" w:hAnsi="Arial"/>
          <w:sz w:val="24"/>
          <w:lang w:val="fr-CA"/>
        </w:rPr>
        <w:t xml:space="preserve">Des réactions faussement positives de l’anti-D </w:t>
      </w:r>
      <w:r w:rsidR="0068429A" w:rsidRPr="00013C0E">
        <w:rPr>
          <w:rFonts w:ascii="Arial" w:hAnsi="Arial"/>
          <w:sz w:val="24"/>
          <w:lang w:val="fr-CA"/>
        </w:rPr>
        <w:t>(</w:t>
      </w:r>
      <w:r w:rsidRPr="00013C0E">
        <w:rPr>
          <w:rFonts w:ascii="Arial" w:hAnsi="Arial"/>
          <w:sz w:val="24"/>
          <w:lang w:val="fr-CA"/>
        </w:rPr>
        <w:t>témoin négatif</w:t>
      </w:r>
      <w:r w:rsidR="0068429A" w:rsidRPr="00013C0E">
        <w:rPr>
          <w:rFonts w:ascii="Arial" w:hAnsi="Arial"/>
          <w:sz w:val="24"/>
          <w:lang w:val="fr-CA"/>
        </w:rPr>
        <w:t xml:space="preserve">) </w:t>
      </w:r>
      <w:r w:rsidRPr="00013C0E">
        <w:rPr>
          <w:rFonts w:ascii="Arial" w:hAnsi="Arial"/>
          <w:sz w:val="24"/>
          <w:lang w:val="fr-CA"/>
        </w:rPr>
        <w:t>peuvent être causées par la présence d’anticorps aux antigènes de faible fréquence dans de l’antisérum d’origine humaine</w:t>
      </w:r>
      <w:r w:rsidR="0068429A" w:rsidRPr="00013C0E">
        <w:rPr>
          <w:rFonts w:ascii="Arial" w:hAnsi="Arial"/>
          <w:sz w:val="24"/>
          <w:lang w:val="fr-CA"/>
        </w:rPr>
        <w:t xml:space="preserve">. </w:t>
      </w:r>
      <w:r w:rsidRPr="00013C0E">
        <w:rPr>
          <w:rFonts w:ascii="Arial" w:hAnsi="Arial"/>
          <w:sz w:val="24"/>
          <w:lang w:val="fr-CA"/>
        </w:rPr>
        <w:t>La répétition de l’épreuve à l’aide de réactifs monoclonaux devrait résoudre le problème.</w:t>
      </w:r>
      <w:r w:rsidR="000C4CF6" w:rsidRPr="00013C0E">
        <w:rPr>
          <w:rFonts w:ascii="Arial" w:hAnsi="Arial"/>
          <w:sz w:val="24"/>
          <w:lang w:val="fr-CA"/>
        </w:rPr>
        <w:t xml:space="preserve"> Les réactifs monoclonaux sont dénués </w:t>
      </w:r>
      <w:r w:rsidR="00541CBE">
        <w:rPr>
          <w:rFonts w:ascii="Arial" w:hAnsi="Arial"/>
          <w:sz w:val="24"/>
          <w:lang w:val="fr-CA"/>
        </w:rPr>
        <w:t>d’</w:t>
      </w:r>
      <w:r w:rsidR="000C4CF6" w:rsidRPr="00013C0E">
        <w:rPr>
          <w:rFonts w:ascii="Arial" w:hAnsi="Arial"/>
          <w:sz w:val="24"/>
          <w:lang w:val="fr-CA"/>
        </w:rPr>
        <w:t>anticorps contaminants</w:t>
      </w:r>
      <w:r w:rsidR="0068429A" w:rsidRPr="00013C0E">
        <w:rPr>
          <w:rFonts w:ascii="Arial" w:hAnsi="Arial"/>
          <w:sz w:val="24"/>
          <w:lang w:val="fr-CA"/>
        </w:rPr>
        <w:t>.</w:t>
      </w:r>
    </w:p>
    <w:p w:rsidR="0068429A" w:rsidRPr="00BC3F6A" w:rsidRDefault="0068429A">
      <w:pPr>
        <w:ind w:left="720"/>
        <w:rPr>
          <w:rFonts w:ascii="Arial" w:hAnsi="Arial"/>
          <w:sz w:val="24"/>
          <w:lang w:val="fr-CA"/>
        </w:rPr>
      </w:pPr>
    </w:p>
    <w:p w:rsidR="0068429A" w:rsidRPr="000C4CF6" w:rsidRDefault="00AD1A3A" w:rsidP="008C3CC6">
      <w:pPr>
        <w:numPr>
          <w:ilvl w:val="1"/>
          <w:numId w:val="1"/>
        </w:numPr>
        <w:rPr>
          <w:rFonts w:ascii="Arial" w:hAnsi="Arial"/>
          <w:sz w:val="24"/>
          <w:lang w:val="fr-CA"/>
        </w:rPr>
      </w:pPr>
      <w:r w:rsidRPr="000C4CF6">
        <w:rPr>
          <w:rFonts w:ascii="Arial" w:hAnsi="Arial"/>
          <w:sz w:val="24"/>
          <w:lang w:val="fr-CA"/>
        </w:rPr>
        <w:t>Des réactions faussement négatives avec l’anti-D peuvent survenir </w:t>
      </w:r>
      <w:r w:rsidR="00274FCE" w:rsidRPr="000C4CF6">
        <w:rPr>
          <w:rFonts w:ascii="Arial" w:hAnsi="Arial"/>
          <w:sz w:val="24"/>
          <w:lang w:val="fr-CA"/>
        </w:rPr>
        <w:t xml:space="preserve">dans certaines situations </w:t>
      </w:r>
      <w:r w:rsidRPr="000C4CF6">
        <w:rPr>
          <w:rFonts w:ascii="Arial" w:hAnsi="Arial"/>
          <w:sz w:val="24"/>
          <w:lang w:val="fr-CA"/>
        </w:rPr>
        <w:t xml:space="preserve">: </w:t>
      </w:r>
    </w:p>
    <w:p w:rsidR="0068429A" w:rsidRPr="000C4CF6" w:rsidRDefault="00BF6C68">
      <w:pPr>
        <w:numPr>
          <w:ilvl w:val="0"/>
          <w:numId w:val="16"/>
        </w:numPr>
        <w:rPr>
          <w:rFonts w:ascii="Arial" w:hAnsi="Arial"/>
          <w:sz w:val="24"/>
          <w:lang w:val="fr-CA"/>
        </w:rPr>
      </w:pPr>
      <w:r w:rsidRPr="000C4CF6">
        <w:rPr>
          <w:rFonts w:ascii="Arial" w:hAnsi="Arial"/>
          <w:sz w:val="24"/>
          <w:lang w:val="fr-CA"/>
        </w:rPr>
        <w:t xml:space="preserve">Lorsque les cellules sont recouvertes d’un anticorps spécifique </w:t>
      </w:r>
      <w:r w:rsidR="006F2C9F">
        <w:rPr>
          <w:rFonts w:ascii="Arial" w:hAnsi="Arial"/>
          <w:sz w:val="24"/>
          <w:lang w:val="fr-CA"/>
        </w:rPr>
        <w:t>de</w:t>
      </w:r>
      <w:r w:rsidRPr="000C4CF6">
        <w:rPr>
          <w:rFonts w:ascii="Arial" w:hAnsi="Arial"/>
          <w:sz w:val="24"/>
          <w:lang w:val="fr-CA"/>
        </w:rPr>
        <w:t xml:space="preserve"> l’antigène étudié. </w:t>
      </w:r>
      <w:r w:rsidR="0068429A" w:rsidRPr="000C4CF6">
        <w:rPr>
          <w:rFonts w:ascii="Arial" w:hAnsi="Arial"/>
          <w:sz w:val="24"/>
          <w:lang w:val="fr-CA"/>
        </w:rPr>
        <w:t>Ex</w:t>
      </w:r>
      <w:r w:rsidRPr="000C4CF6">
        <w:rPr>
          <w:rFonts w:ascii="Arial" w:hAnsi="Arial"/>
          <w:sz w:val="24"/>
          <w:lang w:val="fr-CA"/>
        </w:rPr>
        <w:t>e</w:t>
      </w:r>
      <w:r w:rsidR="0068429A" w:rsidRPr="000C4CF6">
        <w:rPr>
          <w:rFonts w:ascii="Arial" w:hAnsi="Arial"/>
          <w:sz w:val="24"/>
          <w:lang w:val="fr-CA"/>
        </w:rPr>
        <w:t>mple</w:t>
      </w:r>
      <w:r w:rsidR="000C4CF6" w:rsidRPr="000C4CF6">
        <w:rPr>
          <w:rFonts w:ascii="Arial" w:hAnsi="Arial"/>
          <w:sz w:val="24"/>
          <w:lang w:val="fr-CA"/>
        </w:rPr>
        <w:t xml:space="preserve"> </w:t>
      </w:r>
      <w:r w:rsidR="0068429A" w:rsidRPr="000C4CF6">
        <w:rPr>
          <w:rFonts w:ascii="Arial" w:hAnsi="Arial"/>
          <w:sz w:val="24"/>
          <w:lang w:val="fr-CA"/>
        </w:rPr>
        <w:t xml:space="preserve">: </w:t>
      </w:r>
      <w:r w:rsidRPr="000C4CF6">
        <w:rPr>
          <w:rFonts w:ascii="Arial" w:hAnsi="Arial"/>
          <w:sz w:val="24"/>
          <w:lang w:val="fr-CA"/>
        </w:rPr>
        <w:t>lorsque les sites d’antigène D des cellules fœtales sont recouverts d’anti-D maternel, les globules rouges du nouveau-né</w:t>
      </w:r>
      <w:r w:rsidR="00274FCE" w:rsidRPr="000C4CF6">
        <w:rPr>
          <w:rFonts w:ascii="Arial" w:hAnsi="Arial"/>
          <w:sz w:val="24"/>
          <w:lang w:val="fr-CA"/>
        </w:rPr>
        <w:t xml:space="preserve"> peuvent ne pas réagir à l’anti-D, de sorte que l’on déterminera qu’il est Rh négatif</w:t>
      </w:r>
      <w:r w:rsidR="0068429A" w:rsidRPr="000C4CF6">
        <w:rPr>
          <w:rFonts w:ascii="Arial" w:hAnsi="Arial"/>
          <w:sz w:val="24"/>
          <w:lang w:val="fr-CA"/>
        </w:rPr>
        <w:t>.</w:t>
      </w:r>
    </w:p>
    <w:p w:rsidR="0068429A" w:rsidRPr="00BC3F6A" w:rsidRDefault="0068429A">
      <w:pPr>
        <w:ind w:left="1440"/>
        <w:rPr>
          <w:rFonts w:ascii="Arial" w:hAnsi="Arial"/>
          <w:sz w:val="24"/>
          <w:lang w:val="fr-CA"/>
        </w:rPr>
      </w:pPr>
    </w:p>
    <w:p w:rsidR="0068429A" w:rsidRDefault="00BC3F6A">
      <w:pPr>
        <w:numPr>
          <w:ilvl w:val="0"/>
          <w:numId w:val="16"/>
        </w:numPr>
        <w:rPr>
          <w:rFonts w:ascii="Arial" w:hAnsi="Arial"/>
          <w:sz w:val="24"/>
          <w:lang w:val="fr-CA"/>
        </w:rPr>
      </w:pPr>
      <w:r>
        <w:rPr>
          <w:rFonts w:ascii="Arial" w:hAnsi="Arial"/>
          <w:sz w:val="24"/>
          <w:lang w:val="fr-CA"/>
        </w:rPr>
        <w:t>En présence d’états maladi</w:t>
      </w:r>
      <w:r w:rsidR="00AD1A3A">
        <w:rPr>
          <w:rFonts w:ascii="Arial" w:hAnsi="Arial"/>
          <w:sz w:val="24"/>
          <w:lang w:val="fr-CA"/>
        </w:rPr>
        <w:t>fs</w:t>
      </w:r>
      <w:r>
        <w:rPr>
          <w:rFonts w:ascii="Arial" w:hAnsi="Arial"/>
          <w:sz w:val="24"/>
          <w:lang w:val="fr-CA"/>
        </w:rPr>
        <w:t xml:space="preserve"> qui entraîne</w:t>
      </w:r>
      <w:r w:rsidR="00AD1A3A">
        <w:rPr>
          <w:rFonts w:ascii="Arial" w:hAnsi="Arial"/>
          <w:sz w:val="24"/>
          <w:lang w:val="fr-CA"/>
        </w:rPr>
        <w:t>nt</w:t>
      </w:r>
      <w:r>
        <w:rPr>
          <w:rFonts w:ascii="Arial" w:hAnsi="Arial"/>
          <w:sz w:val="24"/>
          <w:lang w:val="fr-CA"/>
        </w:rPr>
        <w:t xml:space="preserve"> une perte d’antigène. Des patients que l’on savait D positif ont été soumis à des épreuves pendant leur maladie et ont été qualifiés de D négatif par méthode de </w:t>
      </w:r>
      <w:r w:rsidR="00AD1A3A">
        <w:rPr>
          <w:rFonts w:ascii="Arial" w:hAnsi="Arial"/>
          <w:sz w:val="24"/>
          <w:lang w:val="fr-CA"/>
        </w:rPr>
        <w:t xml:space="preserve">recherche de l’antigène D faible. </w:t>
      </w:r>
      <w:r w:rsidR="00F978A7">
        <w:rPr>
          <w:rFonts w:ascii="Arial" w:hAnsi="Arial"/>
          <w:sz w:val="24"/>
          <w:lang w:val="fr-CA"/>
        </w:rPr>
        <w:t>Le phénotypage RhD est utile pour distinguer un D partiel, un D spécifique faible ou pour résoudre le typage D</w:t>
      </w:r>
      <w:r w:rsidR="00B96C6A">
        <w:rPr>
          <w:rFonts w:ascii="Arial" w:hAnsi="Arial"/>
          <w:sz w:val="24"/>
          <w:lang w:val="fr-CA"/>
        </w:rPr>
        <w:t> </w:t>
      </w:r>
      <w:r w:rsidR="00F978A7">
        <w:rPr>
          <w:rFonts w:ascii="Arial" w:hAnsi="Arial"/>
          <w:sz w:val="24"/>
          <w:lang w:val="fr-CA"/>
        </w:rPr>
        <w:t>sérologique</w:t>
      </w:r>
      <w:r w:rsidR="00F978A7" w:rsidRPr="00F978A7">
        <w:rPr>
          <w:rFonts w:ascii="Arial" w:hAnsi="Arial"/>
          <w:sz w:val="24"/>
          <w:vertAlign w:val="superscript"/>
          <w:lang w:val="fr-CA"/>
        </w:rPr>
        <w:t>9.2</w:t>
      </w:r>
      <w:r w:rsidR="00F978A7">
        <w:rPr>
          <w:rFonts w:ascii="Arial" w:hAnsi="Arial"/>
          <w:sz w:val="24"/>
          <w:lang w:val="fr-CA"/>
        </w:rPr>
        <w:t>.</w:t>
      </w:r>
    </w:p>
    <w:p w:rsidR="0068429A" w:rsidRPr="00BC3F6A" w:rsidRDefault="0068429A">
      <w:pPr>
        <w:rPr>
          <w:rFonts w:ascii="Arial" w:hAnsi="Arial"/>
          <w:sz w:val="24"/>
          <w:lang w:val="fr-CA"/>
        </w:rPr>
      </w:pPr>
    </w:p>
    <w:p w:rsidR="006F2C9F" w:rsidRDefault="006F2C9F" w:rsidP="008C3CC6">
      <w:pPr>
        <w:numPr>
          <w:ilvl w:val="1"/>
          <w:numId w:val="1"/>
        </w:numPr>
        <w:rPr>
          <w:rFonts w:ascii="Arial" w:hAnsi="Arial"/>
          <w:sz w:val="24"/>
          <w:lang w:val="fr-CA"/>
        </w:rPr>
      </w:pPr>
      <w:r>
        <w:rPr>
          <w:rFonts w:ascii="Arial" w:hAnsi="Arial"/>
          <w:sz w:val="24"/>
          <w:lang w:val="fr-CA"/>
        </w:rPr>
        <w:t>Des réactions faibles avec l’anti-D peuvent résulter de variantes du gène RhD qui entraînent une expression moindre de l’antigène D. Certains réactifs anti-D monoclonaux sont conçus pour réagir aux variantes</w:t>
      </w:r>
      <w:r w:rsidR="00B96C6A">
        <w:rPr>
          <w:rFonts w:ascii="Arial" w:hAnsi="Arial"/>
          <w:sz w:val="24"/>
          <w:lang w:val="fr-CA"/>
        </w:rPr>
        <w:t> </w:t>
      </w:r>
      <w:r>
        <w:rPr>
          <w:rFonts w:ascii="Arial" w:hAnsi="Arial"/>
          <w:sz w:val="24"/>
          <w:lang w:val="fr-CA"/>
        </w:rPr>
        <w:t>DIV et DV. Les variantes</w:t>
      </w:r>
      <w:r w:rsidR="00B96C6A">
        <w:rPr>
          <w:rFonts w:ascii="Arial" w:hAnsi="Arial"/>
          <w:sz w:val="24"/>
          <w:lang w:val="fr-CA"/>
        </w:rPr>
        <w:t> </w:t>
      </w:r>
      <w:r>
        <w:rPr>
          <w:rFonts w:ascii="Arial" w:hAnsi="Arial"/>
          <w:sz w:val="24"/>
          <w:lang w:val="fr-CA"/>
        </w:rPr>
        <w:t>DVI seront dépistées par TIA. Consulter la documentation du fabricant pour connaître le réactif utilisé.</w:t>
      </w:r>
      <w:r w:rsidR="00006D1A">
        <w:rPr>
          <w:rFonts w:ascii="Arial" w:hAnsi="Arial"/>
          <w:sz w:val="24"/>
          <w:lang w:val="fr-CA"/>
        </w:rPr>
        <w:t xml:space="preserve"> Un D partiel suscite un classement Rh positif du donneur de sang; cette personne sera cependant Rh négatif en tant que receveur</w:t>
      </w:r>
      <w:r w:rsidR="00006D1A">
        <w:rPr>
          <w:rFonts w:ascii="Arial" w:hAnsi="Arial"/>
          <w:sz w:val="24"/>
          <w:vertAlign w:val="superscript"/>
          <w:lang w:val="fr-CA"/>
        </w:rPr>
        <w:t>9.2</w:t>
      </w:r>
      <w:r w:rsidR="00006D1A">
        <w:rPr>
          <w:rFonts w:ascii="Arial" w:hAnsi="Arial"/>
          <w:sz w:val="24"/>
          <w:lang w:val="fr-CA"/>
        </w:rPr>
        <w:t>.</w:t>
      </w:r>
      <w:r>
        <w:rPr>
          <w:rFonts w:ascii="Arial" w:hAnsi="Arial"/>
          <w:sz w:val="24"/>
          <w:lang w:val="fr-CA"/>
        </w:rPr>
        <w:br/>
      </w:r>
    </w:p>
    <w:p w:rsidR="0068429A" w:rsidRDefault="00BC3F6A" w:rsidP="008C3CC6">
      <w:pPr>
        <w:numPr>
          <w:ilvl w:val="1"/>
          <w:numId w:val="1"/>
        </w:numPr>
        <w:rPr>
          <w:rFonts w:ascii="Arial" w:hAnsi="Arial"/>
          <w:sz w:val="24"/>
          <w:lang w:val="fr-CA"/>
        </w:rPr>
      </w:pPr>
      <w:r w:rsidRPr="00BC3F6A">
        <w:rPr>
          <w:rFonts w:ascii="Arial" w:hAnsi="Arial"/>
          <w:sz w:val="24"/>
          <w:lang w:val="fr-CA"/>
        </w:rPr>
        <w:t>S’il y a un problème lié à la détermination du facteur R</w:t>
      </w:r>
      <w:r w:rsidR="00541CBE">
        <w:rPr>
          <w:rFonts w:ascii="Arial" w:hAnsi="Arial"/>
          <w:sz w:val="24"/>
          <w:lang w:val="fr-CA"/>
        </w:rPr>
        <w:t>h</w:t>
      </w:r>
      <w:r w:rsidRPr="00BC3F6A">
        <w:rPr>
          <w:rFonts w:ascii="Arial" w:hAnsi="Arial"/>
          <w:sz w:val="24"/>
          <w:lang w:val="fr-CA"/>
        </w:rPr>
        <w:t xml:space="preserve"> et qu’il faut procéder à une transfusion sans délai, il faut mettre en circulation des produits sanguins Rh négatif pour les femmes </w:t>
      </w:r>
      <w:r w:rsidR="00006D1A">
        <w:rPr>
          <w:rFonts w:ascii="Arial" w:hAnsi="Arial"/>
          <w:sz w:val="24"/>
          <w:lang w:val="fr-CA"/>
        </w:rPr>
        <w:t xml:space="preserve">en âge d’avoir des enfants </w:t>
      </w:r>
      <w:r w:rsidRPr="00BC3F6A">
        <w:rPr>
          <w:rFonts w:ascii="Arial" w:hAnsi="Arial"/>
          <w:sz w:val="24"/>
          <w:lang w:val="fr-CA"/>
        </w:rPr>
        <w:t>et les enfants jusqu’à la résolution du problème. Les autres patients, en l’absence d’anti-D connu, peuvent recevoir du sang Rh positif dans les situations d’urgence où il y a une pénurie de sang Rh négatif.</w:t>
      </w:r>
      <w:r w:rsidR="00DD2DD7">
        <w:rPr>
          <w:rFonts w:ascii="Arial" w:hAnsi="Arial"/>
          <w:sz w:val="24"/>
          <w:lang w:val="fr-CA"/>
        </w:rPr>
        <w:br/>
      </w:r>
    </w:p>
    <w:p w:rsidR="0068429A" w:rsidRPr="00BC3F6A" w:rsidRDefault="0068429A" w:rsidP="008C3CC6">
      <w:pPr>
        <w:numPr>
          <w:ilvl w:val="0"/>
          <w:numId w:val="1"/>
        </w:numPr>
        <w:rPr>
          <w:rFonts w:ascii="Arial" w:hAnsi="Arial"/>
          <w:b/>
          <w:sz w:val="28"/>
          <w:lang w:val="fr-CA"/>
        </w:rPr>
      </w:pPr>
      <w:r w:rsidRPr="00BC3F6A">
        <w:rPr>
          <w:rFonts w:ascii="Arial" w:hAnsi="Arial"/>
          <w:b/>
          <w:sz w:val="28"/>
          <w:lang w:val="fr-CA"/>
        </w:rPr>
        <w:t>R</w:t>
      </w:r>
      <w:r w:rsidR="00BC3F6A" w:rsidRPr="00BC3F6A">
        <w:rPr>
          <w:rFonts w:ascii="Arial" w:hAnsi="Arial"/>
          <w:b/>
          <w:sz w:val="28"/>
          <w:lang w:val="fr-CA"/>
        </w:rPr>
        <w:t>é</w:t>
      </w:r>
      <w:r w:rsidRPr="00BC3F6A">
        <w:rPr>
          <w:rFonts w:ascii="Arial" w:hAnsi="Arial"/>
          <w:b/>
          <w:sz w:val="28"/>
          <w:lang w:val="fr-CA"/>
        </w:rPr>
        <w:t>f</w:t>
      </w:r>
      <w:r w:rsidR="00BC3F6A" w:rsidRPr="00BC3F6A">
        <w:rPr>
          <w:rFonts w:ascii="Arial" w:hAnsi="Arial"/>
          <w:b/>
          <w:sz w:val="28"/>
          <w:lang w:val="fr-CA"/>
        </w:rPr>
        <w:t>é</w:t>
      </w:r>
      <w:r w:rsidRPr="00BC3F6A">
        <w:rPr>
          <w:rFonts w:ascii="Arial" w:hAnsi="Arial"/>
          <w:b/>
          <w:sz w:val="28"/>
          <w:lang w:val="fr-CA"/>
        </w:rPr>
        <w:t>rences</w:t>
      </w:r>
    </w:p>
    <w:p w:rsidR="0068429A" w:rsidRPr="00BC3F6A" w:rsidRDefault="0068429A">
      <w:pPr>
        <w:rPr>
          <w:rFonts w:ascii="Arial" w:hAnsi="Arial"/>
          <w:sz w:val="24"/>
          <w:lang w:val="fr-CA"/>
        </w:rPr>
      </w:pPr>
    </w:p>
    <w:p w:rsidR="0068429A" w:rsidRPr="00BC3F6A" w:rsidRDefault="0068429A" w:rsidP="008C3CC6">
      <w:pPr>
        <w:numPr>
          <w:ilvl w:val="1"/>
          <w:numId w:val="1"/>
        </w:numPr>
        <w:rPr>
          <w:rFonts w:ascii="Arial" w:hAnsi="Arial"/>
          <w:sz w:val="24"/>
          <w:lang w:val="fr-CA"/>
        </w:rPr>
      </w:pPr>
      <w:r w:rsidRPr="00DD2DD7">
        <w:rPr>
          <w:rFonts w:ascii="Arial" w:hAnsi="Arial"/>
          <w:i/>
          <w:sz w:val="24"/>
          <w:lang w:val="fr-CA"/>
        </w:rPr>
        <w:t>Standards for transfusion medicine</w:t>
      </w:r>
      <w:r w:rsidRPr="00BC3F6A">
        <w:rPr>
          <w:rFonts w:ascii="Arial" w:hAnsi="Arial"/>
          <w:sz w:val="24"/>
          <w:lang w:val="fr-CA"/>
        </w:rPr>
        <w:t>,</w:t>
      </w:r>
      <w:r w:rsidR="00DD2DD7">
        <w:rPr>
          <w:rFonts w:ascii="Arial" w:hAnsi="Arial"/>
          <w:sz w:val="24"/>
          <w:lang w:val="fr-CA"/>
        </w:rPr>
        <w:t xml:space="preserve"> version </w:t>
      </w:r>
      <w:r w:rsidR="00217024">
        <w:rPr>
          <w:rFonts w:ascii="Arial" w:hAnsi="Arial"/>
          <w:sz w:val="24"/>
          <w:lang w:val="fr-CA"/>
        </w:rPr>
        <w:t>3</w:t>
      </w:r>
      <w:r w:rsidR="00DD2DD7">
        <w:rPr>
          <w:rFonts w:ascii="Arial" w:hAnsi="Arial"/>
          <w:sz w:val="24"/>
          <w:lang w:val="fr-CA"/>
        </w:rPr>
        <w:t xml:space="preserve"> – </w:t>
      </w:r>
      <w:r w:rsidR="00217024">
        <w:rPr>
          <w:rFonts w:ascii="Arial" w:hAnsi="Arial"/>
          <w:sz w:val="24"/>
          <w:lang w:val="fr-CA"/>
        </w:rPr>
        <w:t>février</w:t>
      </w:r>
      <w:r w:rsidR="00DD2DD7">
        <w:rPr>
          <w:rFonts w:ascii="Arial" w:hAnsi="Arial"/>
          <w:sz w:val="24"/>
          <w:lang w:val="fr-CA"/>
        </w:rPr>
        <w:t xml:space="preserve"> 20</w:t>
      </w:r>
      <w:r w:rsidR="00217024">
        <w:rPr>
          <w:rFonts w:ascii="Arial" w:hAnsi="Arial"/>
          <w:sz w:val="24"/>
          <w:lang w:val="fr-CA"/>
        </w:rPr>
        <w:t>11</w:t>
      </w:r>
      <w:r w:rsidR="00DD2DD7">
        <w:rPr>
          <w:rFonts w:ascii="Arial" w:hAnsi="Arial"/>
          <w:sz w:val="24"/>
          <w:lang w:val="fr-CA"/>
        </w:rPr>
        <w:t xml:space="preserve">, </w:t>
      </w:r>
      <w:r w:rsidR="00BC3F6A" w:rsidRPr="00BC3F6A">
        <w:rPr>
          <w:rFonts w:ascii="Arial" w:hAnsi="Arial"/>
          <w:sz w:val="24"/>
          <w:lang w:val="fr-CA"/>
        </w:rPr>
        <w:t>Société canadienne de médecine transfusionnelle</w:t>
      </w:r>
      <w:r w:rsidR="00217024" w:rsidRPr="00071566">
        <w:rPr>
          <w:rFonts w:ascii="Arial" w:hAnsi="Arial"/>
          <w:sz w:val="24"/>
          <w:lang w:val="fr-CA"/>
        </w:rPr>
        <w:t xml:space="preserve"> ; 5.3.1.1, 5.3.1.3, 5.3.1.4, 5.3.3</w:t>
      </w:r>
    </w:p>
    <w:p w:rsidR="0068429A" w:rsidRPr="00BC3F6A" w:rsidRDefault="0068429A">
      <w:pPr>
        <w:ind w:left="720"/>
        <w:rPr>
          <w:rFonts w:ascii="Arial" w:hAnsi="Arial"/>
          <w:sz w:val="24"/>
          <w:lang w:val="fr-CA"/>
        </w:rPr>
      </w:pPr>
    </w:p>
    <w:p w:rsidR="0068429A" w:rsidRPr="00DD2DD7" w:rsidRDefault="00DD2DD7" w:rsidP="008C3CC6">
      <w:pPr>
        <w:numPr>
          <w:ilvl w:val="1"/>
          <w:numId w:val="1"/>
        </w:numPr>
        <w:rPr>
          <w:rFonts w:ascii="Arial" w:hAnsi="Arial"/>
          <w:sz w:val="24"/>
          <w:szCs w:val="24"/>
          <w:lang w:val="fr-CA"/>
        </w:rPr>
      </w:pPr>
      <w:r w:rsidRPr="00DD2DD7">
        <w:rPr>
          <w:rFonts w:ascii="Arial" w:hAnsi="Arial" w:cs="Arial"/>
          <w:sz w:val="24"/>
          <w:szCs w:val="24"/>
          <w:lang w:val="en-CA"/>
        </w:rPr>
        <w:t xml:space="preserve">ROBACK JD, </w:t>
      </w:r>
      <w:r>
        <w:rPr>
          <w:rFonts w:ascii="Arial" w:hAnsi="Arial" w:cs="Arial"/>
          <w:sz w:val="24"/>
          <w:szCs w:val="24"/>
          <w:lang w:val="en-CA"/>
        </w:rPr>
        <w:t>é</w:t>
      </w:r>
      <w:r w:rsidRPr="00DD2DD7">
        <w:rPr>
          <w:rFonts w:ascii="Arial" w:hAnsi="Arial" w:cs="Arial"/>
          <w:sz w:val="24"/>
          <w:szCs w:val="24"/>
          <w:lang w:val="en-CA"/>
        </w:rPr>
        <w:t xml:space="preserve">d. </w:t>
      </w:r>
      <w:r w:rsidRPr="00DD2DD7">
        <w:rPr>
          <w:rFonts w:ascii="Arial" w:hAnsi="Arial" w:cs="Arial"/>
          <w:i/>
          <w:sz w:val="24"/>
          <w:szCs w:val="24"/>
          <w:lang w:val="en-CA"/>
        </w:rPr>
        <w:t>American Association of Blood Banks Technical Manual</w:t>
      </w:r>
      <w:r w:rsidRPr="00DD2DD7">
        <w:rPr>
          <w:rFonts w:ascii="Arial" w:hAnsi="Arial" w:cs="Arial"/>
          <w:sz w:val="24"/>
          <w:szCs w:val="24"/>
          <w:lang w:val="en-CA"/>
        </w:rPr>
        <w:t>, 1</w:t>
      </w:r>
      <w:r w:rsidR="00217024">
        <w:rPr>
          <w:rFonts w:ascii="Arial" w:hAnsi="Arial" w:cs="Arial"/>
          <w:sz w:val="24"/>
          <w:szCs w:val="24"/>
          <w:lang w:val="en-CA"/>
        </w:rPr>
        <w:t>7</w:t>
      </w:r>
      <w:r>
        <w:rPr>
          <w:rFonts w:ascii="Arial" w:hAnsi="Arial" w:cs="Arial"/>
          <w:sz w:val="24"/>
          <w:szCs w:val="24"/>
          <w:vertAlign w:val="superscript"/>
          <w:lang w:val="en-CA"/>
        </w:rPr>
        <w:t>e</w:t>
      </w:r>
      <w:r w:rsidRPr="00DD2DD7">
        <w:rPr>
          <w:rFonts w:ascii="Arial" w:hAnsi="Arial" w:cs="Arial"/>
          <w:sz w:val="24"/>
          <w:szCs w:val="24"/>
          <w:lang w:val="en-CA"/>
        </w:rPr>
        <w:t xml:space="preserve"> </w:t>
      </w:r>
      <w:r>
        <w:rPr>
          <w:rFonts w:ascii="Arial" w:hAnsi="Arial" w:cs="Arial"/>
          <w:sz w:val="24"/>
          <w:szCs w:val="24"/>
          <w:lang w:val="en-CA"/>
        </w:rPr>
        <w:t>é</w:t>
      </w:r>
      <w:r w:rsidRPr="00DD2DD7">
        <w:rPr>
          <w:rFonts w:ascii="Arial" w:hAnsi="Arial" w:cs="Arial"/>
          <w:sz w:val="24"/>
          <w:szCs w:val="24"/>
          <w:lang w:val="en-CA"/>
        </w:rPr>
        <w:t>d. Bethesda, MD</w:t>
      </w:r>
      <w:r>
        <w:rPr>
          <w:rFonts w:ascii="Arial" w:hAnsi="Arial" w:cs="Arial"/>
          <w:sz w:val="24"/>
          <w:szCs w:val="24"/>
          <w:lang w:val="en-CA"/>
        </w:rPr>
        <w:t>,</w:t>
      </w:r>
      <w:r w:rsidRPr="00DD2DD7">
        <w:rPr>
          <w:rFonts w:ascii="Arial" w:hAnsi="Arial" w:cs="Arial"/>
          <w:sz w:val="24"/>
          <w:szCs w:val="24"/>
          <w:lang w:val="en-CA"/>
        </w:rPr>
        <w:t xml:space="preserve"> American Association of Blood Banks</w:t>
      </w:r>
      <w:r>
        <w:rPr>
          <w:rFonts w:ascii="Arial" w:hAnsi="Arial" w:cs="Arial"/>
          <w:sz w:val="24"/>
          <w:szCs w:val="24"/>
          <w:lang w:val="en-CA"/>
        </w:rPr>
        <w:t xml:space="preserve"> (</w:t>
      </w:r>
      <w:r w:rsidRPr="00DD2DD7">
        <w:rPr>
          <w:rFonts w:ascii="Arial" w:hAnsi="Arial" w:cs="Arial"/>
          <w:sz w:val="24"/>
          <w:szCs w:val="24"/>
          <w:lang w:val="en-CA"/>
        </w:rPr>
        <w:t>20</w:t>
      </w:r>
      <w:r w:rsidR="00217024">
        <w:rPr>
          <w:rFonts w:ascii="Arial" w:hAnsi="Arial" w:cs="Arial"/>
          <w:sz w:val="24"/>
          <w:szCs w:val="24"/>
          <w:lang w:val="en-CA"/>
        </w:rPr>
        <w:t>11</w:t>
      </w:r>
      <w:r>
        <w:rPr>
          <w:rFonts w:ascii="Arial" w:hAnsi="Arial" w:cs="Arial"/>
          <w:sz w:val="24"/>
          <w:szCs w:val="24"/>
          <w:lang w:val="en-CA"/>
        </w:rPr>
        <w:t>)</w:t>
      </w:r>
      <w:r w:rsidR="00217024">
        <w:rPr>
          <w:rFonts w:ascii="Arial" w:hAnsi="Arial" w:cs="Arial"/>
          <w:sz w:val="24"/>
          <w:szCs w:val="24"/>
          <w:lang w:val="en-CA"/>
        </w:rPr>
        <w:t>:406-408</w:t>
      </w:r>
    </w:p>
    <w:p w:rsidR="00217024" w:rsidRDefault="00217024" w:rsidP="00217024">
      <w:pPr>
        <w:rPr>
          <w:rFonts w:ascii="Arial" w:hAnsi="Arial"/>
          <w:sz w:val="24"/>
        </w:rPr>
      </w:pPr>
    </w:p>
    <w:p w:rsidR="0068429A" w:rsidRPr="00071566" w:rsidRDefault="00217024" w:rsidP="008C3CC6">
      <w:pPr>
        <w:numPr>
          <w:ilvl w:val="1"/>
          <w:numId w:val="1"/>
        </w:numPr>
        <w:rPr>
          <w:rFonts w:ascii="Arial" w:hAnsi="Arial"/>
          <w:sz w:val="24"/>
          <w:lang w:val="en-CA"/>
        </w:rPr>
      </w:pPr>
      <w:r w:rsidRPr="00125CA3">
        <w:rPr>
          <w:rFonts w:ascii="Arial" w:hAnsi="Arial"/>
          <w:sz w:val="24"/>
        </w:rPr>
        <w:t>QMP</w:t>
      </w:r>
      <w:r>
        <w:rPr>
          <w:rFonts w:ascii="Arial" w:hAnsi="Arial"/>
          <w:sz w:val="24"/>
        </w:rPr>
        <w:t>-</w:t>
      </w:r>
      <w:r w:rsidRPr="00125CA3">
        <w:rPr>
          <w:rFonts w:ascii="Arial" w:hAnsi="Arial"/>
          <w:sz w:val="24"/>
        </w:rPr>
        <w:t>LS EQA</w:t>
      </w:r>
      <w:r>
        <w:rPr>
          <w:rFonts w:ascii="Arial" w:hAnsi="Arial"/>
          <w:sz w:val="24"/>
        </w:rPr>
        <w:t xml:space="preserve"> Transfusion Medicine Review- Rh Typing 2013-10-10</w:t>
      </w:r>
    </w:p>
    <w:p w:rsidR="00534A17" w:rsidRPr="00071566" w:rsidRDefault="00534A17" w:rsidP="00534A17">
      <w:pPr>
        <w:pStyle w:val="ListParagraph"/>
        <w:rPr>
          <w:rFonts w:ascii="Arial" w:hAnsi="Arial"/>
          <w:sz w:val="24"/>
          <w:lang w:val="en-CA"/>
        </w:rPr>
      </w:pPr>
    </w:p>
    <w:p w:rsidR="00990EB9" w:rsidRPr="00AA3396" w:rsidRDefault="00990EB9" w:rsidP="00990EB9">
      <w:pPr>
        <w:pStyle w:val="ListParagraph"/>
        <w:numPr>
          <w:ilvl w:val="0"/>
          <w:numId w:val="24"/>
        </w:numPr>
        <w:contextualSpacing/>
        <w:rPr>
          <w:rFonts w:ascii="Arial" w:hAnsi="Arial"/>
          <w:b/>
          <w:sz w:val="28"/>
          <w:lang w:val="fr-CA"/>
        </w:rPr>
      </w:pPr>
      <w:r w:rsidRPr="00AA3396">
        <w:rPr>
          <w:rFonts w:ascii="Arial" w:hAnsi="Arial"/>
          <w:b/>
          <w:sz w:val="28"/>
          <w:lang w:val="fr-CA"/>
        </w:rPr>
        <w:t>Suivi des révisions</w:t>
      </w:r>
    </w:p>
    <w:p w:rsidR="00990EB9" w:rsidRPr="00AA3396" w:rsidRDefault="00990EB9" w:rsidP="00990EB9">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6033"/>
      </w:tblGrid>
      <w:tr w:rsidR="00990EB9" w:rsidRPr="00AA3396" w:rsidTr="00AB78C8">
        <w:trPr>
          <w:cantSplit/>
        </w:trPr>
        <w:tc>
          <w:tcPr>
            <w:tcW w:w="2660" w:type="dxa"/>
            <w:shd w:val="clear" w:color="auto" w:fill="F2F2F2"/>
          </w:tcPr>
          <w:p w:rsidR="00990EB9" w:rsidRPr="004050E8" w:rsidRDefault="00990EB9" w:rsidP="009366A0">
            <w:pPr>
              <w:jc w:val="center"/>
              <w:rPr>
                <w:rFonts w:ascii="Arial" w:hAnsi="Arial" w:cs="Arial"/>
                <w:b/>
                <w:sz w:val="22"/>
                <w:szCs w:val="22"/>
                <w:lang w:val="fr-CA"/>
              </w:rPr>
            </w:pPr>
            <w:r>
              <w:rPr>
                <w:rFonts w:ascii="Arial" w:hAnsi="Arial" w:cs="Arial"/>
                <w:b/>
                <w:sz w:val="22"/>
                <w:szCs w:val="22"/>
                <w:lang w:val="fr-CA"/>
              </w:rPr>
              <w:t>Date de la révision</w:t>
            </w:r>
          </w:p>
        </w:tc>
        <w:tc>
          <w:tcPr>
            <w:tcW w:w="6196" w:type="dxa"/>
            <w:shd w:val="clear" w:color="auto" w:fill="F2F2F2"/>
          </w:tcPr>
          <w:p w:rsidR="00990EB9" w:rsidRPr="00AB78C8" w:rsidRDefault="00990EB9" w:rsidP="009366A0">
            <w:pPr>
              <w:jc w:val="center"/>
              <w:rPr>
                <w:rFonts w:ascii="Arial" w:hAnsi="Arial" w:cs="Arial"/>
                <w:b/>
                <w:sz w:val="22"/>
                <w:szCs w:val="22"/>
                <w:lang w:val="fr-CA"/>
              </w:rPr>
            </w:pPr>
            <w:r w:rsidRPr="00AB78C8">
              <w:rPr>
                <w:rFonts w:ascii="Arial" w:hAnsi="Arial" w:cs="Arial"/>
                <w:b/>
                <w:sz w:val="22"/>
                <w:szCs w:val="22"/>
                <w:lang w:val="fr-CA"/>
              </w:rPr>
              <w:t>Résumé des changements</w:t>
            </w:r>
          </w:p>
        </w:tc>
      </w:tr>
      <w:tr w:rsidR="00990EB9" w:rsidRPr="00AA3396" w:rsidTr="00AB78C8">
        <w:trPr>
          <w:cantSplit/>
          <w:trHeight w:val="2652"/>
        </w:trPr>
        <w:tc>
          <w:tcPr>
            <w:tcW w:w="2660" w:type="dxa"/>
          </w:tcPr>
          <w:p w:rsidR="00990EB9" w:rsidRPr="00AA3396" w:rsidRDefault="00990EB9" w:rsidP="009D4308">
            <w:pPr>
              <w:keepLines/>
              <w:widowControl w:val="0"/>
              <w:rPr>
                <w:rFonts w:ascii="Arial" w:hAnsi="Arial"/>
                <w:sz w:val="22"/>
                <w:szCs w:val="22"/>
                <w:lang w:val="fr-CA"/>
              </w:rPr>
            </w:pPr>
            <w:r>
              <w:rPr>
                <w:rFonts w:ascii="Arial" w:hAnsi="Arial"/>
                <w:sz w:val="22"/>
                <w:szCs w:val="22"/>
                <w:lang w:val="fr-CA"/>
              </w:rPr>
              <w:t>1</w:t>
            </w:r>
            <w:r w:rsidR="009D4308" w:rsidRPr="009D4308">
              <w:rPr>
                <w:rFonts w:ascii="Arial" w:hAnsi="Arial"/>
                <w:sz w:val="22"/>
                <w:szCs w:val="22"/>
                <w:vertAlign w:val="superscript"/>
                <w:lang w:val="fr-CA"/>
              </w:rPr>
              <w:t>er</w:t>
            </w:r>
            <w:r w:rsidR="009D4308">
              <w:rPr>
                <w:rFonts w:ascii="Arial" w:hAnsi="Arial"/>
                <w:sz w:val="22"/>
                <w:szCs w:val="22"/>
                <w:lang w:val="fr-CA"/>
              </w:rPr>
              <w:t xml:space="preserve"> mars</w:t>
            </w:r>
            <w:r w:rsidRPr="00AA3396">
              <w:rPr>
                <w:rFonts w:ascii="Arial" w:hAnsi="Arial"/>
                <w:sz w:val="22"/>
                <w:szCs w:val="22"/>
                <w:lang w:val="fr-CA"/>
              </w:rPr>
              <w:t xml:space="preserve"> 2014 </w:t>
            </w:r>
          </w:p>
        </w:tc>
        <w:tc>
          <w:tcPr>
            <w:tcW w:w="6196" w:type="dxa"/>
          </w:tcPr>
          <w:p w:rsidR="00990EB9" w:rsidRPr="00AB78C8" w:rsidRDefault="00364106" w:rsidP="00364106">
            <w:pPr>
              <w:pStyle w:val="ListParagraph"/>
              <w:numPr>
                <w:ilvl w:val="0"/>
                <w:numId w:val="25"/>
              </w:numPr>
              <w:ind w:left="317" w:hanging="317"/>
              <w:contextualSpacing/>
              <w:rPr>
                <w:rFonts w:ascii="Arial" w:hAnsi="Arial" w:cs="Arial"/>
                <w:sz w:val="22"/>
                <w:szCs w:val="22"/>
                <w:lang w:val="fr-CA"/>
              </w:rPr>
            </w:pPr>
            <w:r>
              <w:rPr>
                <w:rFonts w:ascii="Arial" w:hAnsi="Arial" w:cs="Arial"/>
                <w:sz w:val="22"/>
                <w:szCs w:val="22"/>
                <w:lang w:val="fr-CA"/>
              </w:rPr>
              <w:tab/>
              <w:t>C</w:t>
            </w:r>
            <w:r w:rsidR="00990EB9" w:rsidRPr="00AB78C8">
              <w:rPr>
                <w:rFonts w:ascii="Arial" w:hAnsi="Arial" w:cs="Arial"/>
                <w:sz w:val="22"/>
                <w:szCs w:val="22"/>
                <w:lang w:val="fr-CA"/>
              </w:rPr>
              <w:t xml:space="preserve">hangement du nom du manuel </w:t>
            </w:r>
          </w:p>
          <w:p w:rsidR="009D4308" w:rsidRPr="00AB78C8" w:rsidRDefault="00AB78C8" w:rsidP="009D4308">
            <w:pPr>
              <w:pStyle w:val="ListParagraph"/>
              <w:numPr>
                <w:ilvl w:val="0"/>
                <w:numId w:val="21"/>
              </w:numPr>
              <w:tabs>
                <w:tab w:val="left" w:pos="720"/>
              </w:tabs>
              <w:spacing w:line="228" w:lineRule="auto"/>
              <w:contextualSpacing/>
              <w:rPr>
                <w:rFonts w:ascii="Arial" w:hAnsi="Arial"/>
                <w:sz w:val="22"/>
                <w:lang w:val="fr-CA"/>
              </w:rPr>
            </w:pPr>
            <w:r w:rsidRPr="00AB78C8">
              <w:rPr>
                <w:rFonts w:ascii="Arial" w:hAnsi="Arial"/>
                <w:sz w:val="22"/>
                <w:lang w:val="fr-CA"/>
              </w:rPr>
              <w:t>Modification du libellé de la section</w:t>
            </w:r>
            <w:r w:rsidR="00B96C6A">
              <w:rPr>
                <w:rFonts w:ascii="Arial" w:hAnsi="Arial"/>
                <w:sz w:val="22"/>
                <w:lang w:val="fr-CA"/>
              </w:rPr>
              <w:t> </w:t>
            </w:r>
            <w:r w:rsidRPr="00AB78C8">
              <w:rPr>
                <w:rFonts w:ascii="Arial" w:hAnsi="Arial"/>
                <w:sz w:val="22"/>
                <w:lang w:val="fr-CA"/>
              </w:rPr>
              <w:t>2.2 pour ajouter une référence à la ressource</w:t>
            </w:r>
            <w:r w:rsidR="00B96C6A">
              <w:rPr>
                <w:rFonts w:ascii="Arial" w:hAnsi="Arial"/>
                <w:sz w:val="22"/>
                <w:lang w:val="fr-CA"/>
              </w:rPr>
              <w:t> </w:t>
            </w:r>
            <w:r w:rsidR="009D4308" w:rsidRPr="00AB78C8">
              <w:rPr>
                <w:rFonts w:ascii="Arial" w:hAnsi="Arial"/>
                <w:sz w:val="22"/>
                <w:lang w:val="fr-CA"/>
              </w:rPr>
              <w:t>9.1</w:t>
            </w:r>
          </w:p>
          <w:p w:rsidR="009D4308" w:rsidRPr="00AB78C8" w:rsidRDefault="00AB78C8" w:rsidP="009D4308">
            <w:pPr>
              <w:pStyle w:val="ListParagraph"/>
              <w:numPr>
                <w:ilvl w:val="0"/>
                <w:numId w:val="21"/>
              </w:numPr>
              <w:tabs>
                <w:tab w:val="left" w:pos="720"/>
              </w:tabs>
              <w:spacing w:line="228" w:lineRule="auto"/>
              <w:contextualSpacing/>
              <w:rPr>
                <w:rFonts w:ascii="Arial" w:hAnsi="Arial"/>
                <w:sz w:val="22"/>
                <w:lang w:val="fr-CA"/>
              </w:rPr>
            </w:pPr>
            <w:r>
              <w:rPr>
                <w:rFonts w:ascii="Arial" w:hAnsi="Arial"/>
                <w:sz w:val="22"/>
                <w:lang w:val="fr-CA"/>
              </w:rPr>
              <w:t>Modification du libellé de la section</w:t>
            </w:r>
            <w:r w:rsidR="00B96C6A">
              <w:rPr>
                <w:rFonts w:ascii="Arial" w:hAnsi="Arial"/>
                <w:sz w:val="22"/>
                <w:lang w:val="fr-CA"/>
              </w:rPr>
              <w:t> </w:t>
            </w:r>
            <w:r w:rsidR="009D4308" w:rsidRPr="00AB78C8">
              <w:rPr>
                <w:rFonts w:ascii="Arial" w:hAnsi="Arial"/>
                <w:sz w:val="22"/>
                <w:lang w:val="fr-CA"/>
              </w:rPr>
              <w:t xml:space="preserve">2.3 </w:t>
            </w:r>
            <w:r>
              <w:rPr>
                <w:rFonts w:ascii="Arial" w:hAnsi="Arial"/>
                <w:sz w:val="22"/>
                <w:lang w:val="fr-CA"/>
              </w:rPr>
              <w:t xml:space="preserve">pour préciser « selon les directives écrites du fabricant ». </w:t>
            </w:r>
          </w:p>
          <w:p w:rsidR="009D4308" w:rsidRPr="00AB78C8" w:rsidRDefault="00AB78C8" w:rsidP="009D4308">
            <w:pPr>
              <w:pStyle w:val="ListParagraph"/>
              <w:numPr>
                <w:ilvl w:val="0"/>
                <w:numId w:val="21"/>
              </w:numPr>
              <w:tabs>
                <w:tab w:val="left" w:pos="720"/>
              </w:tabs>
              <w:spacing w:line="228" w:lineRule="auto"/>
              <w:contextualSpacing/>
              <w:rPr>
                <w:rFonts w:ascii="Arial" w:hAnsi="Arial"/>
                <w:sz w:val="22"/>
                <w:lang w:val="fr-CA"/>
              </w:rPr>
            </w:pPr>
            <w:r>
              <w:rPr>
                <w:rFonts w:ascii="Arial" w:hAnsi="Arial"/>
                <w:sz w:val="22"/>
                <w:lang w:val="fr-CA"/>
              </w:rPr>
              <w:t>Précision quant aux femmes « en âge d’avoir des enfants » aux sections</w:t>
            </w:r>
            <w:r w:rsidR="00B96C6A">
              <w:rPr>
                <w:rFonts w:ascii="Arial" w:hAnsi="Arial"/>
                <w:sz w:val="22"/>
                <w:lang w:val="fr-CA"/>
              </w:rPr>
              <w:t> </w:t>
            </w:r>
            <w:r w:rsidR="009D4308" w:rsidRPr="00AB78C8">
              <w:rPr>
                <w:rFonts w:ascii="Arial" w:hAnsi="Arial"/>
                <w:sz w:val="22"/>
                <w:lang w:val="fr-CA"/>
              </w:rPr>
              <w:t xml:space="preserve">2.4 </w:t>
            </w:r>
            <w:r>
              <w:rPr>
                <w:rFonts w:ascii="Arial" w:hAnsi="Arial"/>
                <w:sz w:val="22"/>
                <w:lang w:val="fr-CA"/>
              </w:rPr>
              <w:t>et</w:t>
            </w:r>
            <w:r w:rsidR="009D4308" w:rsidRPr="00AB78C8">
              <w:rPr>
                <w:rFonts w:ascii="Arial" w:hAnsi="Arial"/>
                <w:sz w:val="22"/>
                <w:lang w:val="fr-CA"/>
              </w:rPr>
              <w:t xml:space="preserve"> 8.8</w:t>
            </w:r>
          </w:p>
          <w:p w:rsidR="009D4308" w:rsidRPr="00AB78C8" w:rsidRDefault="00AB78C8" w:rsidP="009D4308">
            <w:pPr>
              <w:pStyle w:val="ListParagraph"/>
              <w:numPr>
                <w:ilvl w:val="0"/>
                <w:numId w:val="21"/>
              </w:numPr>
              <w:tabs>
                <w:tab w:val="left" w:pos="720"/>
              </w:tabs>
              <w:spacing w:line="228" w:lineRule="auto"/>
              <w:contextualSpacing/>
              <w:rPr>
                <w:rFonts w:ascii="Arial" w:hAnsi="Arial"/>
                <w:sz w:val="22"/>
                <w:lang w:val="fr-CA"/>
              </w:rPr>
            </w:pPr>
            <w:r>
              <w:rPr>
                <w:rFonts w:ascii="Arial" w:hAnsi="Arial"/>
                <w:sz w:val="22"/>
                <w:lang w:val="fr-CA"/>
              </w:rPr>
              <w:t xml:space="preserve">Modification du libellé de la </w:t>
            </w:r>
            <w:r w:rsidR="009D4308" w:rsidRPr="00AB78C8">
              <w:rPr>
                <w:rFonts w:ascii="Arial" w:hAnsi="Arial"/>
                <w:sz w:val="22"/>
                <w:lang w:val="fr-CA"/>
              </w:rPr>
              <w:t xml:space="preserve">5.2.4 </w:t>
            </w:r>
            <w:r>
              <w:rPr>
                <w:rFonts w:ascii="Arial" w:hAnsi="Arial"/>
                <w:sz w:val="22"/>
                <w:lang w:val="fr-CA"/>
              </w:rPr>
              <w:t xml:space="preserve">pour préciser un </w:t>
            </w:r>
            <w:r w:rsidR="00364106">
              <w:rPr>
                <w:rFonts w:ascii="Arial" w:hAnsi="Arial"/>
                <w:sz w:val="22"/>
                <w:lang w:val="fr-CA"/>
              </w:rPr>
              <w:t>TDA « à l’aide d’un réactif IgG »</w:t>
            </w:r>
          </w:p>
          <w:p w:rsidR="009D4308" w:rsidRPr="00AB78C8" w:rsidRDefault="00364106" w:rsidP="009D4308">
            <w:pPr>
              <w:pStyle w:val="ListParagraph"/>
              <w:numPr>
                <w:ilvl w:val="0"/>
                <w:numId w:val="21"/>
              </w:numPr>
              <w:tabs>
                <w:tab w:val="left" w:pos="720"/>
              </w:tabs>
              <w:spacing w:line="228" w:lineRule="auto"/>
              <w:contextualSpacing/>
              <w:rPr>
                <w:rFonts w:ascii="Arial" w:hAnsi="Arial"/>
                <w:sz w:val="22"/>
                <w:lang w:val="fr-CA"/>
              </w:rPr>
            </w:pPr>
            <w:r>
              <w:rPr>
                <w:rFonts w:ascii="Arial" w:hAnsi="Arial"/>
                <w:sz w:val="22"/>
                <w:lang w:val="fr-CA"/>
              </w:rPr>
              <w:t>Ajout de la section</w:t>
            </w:r>
            <w:r w:rsidR="00B96C6A">
              <w:rPr>
                <w:rFonts w:ascii="Arial" w:hAnsi="Arial"/>
                <w:sz w:val="22"/>
                <w:lang w:val="fr-CA"/>
              </w:rPr>
              <w:t> </w:t>
            </w:r>
            <w:r w:rsidR="009D4308" w:rsidRPr="00AB78C8">
              <w:rPr>
                <w:rFonts w:ascii="Arial" w:hAnsi="Arial"/>
                <w:sz w:val="22"/>
                <w:lang w:val="fr-CA"/>
              </w:rPr>
              <w:t xml:space="preserve">6.1.2 </w:t>
            </w:r>
          </w:p>
          <w:p w:rsidR="009D4308" w:rsidRPr="00AB78C8" w:rsidRDefault="00364106" w:rsidP="009D4308">
            <w:pPr>
              <w:pStyle w:val="ListParagraph"/>
              <w:numPr>
                <w:ilvl w:val="0"/>
                <w:numId w:val="21"/>
              </w:numPr>
              <w:tabs>
                <w:tab w:val="left" w:pos="720"/>
              </w:tabs>
              <w:spacing w:line="228" w:lineRule="auto"/>
              <w:contextualSpacing/>
              <w:rPr>
                <w:rFonts w:ascii="Arial" w:hAnsi="Arial"/>
                <w:sz w:val="22"/>
                <w:lang w:val="fr-CA"/>
              </w:rPr>
            </w:pPr>
            <w:r>
              <w:rPr>
                <w:rFonts w:ascii="Arial" w:hAnsi="Arial"/>
                <w:sz w:val="22"/>
                <w:lang w:val="fr-CA"/>
              </w:rPr>
              <w:t>Changement de numéro des procédures : s</w:t>
            </w:r>
            <w:r w:rsidR="009D4308" w:rsidRPr="00AB78C8">
              <w:rPr>
                <w:rFonts w:ascii="Arial" w:hAnsi="Arial"/>
                <w:sz w:val="22"/>
                <w:lang w:val="fr-CA"/>
              </w:rPr>
              <w:t>ection</w:t>
            </w:r>
            <w:r w:rsidR="00B96C6A">
              <w:rPr>
                <w:rFonts w:ascii="Arial" w:hAnsi="Arial"/>
                <w:sz w:val="22"/>
                <w:lang w:val="fr-CA"/>
              </w:rPr>
              <w:t> </w:t>
            </w:r>
            <w:r w:rsidR="009D4308" w:rsidRPr="00AB78C8">
              <w:rPr>
                <w:rFonts w:ascii="Arial" w:hAnsi="Arial"/>
                <w:sz w:val="22"/>
                <w:lang w:val="fr-CA"/>
              </w:rPr>
              <w:t>6.2.1</w:t>
            </w:r>
            <w:r>
              <w:rPr>
                <w:rFonts w:ascii="Arial" w:hAnsi="Arial"/>
                <w:sz w:val="22"/>
                <w:lang w:val="fr-CA"/>
              </w:rPr>
              <w:t>, AR</w:t>
            </w:r>
            <w:r w:rsidR="009D4308" w:rsidRPr="00AB78C8">
              <w:rPr>
                <w:rFonts w:ascii="Arial" w:hAnsi="Arial"/>
                <w:sz w:val="22"/>
                <w:lang w:val="fr-CA"/>
              </w:rPr>
              <w:t xml:space="preserve">.003 </w:t>
            </w:r>
            <w:r>
              <w:rPr>
                <w:rFonts w:ascii="Arial" w:hAnsi="Arial"/>
                <w:sz w:val="22"/>
                <w:lang w:val="fr-CA"/>
              </w:rPr>
              <w:t>à</w:t>
            </w:r>
            <w:r w:rsidR="009D4308" w:rsidRPr="00AB78C8">
              <w:rPr>
                <w:rFonts w:ascii="Arial" w:hAnsi="Arial"/>
                <w:sz w:val="22"/>
                <w:lang w:val="fr-CA"/>
              </w:rPr>
              <w:t xml:space="preserve"> </w:t>
            </w:r>
            <w:r>
              <w:rPr>
                <w:rFonts w:ascii="Arial" w:hAnsi="Arial"/>
                <w:sz w:val="22"/>
                <w:lang w:val="fr-CA"/>
              </w:rPr>
              <w:t>A</w:t>
            </w:r>
            <w:r w:rsidR="009D4308" w:rsidRPr="00AB78C8">
              <w:rPr>
                <w:rFonts w:ascii="Arial" w:hAnsi="Arial"/>
                <w:sz w:val="22"/>
                <w:lang w:val="fr-CA"/>
              </w:rPr>
              <w:t xml:space="preserve">R.006; </w:t>
            </w:r>
            <w:r>
              <w:rPr>
                <w:rFonts w:ascii="Arial" w:hAnsi="Arial"/>
                <w:sz w:val="22"/>
                <w:lang w:val="fr-CA"/>
              </w:rPr>
              <w:t>s</w:t>
            </w:r>
            <w:r w:rsidR="009D4308" w:rsidRPr="00AB78C8">
              <w:rPr>
                <w:rFonts w:ascii="Arial" w:hAnsi="Arial"/>
                <w:sz w:val="22"/>
                <w:lang w:val="fr-CA"/>
              </w:rPr>
              <w:t>ection</w:t>
            </w:r>
            <w:r w:rsidR="00B96C6A">
              <w:rPr>
                <w:rFonts w:ascii="Arial" w:hAnsi="Arial"/>
                <w:sz w:val="22"/>
                <w:lang w:val="fr-CA"/>
              </w:rPr>
              <w:t> </w:t>
            </w:r>
            <w:r w:rsidR="009D4308" w:rsidRPr="00AB78C8">
              <w:rPr>
                <w:rFonts w:ascii="Arial" w:hAnsi="Arial"/>
                <w:sz w:val="22"/>
                <w:lang w:val="fr-CA"/>
              </w:rPr>
              <w:t>6.2.2</w:t>
            </w:r>
            <w:r>
              <w:rPr>
                <w:rFonts w:ascii="Arial" w:hAnsi="Arial"/>
                <w:sz w:val="22"/>
                <w:lang w:val="fr-CA"/>
              </w:rPr>
              <w:t>, AR</w:t>
            </w:r>
            <w:r w:rsidR="009D4308" w:rsidRPr="00AB78C8">
              <w:rPr>
                <w:rFonts w:ascii="Arial" w:hAnsi="Arial"/>
                <w:sz w:val="22"/>
                <w:lang w:val="fr-CA"/>
              </w:rPr>
              <w:t xml:space="preserve">.004 </w:t>
            </w:r>
            <w:r>
              <w:rPr>
                <w:rFonts w:ascii="Arial" w:hAnsi="Arial"/>
                <w:sz w:val="22"/>
                <w:lang w:val="fr-CA"/>
              </w:rPr>
              <w:t>à A</w:t>
            </w:r>
            <w:r w:rsidR="009D4308" w:rsidRPr="00AB78C8">
              <w:rPr>
                <w:rFonts w:ascii="Arial" w:hAnsi="Arial"/>
                <w:sz w:val="22"/>
                <w:lang w:val="fr-CA"/>
              </w:rPr>
              <w:t xml:space="preserve">R.007; </w:t>
            </w:r>
            <w:r>
              <w:rPr>
                <w:rFonts w:ascii="Arial" w:hAnsi="Arial"/>
                <w:sz w:val="22"/>
                <w:lang w:val="fr-CA"/>
              </w:rPr>
              <w:t>s</w:t>
            </w:r>
            <w:r w:rsidR="009D4308" w:rsidRPr="00AB78C8">
              <w:rPr>
                <w:rFonts w:ascii="Arial" w:hAnsi="Arial"/>
                <w:sz w:val="22"/>
                <w:lang w:val="fr-CA"/>
              </w:rPr>
              <w:t>ection</w:t>
            </w:r>
            <w:r w:rsidR="00B96C6A">
              <w:rPr>
                <w:rFonts w:ascii="Arial" w:hAnsi="Arial"/>
                <w:sz w:val="22"/>
                <w:lang w:val="fr-CA"/>
              </w:rPr>
              <w:t> </w:t>
            </w:r>
            <w:r w:rsidR="009D4308" w:rsidRPr="00AB78C8">
              <w:rPr>
                <w:rFonts w:ascii="Arial" w:hAnsi="Arial"/>
                <w:sz w:val="22"/>
                <w:lang w:val="fr-CA"/>
              </w:rPr>
              <w:t>6.2.2.1</w:t>
            </w:r>
            <w:r>
              <w:rPr>
                <w:rFonts w:ascii="Arial" w:hAnsi="Arial"/>
                <w:sz w:val="22"/>
                <w:lang w:val="fr-CA"/>
              </w:rPr>
              <w:t xml:space="preserve">, </w:t>
            </w:r>
            <w:r w:rsidR="009D4308" w:rsidRPr="00AB78C8">
              <w:rPr>
                <w:rFonts w:ascii="Arial" w:hAnsi="Arial"/>
                <w:sz w:val="22"/>
                <w:lang w:val="fr-CA"/>
              </w:rPr>
              <w:t xml:space="preserve">PA.005 </w:t>
            </w:r>
            <w:r>
              <w:rPr>
                <w:rFonts w:ascii="Arial" w:hAnsi="Arial"/>
                <w:sz w:val="22"/>
                <w:lang w:val="fr-CA"/>
              </w:rPr>
              <w:t>à A</w:t>
            </w:r>
            <w:r w:rsidR="009D4308" w:rsidRPr="00AB78C8">
              <w:rPr>
                <w:rFonts w:ascii="Arial" w:hAnsi="Arial"/>
                <w:sz w:val="22"/>
                <w:lang w:val="fr-CA"/>
              </w:rPr>
              <w:t>R.002</w:t>
            </w:r>
            <w:r>
              <w:rPr>
                <w:rFonts w:ascii="Arial" w:hAnsi="Arial"/>
                <w:sz w:val="22"/>
                <w:lang w:val="fr-CA"/>
              </w:rPr>
              <w:t>. À la section</w:t>
            </w:r>
            <w:r w:rsidR="00B96C6A">
              <w:rPr>
                <w:rFonts w:ascii="Arial" w:hAnsi="Arial"/>
                <w:sz w:val="22"/>
                <w:lang w:val="fr-CA"/>
              </w:rPr>
              <w:t> </w:t>
            </w:r>
            <w:r w:rsidR="009D4308" w:rsidRPr="00AB78C8">
              <w:rPr>
                <w:rFonts w:ascii="Arial" w:hAnsi="Arial"/>
                <w:sz w:val="22"/>
                <w:lang w:val="fr-CA"/>
              </w:rPr>
              <w:t>6.2.3</w:t>
            </w:r>
            <w:r>
              <w:rPr>
                <w:rFonts w:ascii="Arial" w:hAnsi="Arial"/>
                <w:sz w:val="22"/>
                <w:lang w:val="fr-CA"/>
              </w:rPr>
              <w:t>, changement de numéro de remarque, 8.2 à 8.6</w:t>
            </w:r>
          </w:p>
          <w:p w:rsidR="009D4308" w:rsidRPr="00AB78C8" w:rsidRDefault="00364106" w:rsidP="009D4308">
            <w:pPr>
              <w:pStyle w:val="ListParagraph"/>
              <w:numPr>
                <w:ilvl w:val="0"/>
                <w:numId w:val="21"/>
              </w:numPr>
              <w:tabs>
                <w:tab w:val="left" w:pos="720"/>
              </w:tabs>
              <w:spacing w:line="228" w:lineRule="auto"/>
              <w:contextualSpacing/>
              <w:rPr>
                <w:rFonts w:ascii="Arial" w:hAnsi="Arial"/>
                <w:sz w:val="22"/>
                <w:lang w:val="fr-CA"/>
              </w:rPr>
            </w:pPr>
            <w:r>
              <w:rPr>
                <w:rFonts w:ascii="Arial" w:hAnsi="Arial"/>
                <w:sz w:val="22"/>
                <w:lang w:val="fr-CA"/>
              </w:rPr>
              <w:t>Modification du libellé de la section</w:t>
            </w:r>
            <w:r w:rsidR="00B96C6A">
              <w:rPr>
                <w:rFonts w:ascii="Arial" w:hAnsi="Arial"/>
                <w:sz w:val="22"/>
                <w:lang w:val="fr-CA"/>
              </w:rPr>
              <w:t> </w:t>
            </w:r>
            <w:r w:rsidR="009D4308" w:rsidRPr="00AB78C8">
              <w:rPr>
                <w:rFonts w:ascii="Arial" w:hAnsi="Arial"/>
                <w:sz w:val="22"/>
                <w:lang w:val="fr-CA"/>
              </w:rPr>
              <w:t xml:space="preserve">7.1 </w:t>
            </w:r>
            <w:r>
              <w:rPr>
                <w:rFonts w:ascii="Arial" w:hAnsi="Arial"/>
                <w:sz w:val="22"/>
                <w:lang w:val="fr-CA"/>
              </w:rPr>
              <w:t xml:space="preserve">pour préciser «toutes les réactions observées pendant les </w:t>
            </w:r>
            <w:r w:rsidRPr="00071566">
              <w:rPr>
                <w:rFonts w:ascii="Arial" w:hAnsi="Arial"/>
                <w:sz w:val="22"/>
                <w:lang w:val="fr-CA"/>
              </w:rPr>
              <w:t>tests</w:t>
            </w:r>
            <w:r w:rsidR="009D4308" w:rsidRPr="00071566">
              <w:rPr>
                <w:rFonts w:ascii="Arial" w:hAnsi="Arial"/>
                <w:sz w:val="22"/>
                <w:vertAlign w:val="superscript"/>
                <w:lang w:val="fr-CA"/>
              </w:rPr>
              <w:t>9.</w:t>
            </w:r>
            <w:r w:rsidRPr="00071566">
              <w:rPr>
                <w:rFonts w:ascii="Arial" w:hAnsi="Arial"/>
                <w:sz w:val="22"/>
                <w:vertAlign w:val="superscript"/>
                <w:lang w:val="fr-CA"/>
              </w:rPr>
              <w:t>1</w:t>
            </w:r>
            <w:r w:rsidRPr="00071566">
              <w:rPr>
                <w:rFonts w:ascii="Arial" w:hAnsi="Arial"/>
                <w:sz w:val="22"/>
                <w:lang w:val="fr-CA"/>
              </w:rPr>
              <w:t> »</w:t>
            </w:r>
            <w:r>
              <w:rPr>
                <w:rFonts w:ascii="Arial" w:hAnsi="Arial"/>
                <w:sz w:val="22"/>
                <w:lang w:val="fr-CA"/>
              </w:rPr>
              <w:tab/>
            </w:r>
          </w:p>
          <w:p w:rsidR="00364106" w:rsidRPr="00364106" w:rsidRDefault="00364106" w:rsidP="00364106">
            <w:pPr>
              <w:pStyle w:val="ListParagraph"/>
              <w:keepLines/>
              <w:widowControl w:val="0"/>
              <w:numPr>
                <w:ilvl w:val="0"/>
                <w:numId w:val="23"/>
              </w:numPr>
              <w:ind w:left="317" w:hanging="317"/>
              <w:contextualSpacing/>
              <w:rPr>
                <w:rFonts w:ascii="Arial" w:hAnsi="Arial"/>
                <w:sz w:val="22"/>
                <w:szCs w:val="22"/>
                <w:lang w:val="fr-CA"/>
              </w:rPr>
            </w:pPr>
            <w:r>
              <w:rPr>
                <w:rFonts w:ascii="Arial" w:hAnsi="Arial"/>
                <w:sz w:val="22"/>
                <w:lang w:val="fr-CA"/>
              </w:rPr>
              <w:tab/>
            </w:r>
            <w:r w:rsidR="009D4308" w:rsidRPr="00AB78C8">
              <w:rPr>
                <w:rFonts w:ascii="Arial" w:hAnsi="Arial"/>
                <w:sz w:val="22"/>
                <w:lang w:val="fr-CA"/>
              </w:rPr>
              <w:t>A</w:t>
            </w:r>
            <w:r>
              <w:rPr>
                <w:rFonts w:ascii="Arial" w:hAnsi="Arial"/>
                <w:sz w:val="22"/>
                <w:lang w:val="fr-CA"/>
              </w:rPr>
              <w:t>jout de références à la ressource</w:t>
            </w:r>
            <w:r w:rsidR="00B96C6A">
              <w:rPr>
                <w:rFonts w:ascii="Arial" w:hAnsi="Arial"/>
                <w:sz w:val="22"/>
                <w:lang w:val="fr-CA"/>
              </w:rPr>
              <w:t> </w:t>
            </w:r>
            <w:r w:rsidRPr="00071566">
              <w:rPr>
                <w:rFonts w:ascii="Arial" w:hAnsi="Arial"/>
                <w:sz w:val="22"/>
                <w:lang w:val="fr-CA"/>
              </w:rPr>
              <w:t>9.2</w:t>
            </w:r>
            <w:r>
              <w:rPr>
                <w:rFonts w:ascii="Arial" w:hAnsi="Arial"/>
                <w:sz w:val="22"/>
                <w:lang w:val="fr-CA"/>
              </w:rPr>
              <w:t xml:space="preserve"> dans la section</w:t>
            </w:r>
            <w:r w:rsidR="00B96C6A">
              <w:rPr>
                <w:rFonts w:ascii="Arial" w:hAnsi="Arial"/>
                <w:sz w:val="22"/>
                <w:lang w:val="fr-CA"/>
              </w:rPr>
              <w:t> </w:t>
            </w:r>
            <w:r>
              <w:rPr>
                <w:rFonts w:ascii="Arial" w:hAnsi="Arial"/>
                <w:sz w:val="22"/>
                <w:lang w:val="fr-CA"/>
              </w:rPr>
              <w:t>8.6</w:t>
            </w:r>
          </w:p>
          <w:p w:rsidR="009D4308" w:rsidRPr="00AB78C8" w:rsidRDefault="00364106" w:rsidP="00364106">
            <w:pPr>
              <w:pStyle w:val="ListParagraph"/>
              <w:keepLines/>
              <w:widowControl w:val="0"/>
              <w:numPr>
                <w:ilvl w:val="0"/>
                <w:numId w:val="23"/>
              </w:numPr>
              <w:ind w:left="317" w:hanging="317"/>
              <w:contextualSpacing/>
              <w:rPr>
                <w:rFonts w:ascii="Arial" w:hAnsi="Arial"/>
                <w:sz w:val="22"/>
                <w:szCs w:val="22"/>
                <w:lang w:val="fr-CA"/>
              </w:rPr>
            </w:pPr>
            <w:r>
              <w:rPr>
                <w:rFonts w:ascii="Arial" w:hAnsi="Arial"/>
                <w:sz w:val="22"/>
                <w:szCs w:val="22"/>
                <w:lang w:val="fr-CA"/>
              </w:rPr>
              <w:tab/>
            </w:r>
            <w:r w:rsidR="009D4308" w:rsidRPr="00AB78C8">
              <w:rPr>
                <w:rFonts w:ascii="Arial" w:hAnsi="Arial"/>
                <w:sz w:val="22"/>
                <w:szCs w:val="22"/>
                <w:lang w:val="fr-CA"/>
              </w:rPr>
              <w:t>Mise à jour des références</w:t>
            </w:r>
          </w:p>
        </w:tc>
      </w:tr>
    </w:tbl>
    <w:p w:rsidR="00990EB9" w:rsidRPr="00A26B19" w:rsidRDefault="00990EB9" w:rsidP="009D4308">
      <w:pPr>
        <w:pStyle w:val="Header"/>
        <w:tabs>
          <w:tab w:val="clear" w:pos="4320"/>
          <w:tab w:val="clear" w:pos="8640"/>
        </w:tabs>
        <w:rPr>
          <w:lang w:val="fr-CA"/>
        </w:rPr>
      </w:pPr>
    </w:p>
    <w:sectPr w:rsidR="00990EB9" w:rsidRPr="00A26B19" w:rsidSect="00BC3F6A">
      <w:headerReference w:type="default" r:id="rId8"/>
      <w:footerReference w:type="default" r:id="rId9"/>
      <w:headerReference w:type="first" r:id="rId10"/>
      <w:footerReference w:type="first" r:id="rId11"/>
      <w:pgSz w:w="12240" w:h="15840" w:code="1"/>
      <w:pgMar w:top="1166" w:right="1800" w:bottom="450"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D55" w:rsidRDefault="00AC7D55">
      <w:r>
        <w:separator/>
      </w:r>
    </w:p>
  </w:endnote>
  <w:endnote w:type="continuationSeparator" w:id="0">
    <w:p w:rsidR="00AC7D55" w:rsidRDefault="00AC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14742">
      <w:trPr>
        <w:trHeight w:val="720"/>
      </w:trPr>
      <w:tc>
        <w:tcPr>
          <w:tcW w:w="1368" w:type="dxa"/>
          <w:tcBorders>
            <w:top w:val="single" w:sz="4" w:space="0" w:color="auto"/>
          </w:tcBorders>
        </w:tcPr>
        <w:p w:rsidR="00C14742" w:rsidRDefault="00C14742">
          <w:pPr>
            <w:pStyle w:val="Footer"/>
            <w:jc w:val="center"/>
            <w:rPr>
              <w:sz w:val="8"/>
            </w:rPr>
          </w:pPr>
        </w:p>
        <w:p w:rsidR="00C14742" w:rsidRDefault="00E27289">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Borders>
            <w:top w:val="single" w:sz="4" w:space="0" w:color="auto"/>
          </w:tcBorders>
        </w:tcPr>
        <w:p w:rsidR="00C14742" w:rsidRPr="00BF6C68" w:rsidRDefault="00C14742">
          <w:pPr>
            <w:pStyle w:val="Footer"/>
            <w:jc w:val="center"/>
            <w:rPr>
              <w:rFonts w:ascii="Arial" w:hAnsi="Arial"/>
              <w:sz w:val="18"/>
              <w:lang w:val="fr-CA"/>
            </w:rPr>
          </w:pPr>
        </w:p>
        <w:p w:rsidR="00990EB9" w:rsidRDefault="00990EB9" w:rsidP="00990EB9">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C14742" w:rsidRPr="00BF6C68" w:rsidRDefault="00990EB9" w:rsidP="00990EB9">
          <w:pPr>
            <w:pStyle w:val="Footer"/>
            <w:jc w:val="center"/>
            <w:rPr>
              <w:rFonts w:ascii="Arial" w:hAnsi="Arial"/>
              <w:sz w:val="18"/>
              <w:lang w:val="fr-CA"/>
            </w:rPr>
          </w:pPr>
          <w:r>
            <w:rPr>
              <w:rFonts w:ascii="Arial" w:hAnsi="Arial"/>
              <w:sz w:val="18"/>
              <w:lang w:val="fr-CA"/>
            </w:rPr>
            <w:t>Manuel de ressources techniques en transfusion de l’Ontario</w:t>
          </w:r>
          <w:r w:rsidRPr="00071566">
            <w:rPr>
              <w:rFonts w:ascii="Arial" w:hAnsi="Arial"/>
              <w:sz w:val="18"/>
              <w:lang w:val="fr-CA"/>
            </w:rPr>
            <w:t xml:space="preserve"> </w:t>
          </w:r>
        </w:p>
      </w:tc>
      <w:tc>
        <w:tcPr>
          <w:tcW w:w="1494" w:type="dxa"/>
          <w:tcBorders>
            <w:top w:val="single" w:sz="4" w:space="0" w:color="auto"/>
          </w:tcBorders>
        </w:tcPr>
        <w:p w:rsidR="00C14742" w:rsidRPr="00BF6C68" w:rsidRDefault="00C14742">
          <w:pPr>
            <w:pStyle w:val="Footer"/>
            <w:jc w:val="right"/>
            <w:rPr>
              <w:rFonts w:ascii="Arial" w:hAnsi="Arial"/>
              <w:sz w:val="18"/>
              <w:lang w:val="fr-CA"/>
            </w:rPr>
          </w:pPr>
        </w:p>
        <w:p w:rsidR="00C14742" w:rsidRPr="00BF6C68" w:rsidRDefault="00C14742" w:rsidP="00990EB9">
          <w:pPr>
            <w:pStyle w:val="Footer"/>
            <w:jc w:val="right"/>
            <w:rPr>
              <w:rFonts w:ascii="Arial" w:hAnsi="Arial"/>
              <w:sz w:val="18"/>
              <w:lang w:val="fr-CA"/>
            </w:rPr>
          </w:pPr>
          <w:r w:rsidRPr="00BF6C68">
            <w:rPr>
              <w:rFonts w:ascii="Arial" w:hAnsi="Arial"/>
              <w:sz w:val="18"/>
              <w:lang w:val="fr-CA"/>
            </w:rPr>
            <w:t>EC.004</w:t>
          </w:r>
          <w:r w:rsidRPr="00BF6C68">
            <w:rPr>
              <w:rFonts w:ascii="Arial" w:hAnsi="Arial"/>
              <w:sz w:val="18"/>
              <w:lang w:val="fr-CA"/>
            </w:rPr>
            <w:br/>
          </w:r>
          <w:r w:rsidRPr="00BF6C68">
            <w:rPr>
              <w:rFonts w:ascii="Arial" w:hAnsi="Arial"/>
              <w:snapToGrid w:val="0"/>
              <w:sz w:val="18"/>
              <w:lang w:val="fr-CA"/>
            </w:rPr>
            <w:t>Page</w:t>
          </w:r>
          <w:r w:rsidR="00B96C6A">
            <w:rPr>
              <w:rFonts w:ascii="Arial" w:hAnsi="Arial"/>
              <w:snapToGrid w:val="0"/>
              <w:sz w:val="18"/>
              <w:lang w:val="fr-CA"/>
            </w:rPr>
            <w:t> </w:t>
          </w:r>
          <w:r w:rsidRPr="00BF6C68">
            <w:rPr>
              <w:rFonts w:ascii="Arial" w:hAnsi="Arial"/>
              <w:snapToGrid w:val="0"/>
              <w:sz w:val="18"/>
              <w:lang w:val="fr-CA"/>
            </w:rPr>
            <w:fldChar w:fldCharType="begin"/>
          </w:r>
          <w:r w:rsidRPr="00BF6C68">
            <w:rPr>
              <w:rFonts w:ascii="Arial" w:hAnsi="Arial"/>
              <w:snapToGrid w:val="0"/>
              <w:sz w:val="18"/>
              <w:lang w:val="fr-CA"/>
            </w:rPr>
            <w:instrText xml:space="preserve"> PAGE </w:instrText>
          </w:r>
          <w:r w:rsidRPr="00BF6C68">
            <w:rPr>
              <w:rFonts w:ascii="Arial" w:hAnsi="Arial"/>
              <w:snapToGrid w:val="0"/>
              <w:sz w:val="18"/>
              <w:lang w:val="fr-CA"/>
            </w:rPr>
            <w:fldChar w:fldCharType="separate"/>
          </w:r>
          <w:r w:rsidR="00E33752">
            <w:rPr>
              <w:rFonts w:ascii="Arial" w:hAnsi="Arial"/>
              <w:noProof/>
              <w:snapToGrid w:val="0"/>
              <w:sz w:val="18"/>
              <w:lang w:val="fr-CA"/>
            </w:rPr>
            <w:t>8</w:t>
          </w:r>
          <w:r w:rsidRPr="00BF6C68">
            <w:rPr>
              <w:rFonts w:ascii="Arial" w:hAnsi="Arial"/>
              <w:snapToGrid w:val="0"/>
              <w:sz w:val="18"/>
              <w:lang w:val="fr-CA"/>
            </w:rPr>
            <w:fldChar w:fldCharType="end"/>
          </w:r>
          <w:r w:rsidRPr="00BF6C68">
            <w:rPr>
              <w:rFonts w:ascii="Arial" w:hAnsi="Arial"/>
              <w:snapToGrid w:val="0"/>
              <w:sz w:val="18"/>
              <w:lang w:val="fr-CA"/>
            </w:rPr>
            <w:t xml:space="preserve"> de </w:t>
          </w:r>
          <w:r w:rsidRPr="00BF6C68">
            <w:rPr>
              <w:rFonts w:ascii="Arial" w:hAnsi="Arial"/>
              <w:snapToGrid w:val="0"/>
              <w:sz w:val="18"/>
              <w:lang w:val="fr-CA"/>
            </w:rPr>
            <w:fldChar w:fldCharType="begin"/>
          </w:r>
          <w:r w:rsidRPr="00BF6C68">
            <w:rPr>
              <w:rFonts w:ascii="Arial" w:hAnsi="Arial"/>
              <w:snapToGrid w:val="0"/>
              <w:sz w:val="18"/>
              <w:lang w:val="fr-CA"/>
            </w:rPr>
            <w:instrText xml:space="preserve"> NUMPAGES </w:instrText>
          </w:r>
          <w:r w:rsidRPr="00BF6C68">
            <w:rPr>
              <w:rFonts w:ascii="Arial" w:hAnsi="Arial"/>
              <w:snapToGrid w:val="0"/>
              <w:sz w:val="18"/>
              <w:lang w:val="fr-CA"/>
            </w:rPr>
            <w:fldChar w:fldCharType="separate"/>
          </w:r>
          <w:r w:rsidR="00E33752">
            <w:rPr>
              <w:rFonts w:ascii="Arial" w:hAnsi="Arial"/>
              <w:noProof/>
              <w:snapToGrid w:val="0"/>
              <w:sz w:val="18"/>
              <w:lang w:val="fr-CA"/>
            </w:rPr>
            <w:t>8</w:t>
          </w:r>
          <w:r w:rsidRPr="00BF6C68">
            <w:rPr>
              <w:rFonts w:ascii="Arial" w:hAnsi="Arial"/>
              <w:snapToGrid w:val="0"/>
              <w:sz w:val="18"/>
              <w:lang w:val="fr-CA"/>
            </w:rPr>
            <w:fldChar w:fldCharType="end"/>
          </w:r>
        </w:p>
      </w:tc>
    </w:tr>
  </w:tbl>
  <w:p w:rsidR="00C14742" w:rsidRDefault="00C14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14742">
      <w:trPr>
        <w:trHeight w:val="720"/>
      </w:trPr>
      <w:tc>
        <w:tcPr>
          <w:tcW w:w="1368" w:type="dxa"/>
        </w:tcPr>
        <w:p w:rsidR="00C14742" w:rsidRDefault="00C14742">
          <w:pPr>
            <w:pStyle w:val="Footer"/>
            <w:jc w:val="center"/>
            <w:rPr>
              <w:rFonts w:ascii="Verdana" w:hAnsi="Verdana"/>
              <w:sz w:val="8"/>
            </w:rPr>
          </w:pPr>
        </w:p>
        <w:p w:rsidR="00C14742" w:rsidRDefault="00E27289">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C14742" w:rsidRDefault="00C14742">
          <w:pPr>
            <w:pStyle w:val="Footer"/>
            <w:jc w:val="center"/>
            <w:rPr>
              <w:rFonts w:ascii="Arial" w:hAnsi="Arial"/>
              <w:sz w:val="18"/>
            </w:rPr>
          </w:pPr>
        </w:p>
        <w:p w:rsidR="00990EB9" w:rsidRDefault="00990EB9" w:rsidP="00990EB9">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C14742" w:rsidRPr="00071566" w:rsidRDefault="00990EB9" w:rsidP="00990EB9">
          <w:pPr>
            <w:pStyle w:val="Footer"/>
            <w:jc w:val="center"/>
            <w:rPr>
              <w:rFonts w:ascii="Arial" w:hAnsi="Arial"/>
              <w:sz w:val="18"/>
              <w:lang w:val="fr-CA"/>
            </w:rPr>
          </w:pPr>
          <w:r>
            <w:rPr>
              <w:rFonts w:ascii="Arial" w:hAnsi="Arial"/>
              <w:sz w:val="18"/>
              <w:lang w:val="fr-CA"/>
            </w:rPr>
            <w:t>Manuel de ressources techniques en transfusion de l’Ontario</w:t>
          </w:r>
          <w:r w:rsidRPr="00071566">
            <w:rPr>
              <w:rFonts w:ascii="Arial" w:hAnsi="Arial"/>
              <w:sz w:val="18"/>
              <w:lang w:val="fr-CA"/>
            </w:rPr>
            <w:t xml:space="preserve"> </w:t>
          </w:r>
        </w:p>
      </w:tc>
      <w:tc>
        <w:tcPr>
          <w:tcW w:w="1494" w:type="dxa"/>
        </w:tcPr>
        <w:p w:rsidR="00C14742" w:rsidRPr="00071566" w:rsidRDefault="00C14742">
          <w:pPr>
            <w:pStyle w:val="Footer"/>
            <w:jc w:val="right"/>
            <w:rPr>
              <w:rFonts w:ascii="Arial" w:hAnsi="Arial"/>
              <w:sz w:val="18"/>
              <w:lang w:val="fr-CA"/>
            </w:rPr>
          </w:pPr>
        </w:p>
        <w:p w:rsidR="00C14742" w:rsidRDefault="00C14742" w:rsidP="00990EB9">
          <w:pPr>
            <w:pStyle w:val="Footer"/>
            <w:jc w:val="right"/>
            <w:rPr>
              <w:rFonts w:ascii="Arial" w:hAnsi="Arial"/>
              <w:sz w:val="18"/>
            </w:rPr>
          </w:pPr>
          <w:r>
            <w:rPr>
              <w:rFonts w:ascii="Arial" w:hAnsi="Arial"/>
              <w:sz w:val="18"/>
            </w:rPr>
            <w:t>EC.004</w:t>
          </w:r>
          <w:r>
            <w:rPr>
              <w:rFonts w:ascii="Arial" w:hAnsi="Arial"/>
              <w:sz w:val="18"/>
            </w:rPr>
            <w:br/>
          </w:r>
          <w:r>
            <w:rPr>
              <w:rFonts w:ascii="Arial" w:hAnsi="Arial"/>
              <w:snapToGrid w:val="0"/>
              <w:sz w:val="18"/>
            </w:rPr>
            <w:t>Page</w:t>
          </w:r>
          <w:r w:rsidR="00B96C6A">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E33752">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E33752">
            <w:rPr>
              <w:rFonts w:ascii="Arial" w:hAnsi="Arial"/>
              <w:noProof/>
              <w:snapToGrid w:val="0"/>
              <w:sz w:val="18"/>
            </w:rPr>
            <w:t>1</w:t>
          </w:r>
          <w:r>
            <w:rPr>
              <w:rFonts w:ascii="Arial" w:hAnsi="Arial"/>
              <w:snapToGrid w:val="0"/>
              <w:sz w:val="18"/>
            </w:rPr>
            <w:fldChar w:fldCharType="end"/>
          </w:r>
        </w:p>
      </w:tc>
    </w:tr>
  </w:tbl>
  <w:p w:rsidR="00C14742" w:rsidRDefault="00C1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D55" w:rsidRDefault="00AC7D55">
      <w:r>
        <w:separator/>
      </w:r>
    </w:p>
  </w:footnote>
  <w:footnote w:type="continuationSeparator" w:id="0">
    <w:p w:rsidR="00AC7D55" w:rsidRDefault="00AC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742" w:rsidRPr="00471CA0" w:rsidRDefault="00C14742" w:rsidP="0068429A">
    <w:pPr>
      <w:pStyle w:val="Header"/>
      <w:tabs>
        <w:tab w:val="left" w:pos="6617"/>
      </w:tabs>
      <w:jc w:val="center"/>
      <w:rPr>
        <w:rFonts w:ascii="Arial" w:hAnsi="Arial"/>
        <w:b/>
        <w:sz w:val="28"/>
        <w:lang w:val="fr-CA"/>
      </w:rPr>
    </w:pPr>
    <w:r w:rsidRPr="00471CA0">
      <w:rPr>
        <w:rFonts w:ascii="Arial" w:hAnsi="Arial"/>
        <w:b/>
        <w:sz w:val="28"/>
        <w:lang w:val="fr-CA"/>
      </w:rPr>
      <w:t>Résolution de problèmes liés à la détermination du facteur Rh</w:t>
    </w:r>
  </w:p>
  <w:p w:rsidR="00C14742" w:rsidRPr="0068429A" w:rsidRDefault="00C14742" w:rsidP="00684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EB9" w:rsidRDefault="00E27289" w:rsidP="00990EB9">
    <w:pPr>
      <w:pStyle w:val="Header"/>
      <w:rPr>
        <w:rFonts w:ascii="Arial" w:hAnsi="Arial" w:cs="Arial"/>
        <w:b/>
        <w:bCs/>
        <w:sz w:val="28"/>
        <w:szCs w:val="28"/>
        <w:lang w:val="fr-CA"/>
      </w:rPr>
    </w:pPr>
    <w:r>
      <w:rPr>
        <w:rFonts w:ascii="Arial" w:hAnsi="Arial" w:cs="Arial"/>
        <w:b/>
        <w:bCs/>
        <w:noProof/>
        <w:sz w:val="28"/>
        <w:szCs w:val="28"/>
        <w:lang w:val="fr-CA"/>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071566" w:rsidRDefault="00071566" w:rsidP="00990EB9">
    <w:pPr>
      <w:pStyle w:val="Header"/>
      <w:rPr>
        <w:rFonts w:ascii="Arial" w:hAnsi="Arial" w:cs="Arial"/>
        <w:b/>
        <w:bCs/>
        <w:sz w:val="28"/>
        <w:szCs w:val="28"/>
        <w:lang w:val="fr-CA"/>
      </w:rPr>
    </w:pPr>
  </w:p>
  <w:p w:rsidR="00990EB9" w:rsidRPr="008977E1" w:rsidRDefault="00990EB9" w:rsidP="00990EB9">
    <w:pPr>
      <w:pStyle w:val="Header"/>
      <w:jc w:val="center"/>
      <w:rPr>
        <w:rFonts w:ascii="Arial" w:hAnsi="Arial" w:cs="Arial"/>
        <w:b/>
        <w:bCs/>
        <w:sz w:val="24"/>
        <w:szCs w:val="28"/>
        <w:lang w:val="fr-CA"/>
      </w:rPr>
    </w:pPr>
    <w:r w:rsidRPr="008977E1">
      <w:rPr>
        <w:rFonts w:ascii="Arial" w:hAnsi="Arial" w:cs="Arial"/>
        <w:b/>
        <w:bCs/>
        <w:sz w:val="24"/>
        <w:szCs w:val="28"/>
        <w:lang w:val="fr-CA"/>
      </w:rPr>
      <w:t>Réseau régional ontarien de coordination du sang</w:t>
    </w:r>
  </w:p>
  <w:p w:rsidR="00990EB9" w:rsidRPr="008977E1" w:rsidRDefault="00990EB9" w:rsidP="00990EB9">
    <w:pPr>
      <w:pStyle w:val="Header"/>
      <w:jc w:val="center"/>
      <w:rPr>
        <w:rFonts w:ascii="Arial" w:hAnsi="Arial" w:cs="Arial"/>
        <w:b/>
        <w:bCs/>
        <w:sz w:val="24"/>
        <w:szCs w:val="28"/>
        <w:lang w:val="fr-CA"/>
      </w:rPr>
    </w:pPr>
    <w:r w:rsidRPr="008977E1">
      <w:rPr>
        <w:rFonts w:ascii="Arial" w:hAnsi="Arial" w:cs="Arial"/>
        <w:b/>
        <w:bCs/>
        <w:sz w:val="24"/>
        <w:szCs w:val="28"/>
        <w:lang w:val="fr-CA"/>
      </w:rPr>
      <w:t>Manuel de ressources techniques en transfusion de l’Ontario</w:t>
    </w:r>
  </w:p>
  <w:p w:rsidR="00C14742" w:rsidRPr="0068429A" w:rsidRDefault="00990EB9" w:rsidP="00990EB9">
    <w:pPr>
      <w:pStyle w:val="Header"/>
      <w:tabs>
        <w:tab w:val="left" w:pos="3510"/>
        <w:tab w:val="left" w:pos="6617"/>
      </w:tabs>
      <w:rPr>
        <w:rFonts w:ascii="Arial" w:hAnsi="Arial"/>
        <w:b/>
        <w:sz w:val="28"/>
        <w:lang w:val="fr-CA"/>
      </w:rPr>
    </w:pPr>
    <w:r>
      <w:rPr>
        <w:rFonts w:ascii="Arial" w:hAnsi="Arial"/>
        <w:b/>
        <w:sz w:val="28"/>
        <w:lang w:val="fr-CA"/>
      </w:rPr>
      <w:tab/>
    </w:r>
  </w:p>
  <w:p w:rsidR="00C14742" w:rsidRPr="0068429A" w:rsidRDefault="00C14742">
    <w:pPr>
      <w:pStyle w:val="Header"/>
      <w:tabs>
        <w:tab w:val="left" w:pos="6617"/>
      </w:tabs>
      <w:jc w:val="center"/>
      <w:rPr>
        <w:rFonts w:ascii="Arial" w:hAnsi="Arial"/>
        <w:b/>
        <w:sz w:val="28"/>
        <w:lang w:val="fr-CA"/>
      </w:rPr>
    </w:pPr>
    <w:r w:rsidRPr="0068429A">
      <w:rPr>
        <w:rFonts w:ascii="Arial" w:hAnsi="Arial"/>
        <w:b/>
        <w:sz w:val="28"/>
        <w:lang w:val="fr-CA"/>
      </w:rPr>
      <w:t>Résolution de problèmes liés à la détermination du facteur Rh</w:t>
    </w:r>
  </w:p>
  <w:p w:rsidR="00C14742" w:rsidRPr="0068429A" w:rsidRDefault="00C14742">
    <w:pPr>
      <w:pStyle w:val="Header"/>
      <w:tabs>
        <w:tab w:val="left" w:pos="6617"/>
      </w:tabs>
      <w:jc w:val="center"/>
      <w:rPr>
        <w:rFonts w:ascii="Arial" w:hAnsi="Arial"/>
        <w:b/>
        <w:sz w:val="28"/>
        <w:lang w:val="fr-CA"/>
      </w:rPr>
    </w:pPr>
  </w:p>
  <w:p w:rsidR="00C14742" w:rsidRPr="0068429A" w:rsidRDefault="00C14742">
    <w:pPr>
      <w:pStyle w:val="Header"/>
      <w:tabs>
        <w:tab w:val="left" w:pos="6617"/>
      </w:tabs>
      <w:jc w:val="center"/>
      <w:rPr>
        <w:rFonts w:ascii="Arial" w:hAnsi="Arial" w:cs="Arial"/>
        <w:b/>
        <w:bCs/>
        <w:lang w:val="fr-CA"/>
      </w:rPr>
    </w:pPr>
    <w:r w:rsidRPr="0068429A">
      <w:rPr>
        <w:rFonts w:ascii="Arial" w:hAnsi="Arial" w:cs="Arial"/>
        <w:b/>
        <w:bCs/>
        <w:lang w:val="fr-CA"/>
      </w:rPr>
      <w:tab/>
    </w:r>
    <w:r w:rsidR="00E27289" w:rsidRPr="0068429A">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5E0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14"/>
      <w:gridCol w:w="4326"/>
    </w:tblGrid>
    <w:tr w:rsidR="00C14742" w:rsidRPr="0068429A">
      <w:tc>
        <w:tcPr>
          <w:tcW w:w="4428" w:type="dxa"/>
        </w:tcPr>
        <w:p w:rsidR="00C14742" w:rsidRPr="0068429A" w:rsidRDefault="00554BAA" w:rsidP="001F548A">
          <w:pPr>
            <w:pStyle w:val="Header"/>
            <w:rPr>
              <w:rFonts w:ascii="Arial" w:hAnsi="Arial" w:cs="Arial"/>
              <w:lang w:val="fr-CA"/>
            </w:rPr>
          </w:pPr>
          <w:r>
            <w:rPr>
              <w:rFonts w:ascii="Arial" w:hAnsi="Arial" w:cs="Arial"/>
              <w:lang w:val="fr-CA"/>
            </w:rPr>
            <w:t>Approbation </w:t>
          </w:r>
          <w:r w:rsidR="004D5F21" w:rsidRPr="00FC42A4">
            <w:rPr>
              <w:rFonts w:ascii="Arial" w:hAnsi="Arial" w:cs="Arial"/>
              <w:lang w:val="fr-CA"/>
            </w:rPr>
            <w:t xml:space="preserve">: </w:t>
          </w:r>
        </w:p>
      </w:tc>
      <w:tc>
        <w:tcPr>
          <w:tcW w:w="4428" w:type="dxa"/>
        </w:tcPr>
        <w:p w:rsidR="00C14742" w:rsidRPr="0068429A" w:rsidRDefault="00C14742">
          <w:pPr>
            <w:pStyle w:val="Header"/>
            <w:rPr>
              <w:rFonts w:ascii="Arial" w:hAnsi="Arial" w:cs="Arial"/>
              <w:lang w:val="fr-CA"/>
            </w:rPr>
          </w:pPr>
          <w:r w:rsidRPr="0068429A">
            <w:rPr>
              <w:rFonts w:ascii="Arial" w:hAnsi="Arial" w:cs="Arial"/>
              <w:lang w:val="fr-CA"/>
            </w:rPr>
            <w:t>Document n</w:t>
          </w:r>
          <w:r w:rsidRPr="0068429A">
            <w:rPr>
              <w:rFonts w:ascii="Arial" w:hAnsi="Arial" w:cs="Arial"/>
              <w:vertAlign w:val="superscript"/>
              <w:lang w:val="fr-CA"/>
            </w:rPr>
            <w:t>o</w:t>
          </w:r>
          <w:r w:rsidRPr="0068429A">
            <w:rPr>
              <w:rFonts w:ascii="Arial" w:hAnsi="Arial" w:cs="Arial"/>
              <w:lang w:val="fr-CA"/>
            </w:rPr>
            <w:t xml:space="preserve"> : EC.004</w:t>
          </w:r>
        </w:p>
      </w:tc>
    </w:tr>
    <w:tr w:rsidR="00C14742" w:rsidRPr="0068429A">
      <w:tc>
        <w:tcPr>
          <w:tcW w:w="4428" w:type="dxa"/>
        </w:tcPr>
        <w:p w:rsidR="00C14742" w:rsidRPr="0068429A" w:rsidRDefault="00C14742">
          <w:pPr>
            <w:pStyle w:val="Header"/>
            <w:rPr>
              <w:rFonts w:ascii="Arial" w:hAnsi="Arial" w:cs="Arial"/>
              <w:lang w:val="fr-CA"/>
            </w:rPr>
          </w:pPr>
          <w:r w:rsidRPr="0068429A">
            <w:rPr>
              <w:rFonts w:ascii="Arial" w:hAnsi="Arial" w:cs="Arial"/>
              <w:lang w:val="fr-CA"/>
            </w:rPr>
            <w:t xml:space="preserve">Date de </w:t>
          </w:r>
          <w:r w:rsidR="00554BAA">
            <w:rPr>
              <w:rFonts w:ascii="Arial" w:hAnsi="Arial" w:cs="Arial"/>
              <w:lang w:val="fr-CA"/>
            </w:rPr>
            <w:t>publication </w:t>
          </w:r>
          <w:r w:rsidRPr="0068429A">
            <w:rPr>
              <w:rFonts w:ascii="Arial" w:hAnsi="Arial" w:cs="Arial"/>
              <w:lang w:val="fr-CA"/>
            </w:rPr>
            <w:t>: 2006/08/01</w:t>
          </w:r>
        </w:p>
      </w:tc>
      <w:tc>
        <w:tcPr>
          <w:tcW w:w="4428" w:type="dxa"/>
        </w:tcPr>
        <w:p w:rsidR="00C14742" w:rsidRPr="0068429A" w:rsidRDefault="00554BAA">
          <w:pPr>
            <w:pStyle w:val="Header"/>
            <w:rPr>
              <w:rFonts w:ascii="Arial" w:hAnsi="Arial" w:cs="Arial"/>
              <w:lang w:val="fr-CA"/>
            </w:rPr>
          </w:pPr>
          <w:r>
            <w:rPr>
              <w:rFonts w:ascii="Arial" w:hAnsi="Arial" w:cs="Arial"/>
              <w:lang w:val="fr-CA"/>
            </w:rPr>
            <w:t>Catégorie </w:t>
          </w:r>
          <w:r w:rsidR="00C14742" w:rsidRPr="0068429A">
            <w:rPr>
              <w:rFonts w:ascii="Arial" w:hAnsi="Arial" w:cs="Arial"/>
              <w:lang w:val="fr-CA"/>
            </w:rPr>
            <w:t>: Épreuves complémentaires</w:t>
          </w:r>
        </w:p>
      </w:tc>
    </w:tr>
    <w:tr w:rsidR="00C14742" w:rsidRPr="0068429A">
      <w:tc>
        <w:tcPr>
          <w:tcW w:w="4428" w:type="dxa"/>
        </w:tcPr>
        <w:p w:rsidR="00C14742" w:rsidRPr="0068429A" w:rsidRDefault="004D5F21">
          <w:pPr>
            <w:pStyle w:val="Header"/>
            <w:rPr>
              <w:rFonts w:ascii="Arial" w:hAnsi="Arial" w:cs="Arial"/>
              <w:lang w:val="fr-CA"/>
            </w:rPr>
          </w:pPr>
          <w:r w:rsidRPr="0082137B">
            <w:rPr>
              <w:rFonts w:ascii="Arial" w:hAnsi="Arial" w:cs="Arial"/>
              <w:color w:val="000000"/>
              <w:lang w:val="fr-CA"/>
            </w:rPr>
            <w:t xml:space="preserve">Date de </w:t>
          </w:r>
          <w:r w:rsidR="00554BAA">
            <w:rPr>
              <w:rFonts w:ascii="Arial" w:hAnsi="Arial" w:cs="Arial"/>
              <w:color w:val="000000"/>
              <w:lang w:val="fr-CA"/>
            </w:rPr>
            <w:t>révision </w:t>
          </w:r>
          <w:r w:rsidRPr="0082137B">
            <w:rPr>
              <w:rFonts w:ascii="Arial" w:hAnsi="Arial" w:cs="Arial"/>
              <w:color w:val="000000"/>
              <w:lang w:val="fr-CA"/>
            </w:rPr>
            <w:t>:</w:t>
          </w:r>
          <w:r>
            <w:rPr>
              <w:rFonts w:ascii="Arial" w:hAnsi="Arial" w:cs="Arial"/>
              <w:color w:val="000000"/>
              <w:lang w:val="fr-CA"/>
            </w:rPr>
            <w:t xml:space="preserve"> </w:t>
          </w:r>
          <w:r>
            <w:rPr>
              <w:rFonts w:ascii="Arial" w:hAnsi="Arial" w:cs="Arial"/>
              <w:lang w:val="fr-CA"/>
            </w:rPr>
            <w:t>2009/12/31</w:t>
          </w:r>
          <w:r w:rsidR="001F548A">
            <w:rPr>
              <w:rFonts w:ascii="Arial" w:hAnsi="Arial" w:cs="Arial"/>
              <w:lang w:val="fr-CA"/>
            </w:rPr>
            <w:t xml:space="preserve"> 20</w:t>
          </w:r>
        </w:p>
      </w:tc>
      <w:tc>
        <w:tcPr>
          <w:tcW w:w="4428" w:type="dxa"/>
        </w:tcPr>
        <w:p w:rsidR="00C14742" w:rsidRPr="0068429A" w:rsidRDefault="00554BAA">
          <w:pPr>
            <w:pStyle w:val="Header"/>
            <w:rPr>
              <w:rFonts w:ascii="Arial" w:hAnsi="Arial" w:cs="Arial"/>
              <w:lang w:val="fr-CA"/>
            </w:rPr>
          </w:pPr>
          <w:r>
            <w:rPr>
              <w:rFonts w:ascii="Arial" w:hAnsi="Arial" w:cs="Arial"/>
              <w:lang w:val="fr-CA"/>
            </w:rPr>
            <w:t>Pages </w:t>
          </w:r>
          <w:r w:rsidR="00C14742" w:rsidRPr="0068429A">
            <w:rPr>
              <w:rFonts w:ascii="Arial" w:hAnsi="Arial" w:cs="Arial"/>
              <w:lang w:val="fr-CA"/>
            </w:rPr>
            <w:t xml:space="preserve">: </w:t>
          </w:r>
          <w:r w:rsidR="00C14742" w:rsidRPr="0068429A">
            <w:rPr>
              <w:rFonts w:ascii="Arial" w:hAnsi="Arial" w:cs="Arial"/>
              <w:lang w:val="fr-CA"/>
            </w:rPr>
            <w:fldChar w:fldCharType="begin"/>
          </w:r>
          <w:r w:rsidR="00C14742" w:rsidRPr="0068429A">
            <w:rPr>
              <w:rFonts w:ascii="Arial" w:hAnsi="Arial" w:cs="Arial"/>
              <w:lang w:val="fr-CA"/>
            </w:rPr>
            <w:instrText xml:space="preserve"> NUMPAGES </w:instrText>
          </w:r>
          <w:r w:rsidR="00C14742" w:rsidRPr="0068429A">
            <w:rPr>
              <w:rFonts w:ascii="Arial" w:hAnsi="Arial" w:cs="Arial"/>
              <w:lang w:val="fr-CA"/>
            </w:rPr>
            <w:fldChar w:fldCharType="separate"/>
          </w:r>
          <w:r w:rsidR="00E33752">
            <w:rPr>
              <w:rFonts w:ascii="Arial" w:hAnsi="Arial" w:cs="Arial"/>
              <w:noProof/>
              <w:lang w:val="fr-CA"/>
            </w:rPr>
            <w:t>1</w:t>
          </w:r>
          <w:r w:rsidR="00C14742" w:rsidRPr="0068429A">
            <w:rPr>
              <w:rFonts w:ascii="Arial" w:hAnsi="Arial" w:cs="Arial"/>
              <w:lang w:val="fr-CA"/>
            </w:rPr>
            <w:fldChar w:fldCharType="end"/>
          </w:r>
        </w:p>
      </w:tc>
    </w:tr>
  </w:tbl>
  <w:p w:rsidR="00C14742" w:rsidRPr="0068429A" w:rsidRDefault="00E27289">
    <w:pPr>
      <w:pStyle w:val="Header"/>
      <w:rPr>
        <w:lang w:val="fr-CA"/>
      </w:rPr>
    </w:pPr>
    <w:r w:rsidRPr="0068429A">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64C7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C14742" w:rsidRPr="0068429A">
      <w:rPr>
        <w:rFonts w:ascii="Arial" w:hAnsi="Arial" w:cs="Arial"/>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82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F2831"/>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B0C91"/>
    <w:multiLevelType w:val="multilevel"/>
    <w:tmpl w:val="7B722CE4"/>
    <w:lvl w:ilvl="0">
      <w:start w:val="1"/>
      <w:numFmt w:val="decimal"/>
      <w:lvlText w:val="%1.0"/>
      <w:lvlJc w:val="left"/>
      <w:pPr>
        <w:tabs>
          <w:tab w:val="num" w:pos="720"/>
        </w:tabs>
        <w:ind w:left="720" w:hanging="720"/>
      </w:pPr>
      <w:rPr>
        <w:rFonts w:hint="default"/>
        <w:sz w:val="28"/>
      </w:rPr>
    </w:lvl>
    <w:lvl w:ilvl="1">
      <w:start w:val="1"/>
      <w:numFmt w:val="decimal"/>
      <w:lvlText w:val="9.%2"/>
      <w:lvlJc w:val="left"/>
      <w:pPr>
        <w:tabs>
          <w:tab w:val="num" w:pos="1620"/>
        </w:tabs>
        <w:ind w:left="162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4D5FE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933AAA"/>
    <w:multiLevelType w:val="hybridMultilevel"/>
    <w:tmpl w:val="9EB41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D16EC6"/>
    <w:multiLevelType w:val="multilevel"/>
    <w:tmpl w:val="01AED6B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71"/>
        </w:tabs>
        <w:ind w:left="1571" w:hanging="720"/>
      </w:pPr>
      <w:rPr>
        <w:rFonts w:hint="default"/>
        <w:b w:val="0"/>
        <w:sz w:val="24"/>
        <w:szCs w:val="24"/>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D7C7D67"/>
    <w:multiLevelType w:val="hybridMultilevel"/>
    <w:tmpl w:val="4BFEA5C0"/>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7" w15:restartNumberingAfterBreak="0">
    <w:nsid w:val="13986D16"/>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E2141A"/>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107E94"/>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E37E7B"/>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7D3C3B"/>
    <w:multiLevelType w:val="multilevel"/>
    <w:tmpl w:val="4B9894C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B94A12"/>
    <w:multiLevelType w:val="hybridMultilevel"/>
    <w:tmpl w:val="A656C1E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5BC29A4"/>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F6681A"/>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9A750E"/>
    <w:multiLevelType w:val="hybridMultilevel"/>
    <w:tmpl w:val="BBDED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3FC07677"/>
    <w:multiLevelType w:val="multilevel"/>
    <w:tmpl w:val="FA5E6DDE"/>
    <w:lvl w:ilvl="0">
      <w:start w:val="10"/>
      <w:numFmt w:val="decimal"/>
      <w:lvlText w:val="%1.0"/>
      <w:lvlJc w:val="left"/>
      <w:pPr>
        <w:tabs>
          <w:tab w:val="num" w:pos="720"/>
        </w:tabs>
        <w:ind w:left="720" w:hanging="720"/>
      </w:pPr>
      <w:rPr>
        <w:rFonts w:hint="default"/>
        <w:sz w:val="28"/>
      </w:rPr>
    </w:lvl>
    <w:lvl w:ilvl="1">
      <w:start w:val="1"/>
      <w:numFmt w:val="decimal"/>
      <w:lvlText w:val="9.%2"/>
      <w:lvlJc w:val="left"/>
      <w:pPr>
        <w:tabs>
          <w:tab w:val="num" w:pos="1620"/>
        </w:tabs>
        <w:ind w:left="162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0431EB8"/>
    <w:multiLevelType w:val="hybridMultilevel"/>
    <w:tmpl w:val="46524B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06A6807"/>
    <w:multiLevelType w:val="multilevel"/>
    <w:tmpl w:val="4B9894C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0C75A5E"/>
    <w:multiLevelType w:val="multilevel"/>
    <w:tmpl w:val="4B9894C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F21E5D"/>
    <w:multiLevelType w:val="hybridMultilevel"/>
    <w:tmpl w:val="24263E10"/>
    <w:lvl w:ilvl="0" w:tplc="3AC04112">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FD419F"/>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C23F9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F0552F"/>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B456C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0B734A"/>
    <w:multiLevelType w:val="hybridMultilevel"/>
    <w:tmpl w:val="00C00DB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F7B5C30"/>
    <w:multiLevelType w:val="singleLevel"/>
    <w:tmpl w:val="3AC04112"/>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
  </w:num>
  <w:num w:numId="3">
    <w:abstractNumId w:val="24"/>
  </w:num>
  <w:num w:numId="4">
    <w:abstractNumId w:val="0"/>
  </w:num>
  <w:num w:numId="5">
    <w:abstractNumId w:val="8"/>
  </w:num>
  <w:num w:numId="6">
    <w:abstractNumId w:val="23"/>
  </w:num>
  <w:num w:numId="7">
    <w:abstractNumId w:val="14"/>
  </w:num>
  <w:num w:numId="8">
    <w:abstractNumId w:val="25"/>
  </w:num>
  <w:num w:numId="9">
    <w:abstractNumId w:val="13"/>
  </w:num>
  <w:num w:numId="10">
    <w:abstractNumId w:val="10"/>
  </w:num>
  <w:num w:numId="11">
    <w:abstractNumId w:val="28"/>
  </w:num>
  <w:num w:numId="12">
    <w:abstractNumId w:val="26"/>
  </w:num>
  <w:num w:numId="13">
    <w:abstractNumId w:val="1"/>
  </w:num>
  <w:num w:numId="14">
    <w:abstractNumId w:val="7"/>
  </w:num>
  <w:num w:numId="15">
    <w:abstractNumId w:val="9"/>
  </w:num>
  <w:num w:numId="16">
    <w:abstractNumId w:val="18"/>
  </w:num>
  <w:num w:numId="17">
    <w:abstractNumId w:val="6"/>
  </w:num>
  <w:num w:numId="18">
    <w:abstractNumId w:val="5"/>
  </w:num>
  <w:num w:numId="19">
    <w:abstractNumId w:val="2"/>
  </w:num>
  <w:num w:numId="20">
    <w:abstractNumId w:val="17"/>
  </w:num>
  <w:num w:numId="21">
    <w:abstractNumId w:val="22"/>
  </w:num>
  <w:num w:numId="22">
    <w:abstractNumId w:val="12"/>
  </w:num>
  <w:num w:numId="23">
    <w:abstractNumId w:val="27"/>
  </w:num>
  <w:num w:numId="24">
    <w:abstractNumId w:val="16"/>
  </w:num>
  <w:num w:numId="25">
    <w:abstractNumId w:val="21"/>
  </w:num>
  <w:num w:numId="26">
    <w:abstractNumId w:val="20"/>
  </w:num>
  <w:num w:numId="27">
    <w:abstractNumId w:val="4"/>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9A"/>
    <w:rsid w:val="00006D1A"/>
    <w:rsid w:val="00013C0E"/>
    <w:rsid w:val="00071566"/>
    <w:rsid w:val="00096DE4"/>
    <w:rsid w:val="000C4CF6"/>
    <w:rsid w:val="000D579C"/>
    <w:rsid w:val="0011236E"/>
    <w:rsid w:val="001153BE"/>
    <w:rsid w:val="001838C2"/>
    <w:rsid w:val="001A2469"/>
    <w:rsid w:val="001B6213"/>
    <w:rsid w:val="001E4BA7"/>
    <w:rsid w:val="001F548A"/>
    <w:rsid w:val="00217024"/>
    <w:rsid w:val="002504F0"/>
    <w:rsid w:val="0025758E"/>
    <w:rsid w:val="00274FCE"/>
    <w:rsid w:val="0033287C"/>
    <w:rsid w:val="00364106"/>
    <w:rsid w:val="004006E1"/>
    <w:rsid w:val="0046632F"/>
    <w:rsid w:val="00471CA0"/>
    <w:rsid w:val="00476827"/>
    <w:rsid w:val="004C40C2"/>
    <w:rsid w:val="004D5F21"/>
    <w:rsid w:val="00500910"/>
    <w:rsid w:val="00534A17"/>
    <w:rsid w:val="00541CBE"/>
    <w:rsid w:val="00554BAA"/>
    <w:rsid w:val="005861A3"/>
    <w:rsid w:val="005E5E05"/>
    <w:rsid w:val="006228E0"/>
    <w:rsid w:val="00645F24"/>
    <w:rsid w:val="0068429A"/>
    <w:rsid w:val="006A0431"/>
    <w:rsid w:val="006D5FB6"/>
    <w:rsid w:val="006E1679"/>
    <w:rsid w:val="006F2C9F"/>
    <w:rsid w:val="007314F2"/>
    <w:rsid w:val="007E41DD"/>
    <w:rsid w:val="00803E72"/>
    <w:rsid w:val="008977E1"/>
    <w:rsid w:val="008C3CC6"/>
    <w:rsid w:val="008E50F2"/>
    <w:rsid w:val="00935E1C"/>
    <w:rsid w:val="009366A0"/>
    <w:rsid w:val="0094390A"/>
    <w:rsid w:val="00983665"/>
    <w:rsid w:val="00990EB9"/>
    <w:rsid w:val="00997A91"/>
    <w:rsid w:val="009B7076"/>
    <w:rsid w:val="009D4308"/>
    <w:rsid w:val="00A92867"/>
    <w:rsid w:val="00AB2151"/>
    <w:rsid w:val="00AB78C8"/>
    <w:rsid w:val="00AC7D55"/>
    <w:rsid w:val="00AD1A3A"/>
    <w:rsid w:val="00B009FB"/>
    <w:rsid w:val="00B22110"/>
    <w:rsid w:val="00B96C6A"/>
    <w:rsid w:val="00BA0DF6"/>
    <w:rsid w:val="00BA159B"/>
    <w:rsid w:val="00BC3F6A"/>
    <w:rsid w:val="00BF5019"/>
    <w:rsid w:val="00BF6C68"/>
    <w:rsid w:val="00C14742"/>
    <w:rsid w:val="00C405E3"/>
    <w:rsid w:val="00C5601C"/>
    <w:rsid w:val="00C61DEE"/>
    <w:rsid w:val="00CA2C50"/>
    <w:rsid w:val="00CF19F6"/>
    <w:rsid w:val="00D32FD3"/>
    <w:rsid w:val="00D466FE"/>
    <w:rsid w:val="00D861D7"/>
    <w:rsid w:val="00DA3917"/>
    <w:rsid w:val="00DD2DD7"/>
    <w:rsid w:val="00DD7072"/>
    <w:rsid w:val="00E0506D"/>
    <w:rsid w:val="00E27289"/>
    <w:rsid w:val="00E33752"/>
    <w:rsid w:val="00E5046C"/>
    <w:rsid w:val="00E62E2B"/>
    <w:rsid w:val="00E72B3D"/>
    <w:rsid w:val="00E9658B"/>
    <w:rsid w:val="00F15A8A"/>
    <w:rsid w:val="00F8284D"/>
    <w:rsid w:val="00F978A7"/>
    <w:rsid w:val="00FB6ED0"/>
    <w:rsid w:val="00FF6B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478F62-0F69-4C1B-AAE4-BAB1F980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character" w:styleId="CommentReference">
    <w:name w:val="annotation reference"/>
    <w:semiHidden/>
    <w:rsid w:val="0011236E"/>
    <w:rPr>
      <w:sz w:val="16"/>
      <w:szCs w:val="16"/>
    </w:rPr>
  </w:style>
  <w:style w:type="paragraph" w:styleId="CommentText">
    <w:name w:val="annotation text"/>
    <w:basedOn w:val="Normal"/>
    <w:semiHidden/>
    <w:rsid w:val="0011236E"/>
  </w:style>
  <w:style w:type="paragraph" w:styleId="CommentSubject">
    <w:name w:val="annotation subject"/>
    <w:basedOn w:val="CommentText"/>
    <w:next w:val="CommentText"/>
    <w:semiHidden/>
    <w:rsid w:val="0011236E"/>
    <w:rPr>
      <w:b/>
      <w:bCs/>
    </w:rPr>
  </w:style>
  <w:style w:type="paragraph" w:styleId="BalloonText">
    <w:name w:val="Balloon Text"/>
    <w:basedOn w:val="Normal"/>
    <w:semiHidden/>
    <w:rsid w:val="0011236E"/>
    <w:rPr>
      <w:rFonts w:ascii="Tahoma" w:hAnsi="Tahoma" w:cs="Tahoma"/>
      <w:sz w:val="16"/>
      <w:szCs w:val="16"/>
    </w:rPr>
  </w:style>
  <w:style w:type="paragraph" w:styleId="ListParagraph">
    <w:name w:val="List Paragraph"/>
    <w:basedOn w:val="Normal"/>
    <w:uiPriority w:val="34"/>
    <w:qFormat/>
    <w:rsid w:val="00997A91"/>
    <w:pPr>
      <w:ind w:left="708"/>
    </w:pPr>
  </w:style>
  <w:style w:type="table" w:styleId="TableGrid">
    <w:name w:val="Table Grid"/>
    <w:basedOn w:val="TableNormal"/>
    <w:rsid w:val="00534A1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8324E-BCC6-4AB7-918E-B878081C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11336</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NRT.004 Rh Typing Problem Solving</vt:lpstr>
      <vt:lpstr>NRT.004 Rh Typing Problem Solving</vt:lpstr>
    </vt:vector>
  </TitlesOfParts>
  <Company>The Ottawa Hospital</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NRT.004 Rh Typing Problem Solving</dc:title>
  <dc:subject/>
  <dc:creator>Transfusion Ontario Program Office</dc:creator>
  <cp:keywords/>
  <cp:lastModifiedBy>Nesrallah, Heather</cp:lastModifiedBy>
  <cp:revision>2</cp:revision>
  <cp:lastPrinted>2011-02-03T15:38:00Z</cp:lastPrinted>
  <dcterms:created xsi:type="dcterms:W3CDTF">2020-08-11T12:38:00Z</dcterms:created>
  <dcterms:modified xsi:type="dcterms:W3CDTF">2020-08-11T12:38:00Z</dcterms:modified>
</cp:coreProperties>
</file>