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BB" w:rsidRPr="00E86208" w:rsidRDefault="0082137B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bookmarkStart w:id="0" w:name="_GoBack"/>
      <w:bookmarkEnd w:id="0"/>
      <w:r w:rsidRPr="00E86208">
        <w:rPr>
          <w:rFonts w:ascii="Arial" w:hAnsi="Arial"/>
          <w:b/>
          <w:color w:val="000000"/>
          <w:sz w:val="28"/>
          <w:lang w:val="fr-CA"/>
        </w:rPr>
        <w:t>Principe</w:t>
      </w:r>
    </w:p>
    <w:p w:rsidR="003C3FBB" w:rsidRPr="00E86208" w:rsidRDefault="003C3FBB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E86208">
      <w:pPr>
        <w:ind w:left="720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>Pour distingue</w:t>
      </w:r>
      <w:r w:rsidR="00E856C6">
        <w:rPr>
          <w:rFonts w:ascii="Arial" w:hAnsi="Arial"/>
          <w:color w:val="000000"/>
          <w:sz w:val="24"/>
          <w:lang w:val="fr-CA"/>
        </w:rPr>
        <w:t>r</w:t>
      </w:r>
      <w:r w:rsidRPr="00E86208">
        <w:rPr>
          <w:rFonts w:ascii="Arial" w:hAnsi="Arial"/>
          <w:color w:val="000000"/>
          <w:sz w:val="24"/>
          <w:lang w:val="fr-CA"/>
        </w:rPr>
        <w:t xml:space="preserve"> la formation de rouleaux d’une </w:t>
      </w:r>
      <w:r w:rsidR="00E856C6">
        <w:rPr>
          <w:rFonts w:ascii="Arial" w:hAnsi="Arial"/>
          <w:color w:val="000000"/>
          <w:sz w:val="24"/>
          <w:lang w:val="fr-CA"/>
        </w:rPr>
        <w:t>véritable</w:t>
      </w:r>
      <w:r w:rsidRPr="00E86208">
        <w:rPr>
          <w:rFonts w:ascii="Arial" w:hAnsi="Arial"/>
          <w:color w:val="000000"/>
          <w:sz w:val="24"/>
          <w:lang w:val="fr-CA"/>
        </w:rPr>
        <w:t xml:space="preserve"> agglutination</w:t>
      </w:r>
      <w:r w:rsidR="003C3FBB" w:rsidRPr="00E86208">
        <w:rPr>
          <w:rFonts w:ascii="Arial" w:hAnsi="Arial"/>
          <w:color w:val="000000"/>
          <w:sz w:val="24"/>
          <w:lang w:val="fr-CA"/>
        </w:rPr>
        <w:t>.</w:t>
      </w:r>
    </w:p>
    <w:p w:rsidR="003C3FBB" w:rsidRPr="00E86208" w:rsidRDefault="003C3FBB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E86208">
      <w:pPr>
        <w:ind w:left="720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>La formation de rouleaux est un phénomène qui a l’aspect d’une agglutination</w:t>
      </w:r>
      <w:r w:rsidR="003C3FBB" w:rsidRPr="00E86208">
        <w:rPr>
          <w:rFonts w:ascii="Arial" w:hAnsi="Arial"/>
          <w:color w:val="000000"/>
          <w:sz w:val="24"/>
          <w:lang w:val="fr-CA"/>
        </w:rPr>
        <w:t>.</w:t>
      </w:r>
      <w:r w:rsidRPr="00E86208">
        <w:rPr>
          <w:rFonts w:ascii="Arial" w:hAnsi="Arial"/>
          <w:color w:val="000000"/>
          <w:sz w:val="24"/>
          <w:lang w:val="fr-CA"/>
        </w:rPr>
        <w:t xml:space="preserve"> Les globules rouges qui prennent la forme de rou</w:t>
      </w:r>
      <w:r w:rsidR="003C3FBB" w:rsidRPr="00E86208">
        <w:rPr>
          <w:rFonts w:ascii="Arial" w:hAnsi="Arial"/>
          <w:color w:val="000000"/>
          <w:sz w:val="24"/>
          <w:lang w:val="fr-CA"/>
        </w:rPr>
        <w:t xml:space="preserve">leaux </w:t>
      </w:r>
      <w:r w:rsidRPr="00E86208">
        <w:rPr>
          <w:rFonts w:ascii="Arial" w:hAnsi="Arial"/>
          <w:color w:val="000000"/>
          <w:sz w:val="24"/>
          <w:lang w:val="fr-CA"/>
        </w:rPr>
        <w:t xml:space="preserve">ont au microscope l’apparence d’agrégats de rouleaux de monnaie. Le phénomène est lié à des anomalies du plasma du patient et non des globules rouges. Lorsqu’on remplace le plasma par une solution saline, les </w:t>
      </w:r>
      <w:r w:rsidR="003C3FBB" w:rsidRPr="00E86208">
        <w:rPr>
          <w:rFonts w:ascii="Arial" w:hAnsi="Arial"/>
          <w:color w:val="000000"/>
          <w:sz w:val="24"/>
          <w:lang w:val="fr-CA"/>
        </w:rPr>
        <w:t xml:space="preserve">rouleaux </w:t>
      </w:r>
      <w:r w:rsidRPr="00E86208">
        <w:rPr>
          <w:rFonts w:ascii="Arial" w:hAnsi="Arial"/>
          <w:color w:val="000000"/>
          <w:sz w:val="24"/>
          <w:lang w:val="fr-CA"/>
        </w:rPr>
        <w:t>se dispers</w:t>
      </w:r>
      <w:r w:rsidR="00E856C6">
        <w:rPr>
          <w:rFonts w:ascii="Arial" w:hAnsi="Arial"/>
          <w:color w:val="000000"/>
          <w:sz w:val="24"/>
          <w:lang w:val="fr-CA"/>
        </w:rPr>
        <w:t>e</w:t>
      </w:r>
      <w:r w:rsidRPr="00E86208">
        <w:rPr>
          <w:rFonts w:ascii="Arial" w:hAnsi="Arial"/>
          <w:color w:val="000000"/>
          <w:sz w:val="24"/>
          <w:lang w:val="fr-CA"/>
        </w:rPr>
        <w:t>nt</w:t>
      </w:r>
      <w:r w:rsidR="00E856C6">
        <w:rPr>
          <w:rFonts w:ascii="Arial" w:hAnsi="Arial"/>
          <w:color w:val="000000"/>
          <w:sz w:val="24"/>
          <w:lang w:val="fr-CA"/>
        </w:rPr>
        <w:t>,</w:t>
      </w:r>
      <w:r w:rsidRPr="00E86208">
        <w:rPr>
          <w:rFonts w:ascii="Arial" w:hAnsi="Arial"/>
          <w:color w:val="000000"/>
          <w:sz w:val="24"/>
          <w:lang w:val="fr-CA"/>
        </w:rPr>
        <w:t xml:space="preserve"> mais </w:t>
      </w:r>
      <w:r w:rsidR="00E856C6">
        <w:rPr>
          <w:rFonts w:ascii="Arial" w:hAnsi="Arial"/>
          <w:color w:val="000000"/>
          <w:sz w:val="24"/>
          <w:lang w:val="fr-CA"/>
        </w:rPr>
        <w:t xml:space="preserve">une véritable </w:t>
      </w:r>
      <w:r w:rsidRPr="00E86208">
        <w:rPr>
          <w:rFonts w:ascii="Arial" w:hAnsi="Arial"/>
          <w:color w:val="000000"/>
          <w:sz w:val="24"/>
          <w:lang w:val="fr-CA"/>
        </w:rPr>
        <w:t>agglutination</w:t>
      </w:r>
      <w:r w:rsidR="009D618F">
        <w:rPr>
          <w:rFonts w:ascii="Arial" w:hAnsi="Arial"/>
          <w:color w:val="000000"/>
          <w:sz w:val="24"/>
          <w:lang w:val="fr-CA"/>
        </w:rPr>
        <w:t> persiste</w:t>
      </w:r>
      <w:r w:rsidR="00F265E3" w:rsidRPr="00F265E3"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="003C3FBB" w:rsidRPr="00E86208">
        <w:rPr>
          <w:rFonts w:ascii="Arial" w:hAnsi="Arial"/>
          <w:color w:val="000000"/>
          <w:sz w:val="24"/>
          <w:lang w:val="fr-CA"/>
        </w:rPr>
        <w:t>.</w:t>
      </w:r>
    </w:p>
    <w:p w:rsidR="003C3FBB" w:rsidRPr="00E86208" w:rsidRDefault="003C3FBB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E86208">
      <w:pPr>
        <w:ind w:left="720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 xml:space="preserve">Les rouleaux sont présents dans des maladies associées à une </w:t>
      </w:r>
      <w:r w:rsidR="0019285A">
        <w:rPr>
          <w:rFonts w:ascii="Arial" w:hAnsi="Arial"/>
          <w:color w:val="000000"/>
          <w:sz w:val="24"/>
          <w:lang w:val="fr-CA"/>
        </w:rPr>
        <w:t>p</w:t>
      </w:r>
      <w:r w:rsidRPr="00E86208">
        <w:rPr>
          <w:rFonts w:ascii="Arial" w:hAnsi="Arial"/>
          <w:color w:val="000000"/>
          <w:sz w:val="24"/>
          <w:lang w:val="fr-CA"/>
        </w:rPr>
        <w:t xml:space="preserve">erturbation du rapport </w:t>
      </w:r>
      <w:r w:rsidR="003C3FBB" w:rsidRPr="00E86208">
        <w:rPr>
          <w:rFonts w:ascii="Arial" w:hAnsi="Arial"/>
          <w:color w:val="000000"/>
          <w:sz w:val="24"/>
          <w:lang w:val="fr-CA"/>
        </w:rPr>
        <w:t>albumin</w:t>
      </w:r>
      <w:r w:rsidRPr="00E86208">
        <w:rPr>
          <w:rFonts w:ascii="Arial" w:hAnsi="Arial"/>
          <w:color w:val="000000"/>
          <w:sz w:val="24"/>
          <w:lang w:val="fr-CA"/>
        </w:rPr>
        <w:t>e-</w:t>
      </w:r>
      <w:r w:rsidR="003C3FBB" w:rsidRPr="00E86208">
        <w:rPr>
          <w:rFonts w:ascii="Arial" w:hAnsi="Arial"/>
          <w:color w:val="000000"/>
          <w:sz w:val="24"/>
          <w:lang w:val="fr-CA"/>
        </w:rPr>
        <w:t>globulin</w:t>
      </w:r>
      <w:r w:rsidRPr="00E86208">
        <w:rPr>
          <w:rFonts w:ascii="Arial" w:hAnsi="Arial"/>
          <w:color w:val="000000"/>
          <w:sz w:val="24"/>
          <w:lang w:val="fr-CA"/>
        </w:rPr>
        <w:t xml:space="preserve">e, comme le myélome multiple, la </w:t>
      </w:r>
      <w:r w:rsidR="003C3FBB" w:rsidRPr="00E86208">
        <w:rPr>
          <w:rFonts w:ascii="Arial" w:hAnsi="Arial"/>
          <w:color w:val="000000"/>
          <w:sz w:val="24"/>
          <w:lang w:val="fr-CA"/>
        </w:rPr>
        <w:t>macroglobulin</w:t>
      </w:r>
      <w:r w:rsidRPr="00E86208">
        <w:rPr>
          <w:rFonts w:ascii="Arial" w:hAnsi="Arial"/>
          <w:color w:val="000000"/>
          <w:sz w:val="24"/>
          <w:lang w:val="fr-CA"/>
        </w:rPr>
        <w:t xml:space="preserve">émie, la </w:t>
      </w:r>
      <w:r w:rsidR="003C3FBB" w:rsidRPr="00E86208">
        <w:rPr>
          <w:rFonts w:ascii="Arial" w:hAnsi="Arial"/>
          <w:color w:val="000000"/>
          <w:sz w:val="24"/>
          <w:lang w:val="fr-CA"/>
        </w:rPr>
        <w:t>cryoglobulin</w:t>
      </w:r>
      <w:r w:rsidRPr="00E86208">
        <w:rPr>
          <w:rFonts w:ascii="Arial" w:hAnsi="Arial"/>
          <w:color w:val="000000"/>
          <w:sz w:val="24"/>
          <w:lang w:val="fr-CA"/>
        </w:rPr>
        <w:t xml:space="preserve">émie, la </w:t>
      </w:r>
      <w:r w:rsidR="003C3FBB" w:rsidRPr="00E86208">
        <w:rPr>
          <w:rFonts w:ascii="Arial" w:hAnsi="Arial"/>
          <w:color w:val="000000"/>
          <w:sz w:val="24"/>
          <w:lang w:val="fr-CA"/>
        </w:rPr>
        <w:t>sarco</w:t>
      </w:r>
      <w:r w:rsidRPr="00E86208">
        <w:rPr>
          <w:rFonts w:ascii="Arial" w:hAnsi="Arial"/>
          <w:color w:val="000000"/>
          <w:sz w:val="24"/>
          <w:lang w:val="fr-CA"/>
        </w:rPr>
        <w:t>ïdose, la cirrhose</w:t>
      </w:r>
      <w:r w:rsidR="00E856C6">
        <w:rPr>
          <w:rFonts w:ascii="Arial" w:hAnsi="Arial"/>
          <w:color w:val="000000"/>
          <w:sz w:val="24"/>
          <w:lang w:val="fr-CA"/>
        </w:rPr>
        <w:t>,</w:t>
      </w:r>
      <w:r w:rsidRPr="00E86208">
        <w:rPr>
          <w:rFonts w:ascii="Arial" w:hAnsi="Arial"/>
          <w:color w:val="000000"/>
          <w:sz w:val="24"/>
          <w:lang w:val="fr-CA"/>
        </w:rPr>
        <w:t xml:space="preserve"> de même que l’</w:t>
      </w:r>
      <w:r w:rsidR="003C3FBB" w:rsidRPr="00E86208">
        <w:rPr>
          <w:rFonts w:ascii="Arial" w:hAnsi="Arial"/>
          <w:color w:val="000000"/>
          <w:sz w:val="24"/>
          <w:lang w:val="fr-CA"/>
        </w:rPr>
        <w:t>hyperfibrinog</w:t>
      </w:r>
      <w:r w:rsidRPr="00E86208">
        <w:rPr>
          <w:rFonts w:ascii="Arial" w:hAnsi="Arial"/>
          <w:color w:val="000000"/>
          <w:sz w:val="24"/>
          <w:lang w:val="fr-CA"/>
        </w:rPr>
        <w:t xml:space="preserve">énémie </w:t>
      </w:r>
      <w:r w:rsidR="007627F3">
        <w:rPr>
          <w:rFonts w:ascii="Arial" w:hAnsi="Arial"/>
          <w:color w:val="000000"/>
          <w:sz w:val="24"/>
          <w:lang w:val="fr-CA"/>
        </w:rPr>
        <w:t>associée</w:t>
      </w:r>
      <w:r w:rsidRPr="00E86208">
        <w:rPr>
          <w:rFonts w:ascii="Arial" w:hAnsi="Arial"/>
          <w:color w:val="000000"/>
          <w:sz w:val="24"/>
          <w:lang w:val="fr-CA"/>
        </w:rPr>
        <w:t xml:space="preserve"> aux </w:t>
      </w:r>
      <w:r w:rsidR="003C3FBB" w:rsidRPr="00E86208">
        <w:rPr>
          <w:rFonts w:ascii="Arial" w:hAnsi="Arial"/>
          <w:color w:val="000000"/>
          <w:sz w:val="24"/>
          <w:lang w:val="fr-CA"/>
        </w:rPr>
        <w:t>infections</w:t>
      </w:r>
      <w:r w:rsidR="00F265E3" w:rsidRPr="00F265E3"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="003C3FBB" w:rsidRPr="00E86208">
        <w:rPr>
          <w:rFonts w:ascii="Arial" w:hAnsi="Arial"/>
          <w:color w:val="000000"/>
          <w:sz w:val="24"/>
          <w:lang w:val="fr-CA"/>
        </w:rPr>
        <w:t>.</w:t>
      </w:r>
    </w:p>
    <w:p w:rsidR="003C3FBB" w:rsidRDefault="003C3FBB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E4198" w:rsidRPr="00E86208" w:rsidRDefault="003E4198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82137B">
      <w:pPr>
        <w:numPr>
          <w:ilvl w:val="0"/>
          <w:numId w:val="1"/>
        </w:numPr>
        <w:spacing w:line="228" w:lineRule="auto"/>
        <w:rPr>
          <w:rFonts w:ascii="Arial" w:hAnsi="Arial"/>
          <w:b/>
          <w:color w:val="000000"/>
          <w:sz w:val="28"/>
          <w:lang w:val="fr-CA"/>
        </w:rPr>
      </w:pPr>
      <w:r w:rsidRPr="00E86208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3C3FBB" w:rsidRPr="00E86208" w:rsidRDefault="003C3FBB">
      <w:pPr>
        <w:spacing w:line="228" w:lineRule="auto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E86208">
      <w:pPr>
        <w:numPr>
          <w:ilvl w:val="1"/>
          <w:numId w:val="1"/>
        </w:numPr>
        <w:spacing w:line="228" w:lineRule="auto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>Le remplacement par une solution saline</w:t>
      </w:r>
      <w:r w:rsidR="007627F3">
        <w:rPr>
          <w:rFonts w:ascii="Arial" w:hAnsi="Arial"/>
          <w:color w:val="000000"/>
          <w:sz w:val="24"/>
          <w:lang w:val="fr-CA"/>
        </w:rPr>
        <w:t xml:space="preserve"> normale</w:t>
      </w:r>
      <w:r w:rsidRPr="00E86208">
        <w:rPr>
          <w:rFonts w:ascii="Arial" w:hAnsi="Arial"/>
          <w:color w:val="000000"/>
          <w:sz w:val="24"/>
          <w:lang w:val="fr-CA"/>
        </w:rPr>
        <w:t xml:space="preserve"> est habituellement effectué lorsque </w:t>
      </w:r>
      <w:r w:rsidRPr="007627F3">
        <w:rPr>
          <w:rFonts w:ascii="Arial" w:hAnsi="Arial"/>
          <w:color w:val="000000"/>
          <w:sz w:val="24"/>
          <w:lang w:val="fr-CA"/>
        </w:rPr>
        <w:t>tous</w:t>
      </w:r>
      <w:r w:rsidRPr="00E86208">
        <w:rPr>
          <w:rFonts w:ascii="Arial" w:hAnsi="Arial"/>
          <w:color w:val="000000"/>
          <w:sz w:val="24"/>
          <w:lang w:val="fr-CA"/>
        </w:rPr>
        <w:t xml:space="preserve"> les globules rouges testés à température ambiante ou à </w:t>
      </w:r>
      <w:r w:rsidR="003C3FBB" w:rsidRPr="00E86208">
        <w:rPr>
          <w:rFonts w:ascii="Arial" w:hAnsi="Arial"/>
          <w:color w:val="000000"/>
          <w:sz w:val="24"/>
          <w:lang w:val="fr-CA"/>
        </w:rPr>
        <w:t>37</w:t>
      </w:r>
      <w:r w:rsidR="00A00184">
        <w:rPr>
          <w:rFonts w:ascii="Arial" w:hAnsi="Arial" w:cs="Arial"/>
          <w:color w:val="000000"/>
          <w:sz w:val="24"/>
          <w:lang w:val="fr-CA"/>
        </w:rPr>
        <w:t>º</w:t>
      </w:r>
      <w:r w:rsidR="003C3FBB" w:rsidRPr="00E86208">
        <w:rPr>
          <w:rFonts w:ascii="Arial" w:hAnsi="Arial"/>
          <w:color w:val="000000"/>
          <w:sz w:val="24"/>
          <w:lang w:val="fr-CA"/>
        </w:rPr>
        <w:t xml:space="preserve">C </w:t>
      </w:r>
      <w:r w:rsidRPr="00E86208">
        <w:rPr>
          <w:rFonts w:ascii="Arial" w:hAnsi="Arial"/>
          <w:color w:val="000000"/>
          <w:sz w:val="24"/>
          <w:lang w:val="fr-CA"/>
        </w:rPr>
        <w:t>affichent une réaction positive avec le plasma</w:t>
      </w:r>
      <w:r w:rsidR="003C3FBB" w:rsidRPr="00E86208">
        <w:rPr>
          <w:rFonts w:ascii="Arial" w:hAnsi="Arial"/>
          <w:color w:val="000000"/>
          <w:sz w:val="24"/>
          <w:lang w:val="fr-CA"/>
        </w:rPr>
        <w:t>.</w:t>
      </w:r>
    </w:p>
    <w:p w:rsidR="003C3FBB" w:rsidRPr="00E86208" w:rsidRDefault="003C3FBB">
      <w:pPr>
        <w:spacing w:line="228" w:lineRule="auto"/>
        <w:ind w:left="720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E86208">
      <w:pPr>
        <w:numPr>
          <w:ilvl w:val="1"/>
          <w:numId w:val="1"/>
        </w:numPr>
        <w:spacing w:line="228" w:lineRule="auto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 xml:space="preserve">Le remplacement par une solution saline </w:t>
      </w:r>
      <w:r w:rsidR="007627F3">
        <w:rPr>
          <w:rFonts w:ascii="Arial" w:hAnsi="Arial"/>
          <w:color w:val="000000"/>
          <w:sz w:val="24"/>
          <w:lang w:val="fr-CA"/>
        </w:rPr>
        <w:t xml:space="preserve">normale </w:t>
      </w:r>
      <w:r w:rsidRPr="00E86208">
        <w:rPr>
          <w:rFonts w:ascii="Arial" w:hAnsi="Arial"/>
          <w:color w:val="000000"/>
          <w:sz w:val="24"/>
          <w:lang w:val="fr-CA"/>
        </w:rPr>
        <w:t xml:space="preserve">n’est pas effectué lorsque tous les globules rouges testés par </w:t>
      </w:r>
      <w:r w:rsidR="003C3FBB" w:rsidRPr="007627F3">
        <w:rPr>
          <w:rFonts w:ascii="Arial" w:hAnsi="Arial"/>
          <w:color w:val="000000"/>
          <w:sz w:val="24"/>
          <w:lang w:val="fr-CA"/>
        </w:rPr>
        <w:t>antiglobulin</w:t>
      </w:r>
      <w:r w:rsidRPr="007627F3">
        <w:rPr>
          <w:rFonts w:ascii="Arial" w:hAnsi="Arial"/>
          <w:color w:val="000000"/>
          <w:sz w:val="24"/>
          <w:lang w:val="fr-CA"/>
        </w:rPr>
        <w:t>e</w:t>
      </w:r>
      <w:r w:rsidRPr="00E86208">
        <w:rPr>
          <w:rFonts w:ascii="Arial" w:hAnsi="Arial"/>
          <w:color w:val="000000"/>
          <w:sz w:val="24"/>
          <w:lang w:val="fr-CA"/>
        </w:rPr>
        <w:t xml:space="preserve"> affichent des réactions positives</w:t>
      </w:r>
      <w:r w:rsidR="003C3FBB" w:rsidRPr="00E86208">
        <w:rPr>
          <w:rFonts w:ascii="Arial" w:hAnsi="Arial"/>
          <w:color w:val="000000"/>
          <w:sz w:val="24"/>
          <w:lang w:val="fr-CA"/>
        </w:rPr>
        <w:t>.</w:t>
      </w:r>
    </w:p>
    <w:p w:rsidR="003C3FBB" w:rsidRDefault="003C3FBB">
      <w:pPr>
        <w:spacing w:line="228" w:lineRule="auto"/>
        <w:ind w:left="720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E86208">
      <w:pPr>
        <w:numPr>
          <w:ilvl w:val="0"/>
          <w:numId w:val="1"/>
        </w:numPr>
        <w:spacing w:line="228" w:lineRule="auto"/>
        <w:rPr>
          <w:rFonts w:ascii="Arial" w:hAnsi="Arial"/>
          <w:b/>
          <w:color w:val="000000"/>
          <w:sz w:val="28"/>
          <w:lang w:val="fr-CA"/>
        </w:rPr>
      </w:pPr>
      <w:r w:rsidRPr="00E86208">
        <w:rPr>
          <w:rFonts w:ascii="Arial" w:hAnsi="Arial"/>
          <w:b/>
          <w:color w:val="000000"/>
          <w:sz w:val="28"/>
          <w:lang w:val="fr-CA"/>
        </w:rPr>
        <w:t>É</w:t>
      </w:r>
      <w:r w:rsidR="0082137B" w:rsidRPr="00E86208">
        <w:rPr>
          <w:rFonts w:ascii="Arial" w:hAnsi="Arial"/>
          <w:b/>
          <w:color w:val="000000"/>
          <w:sz w:val="28"/>
          <w:lang w:val="fr-CA"/>
        </w:rPr>
        <w:t>chantillons</w:t>
      </w:r>
    </w:p>
    <w:p w:rsidR="003C3FBB" w:rsidRPr="00E86208" w:rsidRDefault="003C3FBB">
      <w:pPr>
        <w:spacing w:line="228" w:lineRule="auto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82137B">
      <w:pPr>
        <w:spacing w:line="228" w:lineRule="auto"/>
        <w:ind w:left="720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 xml:space="preserve">Sang total anticoagulé </w:t>
      </w:r>
      <w:r w:rsidR="00E86208" w:rsidRPr="00E86208">
        <w:rPr>
          <w:rFonts w:ascii="Arial" w:hAnsi="Arial"/>
          <w:color w:val="000000"/>
          <w:sz w:val="24"/>
          <w:lang w:val="fr-CA"/>
        </w:rPr>
        <w:t xml:space="preserve">– tube </w:t>
      </w:r>
      <w:r w:rsidRPr="00E86208">
        <w:rPr>
          <w:rFonts w:ascii="Arial" w:hAnsi="Arial"/>
          <w:color w:val="000000"/>
          <w:sz w:val="24"/>
          <w:lang w:val="fr-CA"/>
        </w:rPr>
        <w:t>EDTA</w:t>
      </w:r>
    </w:p>
    <w:p w:rsidR="003C3FBB" w:rsidRDefault="003C3FBB">
      <w:pPr>
        <w:spacing w:line="228" w:lineRule="auto"/>
        <w:ind w:left="720"/>
        <w:rPr>
          <w:rFonts w:ascii="Arial" w:hAnsi="Arial"/>
          <w:color w:val="000000"/>
          <w:sz w:val="24"/>
          <w:lang w:val="fr-CA"/>
        </w:rPr>
      </w:pPr>
    </w:p>
    <w:p w:rsidR="009D618F" w:rsidRPr="00E86208" w:rsidRDefault="009D618F">
      <w:pPr>
        <w:spacing w:line="228" w:lineRule="auto"/>
        <w:ind w:left="720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E86208">
      <w:pPr>
        <w:numPr>
          <w:ilvl w:val="0"/>
          <w:numId w:val="1"/>
        </w:numPr>
        <w:spacing w:line="228" w:lineRule="auto"/>
        <w:rPr>
          <w:rFonts w:ascii="Arial" w:hAnsi="Arial"/>
          <w:b/>
          <w:color w:val="000000"/>
          <w:sz w:val="28"/>
          <w:lang w:val="fr-CA"/>
        </w:rPr>
      </w:pPr>
      <w:r w:rsidRPr="00E86208">
        <w:rPr>
          <w:rFonts w:ascii="Arial" w:hAnsi="Arial"/>
          <w:b/>
          <w:color w:val="000000"/>
          <w:sz w:val="28"/>
          <w:lang w:val="fr-CA"/>
        </w:rPr>
        <w:lastRenderedPageBreak/>
        <w:t>Matériel</w:t>
      </w:r>
    </w:p>
    <w:p w:rsidR="003C3FBB" w:rsidRPr="00E86208" w:rsidRDefault="003C3FBB">
      <w:pPr>
        <w:spacing w:line="228" w:lineRule="auto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82137B" w:rsidP="00E856C6">
      <w:pPr>
        <w:spacing w:line="228" w:lineRule="auto"/>
        <w:ind w:left="2410" w:hanging="1690"/>
        <w:rPr>
          <w:rFonts w:ascii="Arial" w:hAnsi="Arial"/>
          <w:color w:val="000000"/>
          <w:sz w:val="24"/>
          <w:lang w:val="fr-CA"/>
        </w:rPr>
      </w:pPr>
      <w:r w:rsidRPr="00E856C6">
        <w:rPr>
          <w:rFonts w:ascii="Arial" w:hAnsi="Arial"/>
          <w:b/>
          <w:color w:val="000000"/>
          <w:sz w:val="24"/>
          <w:lang w:val="fr-CA"/>
        </w:rPr>
        <w:t>Équipement</w:t>
      </w:r>
      <w:r w:rsidRPr="00E86208">
        <w:rPr>
          <w:rFonts w:ascii="Arial" w:hAnsi="Arial"/>
          <w:color w:val="000000"/>
          <w:sz w:val="24"/>
          <w:lang w:val="fr-CA"/>
        </w:rPr>
        <w:t> :</w:t>
      </w:r>
      <w:r w:rsidR="00E856C6">
        <w:rPr>
          <w:rFonts w:ascii="Arial" w:hAnsi="Arial"/>
          <w:color w:val="000000"/>
          <w:sz w:val="24"/>
          <w:lang w:val="fr-CA"/>
        </w:rPr>
        <w:t xml:space="preserve"> </w:t>
      </w:r>
      <w:r w:rsidR="00E856C6">
        <w:rPr>
          <w:rFonts w:ascii="Arial" w:hAnsi="Arial"/>
          <w:color w:val="000000"/>
          <w:sz w:val="24"/>
          <w:lang w:val="fr-CA"/>
        </w:rPr>
        <w:tab/>
        <w:t>c</w:t>
      </w:r>
      <w:r w:rsidRPr="00E86208">
        <w:rPr>
          <w:rFonts w:ascii="Arial" w:hAnsi="Arial"/>
          <w:color w:val="000000"/>
          <w:sz w:val="24"/>
          <w:lang w:val="fr-CA"/>
        </w:rPr>
        <w:t>entrifugeuse sérologique</w:t>
      </w:r>
    </w:p>
    <w:p w:rsidR="003C3FBB" w:rsidRPr="00E86208" w:rsidRDefault="003C3FBB" w:rsidP="00E856C6">
      <w:pPr>
        <w:spacing w:line="228" w:lineRule="auto"/>
        <w:ind w:left="2410" w:hanging="1690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ab/>
      </w:r>
      <w:r w:rsidR="00E86208" w:rsidRPr="00E86208">
        <w:rPr>
          <w:rFonts w:ascii="Arial" w:hAnsi="Arial"/>
          <w:color w:val="000000"/>
          <w:sz w:val="24"/>
          <w:lang w:val="fr-CA"/>
        </w:rPr>
        <w:t>s</w:t>
      </w:r>
      <w:r w:rsidR="0082137B" w:rsidRPr="00E86208">
        <w:rPr>
          <w:rFonts w:ascii="Arial" w:hAnsi="Arial"/>
          <w:color w:val="000000"/>
          <w:sz w:val="24"/>
          <w:lang w:val="fr-CA"/>
        </w:rPr>
        <w:t>upport à tubes</w:t>
      </w:r>
    </w:p>
    <w:p w:rsidR="003C3FBB" w:rsidRPr="00E86208" w:rsidRDefault="003C3FBB" w:rsidP="00E856C6">
      <w:pPr>
        <w:spacing w:line="228" w:lineRule="auto"/>
        <w:ind w:left="2410" w:hanging="1690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ab/>
      </w:r>
      <w:r w:rsidR="00E86208" w:rsidRPr="00E86208">
        <w:rPr>
          <w:rFonts w:ascii="Arial" w:hAnsi="Arial"/>
          <w:color w:val="000000"/>
          <w:sz w:val="24"/>
          <w:lang w:val="fr-CA"/>
        </w:rPr>
        <w:t>m</w:t>
      </w:r>
      <w:r w:rsidR="0082137B" w:rsidRPr="00E86208">
        <w:rPr>
          <w:rFonts w:ascii="Arial" w:hAnsi="Arial"/>
          <w:color w:val="000000"/>
          <w:sz w:val="24"/>
          <w:lang w:val="fr-CA"/>
        </w:rPr>
        <w:t>icroscope</w:t>
      </w:r>
      <w:r w:rsidR="007627F3">
        <w:rPr>
          <w:rFonts w:ascii="Arial" w:hAnsi="Arial"/>
          <w:color w:val="000000"/>
          <w:sz w:val="24"/>
          <w:lang w:val="fr-CA"/>
        </w:rPr>
        <w:br/>
        <w:t>appareil d’aspiration sous vide (facultatif)</w:t>
      </w:r>
      <w:r w:rsidR="007627F3">
        <w:rPr>
          <w:rFonts w:ascii="Arial" w:hAnsi="Arial"/>
          <w:color w:val="000000"/>
          <w:sz w:val="24"/>
          <w:lang w:val="fr-CA"/>
        </w:rPr>
        <w:tab/>
      </w:r>
    </w:p>
    <w:p w:rsidR="003C3FBB" w:rsidRPr="00E86208" w:rsidRDefault="003C3FBB" w:rsidP="00E856C6">
      <w:pPr>
        <w:spacing w:line="228" w:lineRule="auto"/>
        <w:ind w:left="2410" w:hanging="1690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82137B" w:rsidP="00E856C6">
      <w:pPr>
        <w:spacing w:line="228" w:lineRule="auto"/>
        <w:ind w:left="2410" w:hanging="1690"/>
        <w:rPr>
          <w:rFonts w:ascii="Arial" w:hAnsi="Arial"/>
          <w:color w:val="000000"/>
          <w:sz w:val="24"/>
          <w:lang w:val="fr-CA"/>
        </w:rPr>
      </w:pPr>
      <w:r w:rsidRPr="00E856C6">
        <w:rPr>
          <w:rFonts w:ascii="Arial" w:hAnsi="Arial"/>
          <w:b/>
          <w:color w:val="000000"/>
          <w:sz w:val="24"/>
          <w:lang w:val="fr-CA"/>
        </w:rPr>
        <w:t>Fournitures</w:t>
      </w:r>
      <w:r w:rsidRPr="00E86208">
        <w:rPr>
          <w:rFonts w:ascii="Arial" w:hAnsi="Arial"/>
          <w:color w:val="000000"/>
          <w:sz w:val="24"/>
          <w:lang w:val="fr-CA"/>
        </w:rPr>
        <w:t xml:space="preserve"> : </w:t>
      </w:r>
      <w:r w:rsidR="00E856C6">
        <w:rPr>
          <w:rFonts w:ascii="Arial" w:hAnsi="Arial"/>
          <w:color w:val="000000"/>
          <w:sz w:val="24"/>
          <w:lang w:val="fr-CA"/>
        </w:rPr>
        <w:tab/>
      </w:r>
      <w:r w:rsidRPr="00E86208">
        <w:rPr>
          <w:rFonts w:ascii="Arial" w:hAnsi="Arial"/>
          <w:color w:val="000000"/>
          <w:sz w:val="24"/>
          <w:lang w:val="fr-CA"/>
        </w:rPr>
        <w:t>tubes 10 x 75 mm</w:t>
      </w:r>
      <w:r w:rsidR="007627F3">
        <w:rPr>
          <w:rFonts w:ascii="Arial" w:hAnsi="Arial"/>
          <w:color w:val="000000"/>
          <w:sz w:val="24"/>
          <w:lang w:val="fr-CA"/>
        </w:rPr>
        <w:t>, 12 x 75</w:t>
      </w:r>
      <w:r w:rsidR="009D618F">
        <w:rPr>
          <w:rFonts w:ascii="Arial" w:hAnsi="Arial"/>
          <w:color w:val="000000"/>
          <w:sz w:val="24"/>
          <w:lang w:val="fr-CA"/>
        </w:rPr>
        <w:t> </w:t>
      </w:r>
      <w:r w:rsidR="007627F3">
        <w:rPr>
          <w:rFonts w:ascii="Arial" w:hAnsi="Arial"/>
          <w:color w:val="000000"/>
          <w:sz w:val="24"/>
          <w:lang w:val="fr-CA"/>
        </w:rPr>
        <w:t>mm</w:t>
      </w:r>
    </w:p>
    <w:p w:rsidR="003C3FBB" w:rsidRPr="00E86208" w:rsidRDefault="003C3FBB" w:rsidP="00E856C6">
      <w:pPr>
        <w:ind w:left="2410" w:hanging="1690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ab/>
      </w:r>
      <w:r w:rsidR="0082137B" w:rsidRPr="00E86208">
        <w:rPr>
          <w:rFonts w:ascii="Arial" w:hAnsi="Arial"/>
          <w:color w:val="000000"/>
          <w:sz w:val="24"/>
          <w:lang w:val="fr-CA"/>
        </w:rPr>
        <w:t>pipettes sérologiques</w:t>
      </w:r>
    </w:p>
    <w:p w:rsidR="003C3FBB" w:rsidRPr="00E86208" w:rsidRDefault="003C3FBB" w:rsidP="00E856C6">
      <w:pPr>
        <w:ind w:left="2410" w:hanging="1690"/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3C3FBB" w:rsidP="00E856C6">
      <w:pPr>
        <w:ind w:left="2410" w:hanging="1690"/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b/>
          <w:color w:val="000000"/>
          <w:sz w:val="24"/>
          <w:lang w:val="fr-CA"/>
        </w:rPr>
        <w:t>R</w:t>
      </w:r>
      <w:r w:rsidR="00E86208" w:rsidRPr="00E86208">
        <w:rPr>
          <w:rFonts w:ascii="Arial" w:hAnsi="Arial"/>
          <w:b/>
          <w:color w:val="000000"/>
          <w:sz w:val="24"/>
          <w:lang w:val="fr-CA"/>
        </w:rPr>
        <w:t xml:space="preserve">éactifs </w:t>
      </w:r>
      <w:r w:rsidRPr="00E86208">
        <w:rPr>
          <w:rFonts w:ascii="Arial" w:hAnsi="Arial"/>
          <w:b/>
          <w:color w:val="000000"/>
          <w:sz w:val="24"/>
          <w:lang w:val="fr-CA"/>
        </w:rPr>
        <w:t>:</w:t>
      </w:r>
      <w:r w:rsidRPr="00E86208">
        <w:rPr>
          <w:rFonts w:ascii="Arial" w:hAnsi="Arial"/>
          <w:color w:val="000000"/>
          <w:sz w:val="24"/>
          <w:lang w:val="fr-CA"/>
        </w:rPr>
        <w:tab/>
      </w:r>
      <w:r w:rsidR="00E86208" w:rsidRPr="00E86208">
        <w:rPr>
          <w:rFonts w:ascii="Arial" w:hAnsi="Arial"/>
          <w:color w:val="000000"/>
          <w:sz w:val="24"/>
          <w:lang w:val="fr-CA"/>
        </w:rPr>
        <w:t>solution s</w:t>
      </w:r>
      <w:r w:rsidRPr="00E86208">
        <w:rPr>
          <w:rFonts w:ascii="Arial" w:hAnsi="Arial"/>
          <w:color w:val="000000"/>
          <w:sz w:val="24"/>
          <w:lang w:val="fr-CA"/>
        </w:rPr>
        <w:t>aline</w:t>
      </w:r>
      <w:r w:rsidR="00F265E3">
        <w:rPr>
          <w:rFonts w:ascii="Arial" w:hAnsi="Arial"/>
          <w:color w:val="000000"/>
          <w:sz w:val="24"/>
          <w:lang w:val="fr-CA"/>
        </w:rPr>
        <w:t xml:space="preserve"> normale</w:t>
      </w:r>
    </w:p>
    <w:p w:rsidR="003C3FBB" w:rsidRPr="00E86208" w:rsidRDefault="003C3FBB" w:rsidP="00A00184">
      <w:pPr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ab/>
      </w:r>
      <w:r w:rsidRPr="00E86208">
        <w:rPr>
          <w:rFonts w:ascii="Arial" w:hAnsi="Arial"/>
          <w:color w:val="000000"/>
          <w:sz w:val="24"/>
          <w:lang w:val="fr-CA"/>
        </w:rPr>
        <w:tab/>
      </w:r>
    </w:p>
    <w:p w:rsidR="003C3FBB" w:rsidRPr="00E86208" w:rsidRDefault="0082137B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86208">
        <w:rPr>
          <w:rFonts w:ascii="Arial" w:hAnsi="Arial"/>
          <w:b/>
          <w:color w:val="000000"/>
          <w:sz w:val="28"/>
          <w:lang w:val="fr-CA"/>
        </w:rPr>
        <w:t>Contrôle de la qualité - S.O.</w:t>
      </w:r>
    </w:p>
    <w:p w:rsidR="003E4198" w:rsidRPr="00E86208" w:rsidRDefault="003E4198" w:rsidP="00A00184">
      <w:pPr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82137B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86208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3C3FBB" w:rsidRPr="00E86208" w:rsidRDefault="003C3FBB">
      <w:pPr>
        <w:rPr>
          <w:rFonts w:ascii="Arial" w:hAnsi="Arial"/>
          <w:color w:val="000000"/>
          <w:sz w:val="24"/>
          <w:lang w:val="fr-CA"/>
        </w:rPr>
      </w:pPr>
    </w:p>
    <w:p w:rsidR="003E4198" w:rsidRDefault="00E86208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>Faire une lecture au microscope</w:t>
      </w:r>
    </w:p>
    <w:p w:rsidR="003C3FBB" w:rsidRPr="00E86208" w:rsidRDefault="003E4198" w:rsidP="003E4198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V</w:t>
      </w:r>
      <w:r w:rsidR="00E86208" w:rsidRPr="00E86208">
        <w:rPr>
          <w:rFonts w:ascii="Arial" w:hAnsi="Arial"/>
          <w:color w:val="000000"/>
          <w:sz w:val="24"/>
          <w:lang w:val="fr-CA"/>
        </w:rPr>
        <w:t xml:space="preserve">érifier si l’agglutination a l’aspect </w:t>
      </w:r>
      <w:r>
        <w:rPr>
          <w:rFonts w:ascii="Arial" w:hAnsi="Arial"/>
          <w:color w:val="000000"/>
          <w:sz w:val="24"/>
          <w:lang w:val="fr-CA"/>
        </w:rPr>
        <w:t xml:space="preserve">caractéristique </w:t>
      </w:r>
      <w:r w:rsidR="00E86208" w:rsidRPr="00E86208">
        <w:rPr>
          <w:rFonts w:ascii="Arial" w:hAnsi="Arial"/>
          <w:color w:val="000000"/>
          <w:sz w:val="24"/>
          <w:lang w:val="fr-CA"/>
        </w:rPr>
        <w:t xml:space="preserve">de « rouleaux de monnaie ». </w:t>
      </w:r>
    </w:p>
    <w:p w:rsidR="003C3FBB" w:rsidRPr="00E86208" w:rsidRDefault="003C3FBB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E4198" w:rsidRDefault="003C3FBB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E86208">
        <w:rPr>
          <w:rFonts w:ascii="Arial" w:hAnsi="Arial"/>
          <w:color w:val="000000"/>
          <w:sz w:val="24"/>
          <w:lang w:val="fr-CA"/>
        </w:rPr>
        <w:t>Centrifuge</w:t>
      </w:r>
      <w:r w:rsidR="00E86208" w:rsidRPr="00E86208">
        <w:rPr>
          <w:rFonts w:ascii="Arial" w:hAnsi="Arial"/>
          <w:color w:val="000000"/>
          <w:sz w:val="24"/>
          <w:lang w:val="fr-CA"/>
        </w:rPr>
        <w:t xml:space="preserve">r les </w:t>
      </w:r>
      <w:r w:rsidRPr="00E86208">
        <w:rPr>
          <w:rFonts w:ascii="Arial" w:hAnsi="Arial"/>
          <w:color w:val="000000"/>
          <w:sz w:val="24"/>
          <w:lang w:val="fr-CA"/>
        </w:rPr>
        <w:t xml:space="preserve">tubes </w:t>
      </w:r>
    </w:p>
    <w:p w:rsidR="003C3FBB" w:rsidRPr="00E86208" w:rsidRDefault="003E4198" w:rsidP="003E4198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Centrifuger </w:t>
      </w:r>
      <w:r w:rsidR="00E86208" w:rsidRPr="00E86208">
        <w:rPr>
          <w:rFonts w:ascii="Arial" w:hAnsi="Arial"/>
          <w:color w:val="000000"/>
          <w:sz w:val="24"/>
          <w:lang w:val="fr-CA"/>
        </w:rPr>
        <w:t>à</w:t>
      </w:r>
      <w:r w:rsidR="003C3FBB" w:rsidRPr="00E86208">
        <w:rPr>
          <w:rFonts w:ascii="Arial" w:hAnsi="Arial"/>
          <w:color w:val="000000"/>
          <w:sz w:val="24"/>
          <w:lang w:val="fr-CA"/>
        </w:rPr>
        <w:t xml:space="preserve"> 3400 rpm </w:t>
      </w:r>
      <w:r w:rsidR="00E86208" w:rsidRPr="00E86208">
        <w:rPr>
          <w:rFonts w:ascii="Arial" w:hAnsi="Arial"/>
          <w:color w:val="000000"/>
          <w:sz w:val="24"/>
          <w:lang w:val="fr-CA"/>
        </w:rPr>
        <w:t xml:space="preserve">pendant </w:t>
      </w:r>
      <w:r w:rsidR="003C3FBB" w:rsidRPr="00E86208">
        <w:rPr>
          <w:rFonts w:ascii="Arial" w:hAnsi="Arial"/>
          <w:color w:val="000000"/>
          <w:sz w:val="24"/>
          <w:lang w:val="fr-CA"/>
        </w:rPr>
        <w:t>10</w:t>
      </w:r>
      <w:r w:rsidR="00E86208" w:rsidRPr="00E86208">
        <w:rPr>
          <w:rFonts w:ascii="Arial" w:hAnsi="Arial"/>
          <w:color w:val="000000"/>
          <w:sz w:val="24"/>
          <w:lang w:val="fr-CA"/>
        </w:rPr>
        <w:t xml:space="preserve"> à </w:t>
      </w:r>
      <w:r w:rsidR="003C3FBB" w:rsidRPr="00E86208">
        <w:rPr>
          <w:rFonts w:ascii="Arial" w:hAnsi="Arial"/>
          <w:color w:val="000000"/>
          <w:sz w:val="24"/>
          <w:lang w:val="fr-CA"/>
        </w:rPr>
        <w:t>15 second</w:t>
      </w:r>
      <w:r w:rsidR="00E86208" w:rsidRPr="00E86208">
        <w:rPr>
          <w:rFonts w:ascii="Arial" w:hAnsi="Arial"/>
          <w:color w:val="000000"/>
          <w:sz w:val="24"/>
          <w:lang w:val="fr-CA"/>
        </w:rPr>
        <w:t>e</w:t>
      </w:r>
      <w:r w:rsidR="003C3FBB" w:rsidRPr="00E86208">
        <w:rPr>
          <w:rFonts w:ascii="Arial" w:hAnsi="Arial"/>
          <w:color w:val="000000"/>
          <w:sz w:val="24"/>
          <w:lang w:val="fr-CA"/>
        </w:rPr>
        <w:t>s.</w:t>
      </w:r>
    </w:p>
    <w:p w:rsidR="003C3FBB" w:rsidRPr="00F265E3" w:rsidRDefault="00E86208" w:rsidP="003E41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F265E3">
        <w:rPr>
          <w:rFonts w:ascii="Arial" w:hAnsi="Arial"/>
          <w:sz w:val="24"/>
          <w:lang w:val="fr-CA"/>
        </w:rPr>
        <w:t xml:space="preserve">Avec une pipette ou un appareil d’aspiration sous vide, retirer tout le surnageant en laissant intact le culot globulaire. </w:t>
      </w:r>
    </w:p>
    <w:p w:rsidR="003C3FBB" w:rsidRPr="00E86208" w:rsidRDefault="003C3FBB">
      <w:pPr>
        <w:ind w:left="720"/>
        <w:rPr>
          <w:rFonts w:ascii="Arial" w:hAnsi="Arial"/>
          <w:sz w:val="24"/>
          <w:lang w:val="fr-CA"/>
        </w:rPr>
      </w:pPr>
    </w:p>
    <w:p w:rsidR="003E4198" w:rsidRDefault="003E41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Remettre en suspension et lire</w:t>
      </w:r>
    </w:p>
    <w:p w:rsidR="003C3FBB" w:rsidRPr="00E86208" w:rsidRDefault="003C3FBB" w:rsidP="003E41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2A75DB">
        <w:rPr>
          <w:rFonts w:ascii="Arial" w:hAnsi="Arial"/>
          <w:sz w:val="24"/>
          <w:lang w:val="fr-CA"/>
        </w:rPr>
        <w:t>A</w:t>
      </w:r>
      <w:r w:rsidR="00E86208" w:rsidRPr="002A75DB">
        <w:rPr>
          <w:rFonts w:ascii="Arial" w:hAnsi="Arial"/>
          <w:sz w:val="24"/>
          <w:lang w:val="fr-CA"/>
        </w:rPr>
        <w:t xml:space="preserve">jouter 2 gouttes de solution saline </w:t>
      </w:r>
      <w:r w:rsidR="007627F3">
        <w:rPr>
          <w:rFonts w:ascii="Arial" w:hAnsi="Arial"/>
          <w:sz w:val="24"/>
          <w:lang w:val="fr-CA"/>
        </w:rPr>
        <w:t xml:space="preserve">normale </w:t>
      </w:r>
      <w:r w:rsidR="00E86208" w:rsidRPr="002A75DB">
        <w:rPr>
          <w:rFonts w:ascii="Arial" w:hAnsi="Arial"/>
          <w:sz w:val="24"/>
          <w:lang w:val="fr-CA"/>
        </w:rPr>
        <w:t>à chaque tube</w:t>
      </w:r>
      <w:r w:rsidRPr="00E86208">
        <w:rPr>
          <w:rFonts w:ascii="Arial" w:hAnsi="Arial"/>
          <w:sz w:val="24"/>
          <w:lang w:val="fr-CA"/>
        </w:rPr>
        <w:t>.</w:t>
      </w:r>
    </w:p>
    <w:p w:rsidR="003C3FBB" w:rsidRPr="00E86208" w:rsidRDefault="003C3FBB" w:rsidP="003E41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E86208">
        <w:rPr>
          <w:rFonts w:ascii="Arial" w:hAnsi="Arial"/>
          <w:sz w:val="24"/>
          <w:lang w:val="fr-CA"/>
        </w:rPr>
        <w:t>R</w:t>
      </w:r>
      <w:r w:rsidR="00E86208">
        <w:rPr>
          <w:rFonts w:ascii="Arial" w:hAnsi="Arial"/>
          <w:sz w:val="24"/>
          <w:lang w:val="fr-CA"/>
        </w:rPr>
        <w:t>emettre délicatement en suspension, lire en suivant la méthode de lecture initiale</w:t>
      </w:r>
      <w:r w:rsidRPr="00E86208">
        <w:rPr>
          <w:rFonts w:ascii="Arial" w:hAnsi="Arial"/>
          <w:sz w:val="24"/>
          <w:lang w:val="fr-CA"/>
        </w:rPr>
        <w:t xml:space="preserve"> (</w:t>
      </w:r>
      <w:r w:rsidR="00E86208">
        <w:rPr>
          <w:rFonts w:ascii="Arial" w:hAnsi="Arial"/>
          <w:sz w:val="24"/>
          <w:lang w:val="fr-CA"/>
        </w:rPr>
        <w:t xml:space="preserve">c.-à-d. </w:t>
      </w:r>
      <w:r w:rsidRPr="00E86208">
        <w:rPr>
          <w:rFonts w:ascii="Arial" w:hAnsi="Arial"/>
          <w:sz w:val="24"/>
          <w:lang w:val="fr-CA"/>
        </w:rPr>
        <w:t>macroscopi</w:t>
      </w:r>
      <w:r w:rsidR="00E86208">
        <w:rPr>
          <w:rFonts w:ascii="Arial" w:hAnsi="Arial"/>
          <w:sz w:val="24"/>
          <w:lang w:val="fr-CA"/>
        </w:rPr>
        <w:t xml:space="preserve">que ou </w:t>
      </w:r>
      <w:r w:rsidRPr="00E86208">
        <w:rPr>
          <w:rFonts w:ascii="Arial" w:hAnsi="Arial"/>
          <w:sz w:val="24"/>
          <w:lang w:val="fr-CA"/>
        </w:rPr>
        <w:t>microscopi</w:t>
      </w:r>
      <w:r w:rsidR="00E86208">
        <w:rPr>
          <w:rFonts w:ascii="Arial" w:hAnsi="Arial"/>
          <w:sz w:val="24"/>
          <w:lang w:val="fr-CA"/>
        </w:rPr>
        <w:t>que</w:t>
      </w:r>
      <w:r w:rsidRPr="00E86208">
        <w:rPr>
          <w:rFonts w:ascii="Arial" w:hAnsi="Arial"/>
          <w:sz w:val="24"/>
          <w:lang w:val="fr-CA"/>
        </w:rPr>
        <w:t>).</w:t>
      </w:r>
    </w:p>
    <w:p w:rsidR="003C3FBB" w:rsidRPr="00E86208" w:rsidRDefault="003C3FBB">
      <w:pPr>
        <w:ind w:left="720"/>
        <w:rPr>
          <w:rFonts w:ascii="Arial" w:hAnsi="Arial"/>
          <w:sz w:val="24"/>
          <w:lang w:val="fr-CA"/>
        </w:rPr>
      </w:pPr>
    </w:p>
    <w:p w:rsidR="003E4198" w:rsidRDefault="0082137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A75DB">
        <w:rPr>
          <w:rFonts w:ascii="Arial" w:hAnsi="Arial"/>
          <w:color w:val="000000"/>
          <w:sz w:val="24"/>
          <w:lang w:val="fr-CA"/>
        </w:rPr>
        <w:t>Interpréter et inscrire les résultats.</w:t>
      </w:r>
      <w:r w:rsidR="00E86208" w:rsidRPr="00E86208">
        <w:rPr>
          <w:rFonts w:ascii="Arial" w:hAnsi="Arial"/>
          <w:sz w:val="24"/>
          <w:lang w:val="fr-CA"/>
        </w:rPr>
        <w:t xml:space="preserve"> </w:t>
      </w:r>
    </w:p>
    <w:p w:rsidR="003E4198" w:rsidRDefault="00CD5416" w:rsidP="003E41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</w:t>
      </w:r>
      <w:r w:rsidRPr="001876B3">
        <w:rPr>
          <w:rFonts w:ascii="Arial" w:hAnsi="Arial"/>
          <w:sz w:val="24"/>
          <w:lang w:val="fr-CA"/>
        </w:rPr>
        <w:t xml:space="preserve">oir </w:t>
      </w:r>
      <w:r w:rsidR="003E4198">
        <w:rPr>
          <w:rFonts w:ascii="Arial" w:hAnsi="Arial"/>
          <w:sz w:val="24"/>
          <w:lang w:val="fr-CA"/>
        </w:rPr>
        <w:t>AR.001</w:t>
      </w:r>
      <w:r w:rsidRPr="001876B3">
        <w:rPr>
          <w:rFonts w:ascii="Arial" w:hAnsi="Arial"/>
          <w:sz w:val="24"/>
          <w:lang w:val="fr-CA"/>
        </w:rPr>
        <w:t xml:space="preserve"> – Lecture et </w:t>
      </w:r>
      <w:r>
        <w:rPr>
          <w:rFonts w:ascii="Arial" w:hAnsi="Arial"/>
          <w:sz w:val="24"/>
          <w:lang w:val="fr-CA"/>
        </w:rPr>
        <w:t>inscription</w:t>
      </w:r>
      <w:r w:rsidRPr="001876B3">
        <w:rPr>
          <w:rFonts w:ascii="Arial" w:hAnsi="Arial"/>
          <w:sz w:val="24"/>
          <w:lang w:val="fr-CA"/>
        </w:rPr>
        <w:t xml:space="preserve"> des réactions d’hémagglutination</w:t>
      </w:r>
      <w:r w:rsidRPr="0085030D">
        <w:rPr>
          <w:rFonts w:ascii="Arial" w:hAnsi="Arial"/>
          <w:sz w:val="24"/>
          <w:lang w:val="fr-CA"/>
        </w:rPr>
        <w:t>.</w:t>
      </w:r>
      <w:r>
        <w:rPr>
          <w:rFonts w:ascii="Arial" w:hAnsi="Arial"/>
          <w:sz w:val="24"/>
          <w:lang w:val="fr-CA"/>
        </w:rPr>
        <w:t xml:space="preserve"> </w:t>
      </w:r>
      <w:r w:rsidR="003C3FBB" w:rsidRPr="002A75DB">
        <w:rPr>
          <w:rFonts w:ascii="Arial" w:hAnsi="Arial"/>
          <w:sz w:val="24"/>
          <w:lang w:val="fr-CA"/>
        </w:rPr>
        <w:t>Indi</w:t>
      </w:r>
      <w:r w:rsidR="0019487B" w:rsidRPr="002A75DB">
        <w:rPr>
          <w:rFonts w:ascii="Arial" w:hAnsi="Arial"/>
          <w:sz w:val="24"/>
          <w:lang w:val="fr-CA"/>
        </w:rPr>
        <w:t xml:space="preserve">quer que la lecture a été faite après un remplacement par une solution saline </w:t>
      </w:r>
      <w:r w:rsidR="0019487B">
        <w:rPr>
          <w:rFonts w:ascii="Arial" w:hAnsi="Arial"/>
          <w:sz w:val="24"/>
          <w:lang w:val="fr-CA"/>
        </w:rPr>
        <w:t>en écrivant</w:t>
      </w:r>
      <w:r w:rsidR="003C3FBB" w:rsidRPr="00E86208">
        <w:rPr>
          <w:rFonts w:ascii="Arial" w:hAnsi="Arial"/>
          <w:sz w:val="24"/>
          <w:lang w:val="fr-CA"/>
        </w:rPr>
        <w:t xml:space="preserve"> </w:t>
      </w:r>
      <w:r w:rsidR="00E86208">
        <w:rPr>
          <w:rFonts w:ascii="Arial" w:hAnsi="Arial"/>
          <w:sz w:val="24"/>
          <w:lang w:val="fr-CA"/>
        </w:rPr>
        <w:t>« RSS »</w:t>
      </w:r>
      <w:r w:rsidR="003C3FBB" w:rsidRPr="00E86208">
        <w:rPr>
          <w:rFonts w:ascii="Arial" w:hAnsi="Arial"/>
          <w:sz w:val="24"/>
          <w:lang w:val="fr-CA"/>
        </w:rPr>
        <w:t xml:space="preserve"> </w:t>
      </w:r>
      <w:r w:rsidR="00E86208">
        <w:rPr>
          <w:rFonts w:ascii="Arial" w:hAnsi="Arial"/>
          <w:sz w:val="24"/>
          <w:lang w:val="fr-CA"/>
        </w:rPr>
        <w:t xml:space="preserve">au-dessus de la colonne où les résultats sont inscrits. </w:t>
      </w:r>
    </w:p>
    <w:p w:rsidR="003C3FBB" w:rsidRPr="00E86208" w:rsidRDefault="0019487B" w:rsidP="003E4198">
      <w:pPr>
        <w:ind w:left="216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Si les résultats sont entrés à l’ordinateur, inscrire dans une note de bas de page que la lecture a été faite après « RSS »</w:t>
      </w:r>
      <w:r w:rsidR="003C3FBB" w:rsidRPr="00E86208">
        <w:rPr>
          <w:rFonts w:ascii="Arial" w:hAnsi="Arial"/>
          <w:sz w:val="24"/>
          <w:lang w:val="fr-CA"/>
        </w:rPr>
        <w:t>.</w:t>
      </w:r>
    </w:p>
    <w:p w:rsidR="003C3FBB" w:rsidRPr="00E86208" w:rsidRDefault="003C3FBB">
      <w:pPr>
        <w:ind w:left="720"/>
        <w:rPr>
          <w:rFonts w:ascii="Arial" w:hAnsi="Arial"/>
          <w:sz w:val="24"/>
          <w:lang w:val="fr-CA"/>
        </w:rPr>
      </w:pPr>
    </w:p>
    <w:p w:rsidR="003E4198" w:rsidRDefault="003C3FB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A75DB">
        <w:rPr>
          <w:rFonts w:ascii="Arial" w:hAnsi="Arial"/>
          <w:sz w:val="24"/>
          <w:lang w:val="fr-CA"/>
        </w:rPr>
        <w:t>Interpr</w:t>
      </w:r>
      <w:r w:rsidR="00E86208" w:rsidRPr="002A75DB">
        <w:rPr>
          <w:rFonts w:ascii="Arial" w:hAnsi="Arial"/>
          <w:sz w:val="24"/>
          <w:lang w:val="fr-CA"/>
        </w:rPr>
        <w:t>éter les résultats</w:t>
      </w:r>
      <w:r w:rsidRPr="00E86208">
        <w:rPr>
          <w:rFonts w:ascii="Arial" w:hAnsi="Arial"/>
          <w:sz w:val="24"/>
          <w:lang w:val="fr-CA"/>
        </w:rPr>
        <w:t>.</w:t>
      </w:r>
      <w:r w:rsidR="00E86208" w:rsidRPr="00E86208">
        <w:rPr>
          <w:rFonts w:ascii="Arial" w:hAnsi="Arial"/>
          <w:sz w:val="24"/>
          <w:lang w:val="fr-CA"/>
        </w:rPr>
        <w:t xml:space="preserve"> </w:t>
      </w:r>
    </w:p>
    <w:p w:rsidR="003C3FBB" w:rsidRPr="00E86208" w:rsidRDefault="0082137B" w:rsidP="003E419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2A75DB">
        <w:rPr>
          <w:rFonts w:ascii="Arial" w:hAnsi="Arial"/>
          <w:color w:val="000000"/>
          <w:sz w:val="24"/>
          <w:lang w:val="fr-CA"/>
        </w:rPr>
        <w:t>Voir 7.0 – Documentation.</w:t>
      </w:r>
    </w:p>
    <w:p w:rsidR="003C3FBB" w:rsidRPr="00E86208" w:rsidRDefault="003C3FBB">
      <w:pPr>
        <w:ind w:left="720"/>
        <w:rPr>
          <w:rFonts w:ascii="Arial" w:hAnsi="Arial"/>
          <w:sz w:val="24"/>
          <w:lang w:val="fr-CA"/>
        </w:rPr>
      </w:pPr>
    </w:p>
    <w:p w:rsidR="003C3FBB" w:rsidRPr="009D618F" w:rsidRDefault="003E419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P</w:t>
      </w:r>
      <w:r w:rsidR="0082137B" w:rsidRPr="002A75DB">
        <w:rPr>
          <w:rFonts w:ascii="Arial" w:hAnsi="Arial"/>
          <w:color w:val="000000"/>
          <w:sz w:val="24"/>
          <w:lang w:val="fr-CA"/>
        </w:rPr>
        <w:t>rocéder à une vérification.</w:t>
      </w:r>
    </w:p>
    <w:p w:rsidR="009D618F" w:rsidRPr="00E86208" w:rsidRDefault="009D618F" w:rsidP="009D618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Une fois la procédure terminée : </w:t>
      </w:r>
    </w:p>
    <w:p w:rsidR="0019487B" w:rsidRPr="0019487B" w:rsidRDefault="003E4198" w:rsidP="003E4198">
      <w:pPr>
        <w:numPr>
          <w:ilvl w:val="2"/>
          <w:numId w:val="11"/>
        </w:numPr>
        <w:jc w:val="both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S</w:t>
      </w:r>
      <w:r w:rsidR="0019487B" w:rsidRPr="0019487B">
        <w:rPr>
          <w:rFonts w:ascii="Arial" w:hAnsi="Arial"/>
          <w:color w:val="000000"/>
          <w:sz w:val="24"/>
          <w:lang w:val="fr-CA"/>
        </w:rPr>
        <w:t>’assurer</w:t>
      </w:r>
      <w:r w:rsidR="003C3FBB" w:rsidRPr="0019487B">
        <w:rPr>
          <w:rFonts w:ascii="Arial" w:hAnsi="Arial"/>
          <w:color w:val="000000"/>
          <w:sz w:val="24"/>
          <w:lang w:val="fr-CA"/>
        </w:rPr>
        <w:t xml:space="preserve"> </w:t>
      </w:r>
      <w:r w:rsidR="0019487B" w:rsidRPr="0019487B">
        <w:rPr>
          <w:rFonts w:ascii="Arial" w:hAnsi="Arial"/>
          <w:color w:val="000000"/>
          <w:sz w:val="24"/>
          <w:lang w:val="fr-CA"/>
        </w:rPr>
        <w:t xml:space="preserve">que </w:t>
      </w:r>
      <w:r>
        <w:rPr>
          <w:rFonts w:ascii="Arial" w:hAnsi="Arial"/>
          <w:color w:val="000000"/>
          <w:sz w:val="24"/>
          <w:lang w:val="fr-CA"/>
        </w:rPr>
        <w:t>le nom et le numéro d’identification du patient</w:t>
      </w:r>
      <w:r w:rsidR="0019487B" w:rsidRPr="0019487B">
        <w:rPr>
          <w:rFonts w:ascii="Arial" w:hAnsi="Arial"/>
          <w:color w:val="000000"/>
          <w:sz w:val="24"/>
          <w:lang w:val="fr-CA"/>
        </w:rPr>
        <w:t xml:space="preserve"> </w:t>
      </w:r>
      <w:r>
        <w:rPr>
          <w:rFonts w:ascii="Arial" w:hAnsi="Arial"/>
          <w:color w:val="000000"/>
          <w:sz w:val="24"/>
          <w:lang w:val="fr-CA"/>
        </w:rPr>
        <w:t xml:space="preserve">sont identiques sur </w:t>
      </w:r>
      <w:r w:rsidR="0019487B" w:rsidRPr="0019487B">
        <w:rPr>
          <w:rFonts w:ascii="Arial" w:hAnsi="Arial"/>
          <w:color w:val="000000"/>
          <w:sz w:val="24"/>
          <w:lang w:val="fr-CA"/>
        </w:rPr>
        <w:t xml:space="preserve">chaque échantillon </w:t>
      </w:r>
      <w:r>
        <w:rPr>
          <w:rFonts w:ascii="Arial" w:hAnsi="Arial"/>
          <w:color w:val="000000"/>
          <w:sz w:val="24"/>
          <w:lang w:val="fr-CA"/>
        </w:rPr>
        <w:t>et sur le formulaire de demande ou à l’</w:t>
      </w:r>
      <w:r w:rsidR="009D618F">
        <w:rPr>
          <w:rFonts w:ascii="Arial" w:hAnsi="Arial"/>
          <w:color w:val="000000"/>
          <w:sz w:val="24"/>
          <w:lang w:val="fr-CA"/>
        </w:rPr>
        <w:t>ordinateur</w:t>
      </w:r>
      <w:r w:rsidR="0019487B" w:rsidRPr="0019487B">
        <w:rPr>
          <w:rFonts w:ascii="Arial" w:hAnsi="Arial"/>
          <w:color w:val="000000"/>
          <w:sz w:val="24"/>
          <w:lang w:val="fr-CA"/>
        </w:rPr>
        <w:t xml:space="preserve">. </w:t>
      </w:r>
    </w:p>
    <w:p w:rsidR="009D618F" w:rsidRDefault="003E4198" w:rsidP="003E4198">
      <w:pPr>
        <w:numPr>
          <w:ilvl w:val="2"/>
          <w:numId w:val="11"/>
        </w:numPr>
        <w:jc w:val="both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S</w:t>
      </w:r>
      <w:r w:rsidR="0019487B" w:rsidRPr="0019487B">
        <w:rPr>
          <w:rFonts w:ascii="Arial" w:hAnsi="Arial"/>
          <w:color w:val="000000"/>
          <w:sz w:val="24"/>
          <w:lang w:val="fr-CA"/>
        </w:rPr>
        <w:t>’assurer que le</w:t>
      </w:r>
      <w:r>
        <w:rPr>
          <w:rFonts w:ascii="Arial" w:hAnsi="Arial"/>
          <w:color w:val="000000"/>
          <w:sz w:val="24"/>
          <w:lang w:val="fr-CA"/>
        </w:rPr>
        <w:t xml:space="preserve"> nom du patient est le même sur chaque tube à essai</w:t>
      </w:r>
      <w:r w:rsidR="009D618F">
        <w:rPr>
          <w:rFonts w:ascii="Arial" w:hAnsi="Arial"/>
          <w:color w:val="000000"/>
          <w:sz w:val="24"/>
          <w:lang w:val="fr-CA"/>
        </w:rPr>
        <w:t xml:space="preserve"> et sur le formulaire de demande ou à l’ordinateur.</w:t>
      </w:r>
    </w:p>
    <w:p w:rsidR="003C3FBB" w:rsidRPr="0019487B" w:rsidRDefault="009D618F" w:rsidP="003E4198">
      <w:pPr>
        <w:numPr>
          <w:ilvl w:val="2"/>
          <w:numId w:val="11"/>
        </w:numPr>
        <w:jc w:val="both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Vérifier que l’interprétation des résultats est juste</w:t>
      </w:r>
      <w:r w:rsidR="0019487B" w:rsidRPr="0019487B">
        <w:rPr>
          <w:rFonts w:ascii="Arial" w:hAnsi="Arial"/>
          <w:color w:val="000000"/>
          <w:sz w:val="24"/>
          <w:lang w:val="fr-CA"/>
        </w:rPr>
        <w:t>.</w:t>
      </w:r>
    </w:p>
    <w:p w:rsidR="003C3FBB" w:rsidRPr="0019487B" w:rsidRDefault="003C3FBB">
      <w:pPr>
        <w:ind w:left="720"/>
        <w:rPr>
          <w:rFonts w:ascii="Arial" w:hAnsi="Arial"/>
          <w:color w:val="000000"/>
          <w:sz w:val="24"/>
          <w:lang w:val="fr-CA"/>
        </w:rPr>
      </w:pPr>
    </w:p>
    <w:p w:rsidR="009D618F" w:rsidRDefault="009D618F" w:rsidP="0019487B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Signer le formulaire.</w:t>
      </w:r>
    </w:p>
    <w:p w:rsidR="0019487B" w:rsidRDefault="0019487B" w:rsidP="009D618F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 w:rsidRPr="0019487B">
        <w:rPr>
          <w:rFonts w:ascii="Arial" w:hAnsi="Arial"/>
          <w:color w:val="000000"/>
          <w:sz w:val="24"/>
          <w:lang w:val="fr-CA"/>
        </w:rPr>
        <w:t xml:space="preserve">Mettre ses initiales ou signer et </w:t>
      </w:r>
      <w:r w:rsidR="00CD5416">
        <w:rPr>
          <w:rFonts w:ascii="Arial" w:hAnsi="Arial"/>
          <w:color w:val="000000"/>
          <w:sz w:val="24"/>
          <w:lang w:val="fr-CA"/>
        </w:rPr>
        <w:t>inscrire</w:t>
      </w:r>
      <w:r w:rsidR="00CD5416" w:rsidRPr="0019487B">
        <w:rPr>
          <w:rFonts w:ascii="Arial" w:hAnsi="Arial"/>
          <w:color w:val="000000"/>
          <w:sz w:val="24"/>
          <w:lang w:val="fr-CA"/>
        </w:rPr>
        <w:t xml:space="preserve"> </w:t>
      </w:r>
      <w:r w:rsidRPr="0019487B">
        <w:rPr>
          <w:rFonts w:ascii="Arial" w:hAnsi="Arial"/>
          <w:color w:val="000000"/>
          <w:sz w:val="24"/>
          <w:lang w:val="fr-CA"/>
        </w:rPr>
        <w:t>l’heure et la date de la conclusion de l’épreuve sur le formulaire de demande ou remplir le dossier à l’ordinateur.</w:t>
      </w:r>
    </w:p>
    <w:p w:rsidR="009D618F" w:rsidRPr="0019487B" w:rsidRDefault="009D618F" w:rsidP="009D618F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>Noter que les résultats ont été vérifiés. Voir Documentation</w:t>
      </w:r>
      <w:r>
        <w:rPr>
          <w:rFonts w:ascii="Arial" w:hAnsi="Arial"/>
          <w:noProof/>
          <w:sz w:val="24"/>
          <w:lang w:val="fr-CA"/>
        </w:rPr>
        <w:t> </w:t>
      </w:r>
      <w:r w:rsidRPr="00870B65">
        <w:rPr>
          <w:rFonts w:ascii="Arial" w:hAnsi="Arial"/>
          <w:noProof/>
          <w:sz w:val="24"/>
          <w:lang w:val="fr-CA"/>
        </w:rPr>
        <w:t>7</w:t>
      </w:r>
      <w:r>
        <w:rPr>
          <w:rFonts w:ascii="Arial" w:hAnsi="Arial"/>
          <w:noProof/>
          <w:sz w:val="24"/>
          <w:lang w:val="fr-CA"/>
        </w:rPr>
        <w:t>.0</w:t>
      </w:r>
      <w:r w:rsidRPr="00870B65">
        <w:rPr>
          <w:rFonts w:ascii="Arial" w:hAnsi="Arial"/>
          <w:noProof/>
          <w:sz w:val="24"/>
          <w:lang w:val="fr-CA"/>
        </w:rPr>
        <w:t>.</w:t>
      </w:r>
    </w:p>
    <w:p w:rsidR="009D618F" w:rsidRPr="00E86208" w:rsidRDefault="009D618F" w:rsidP="00A00184">
      <w:pPr>
        <w:rPr>
          <w:rFonts w:ascii="Arial" w:hAnsi="Arial"/>
          <w:sz w:val="24"/>
          <w:lang w:val="fr-CA"/>
        </w:rPr>
      </w:pPr>
    </w:p>
    <w:p w:rsidR="003C3FBB" w:rsidRPr="00E86208" w:rsidRDefault="0019487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Documentation</w:t>
      </w:r>
    </w:p>
    <w:p w:rsidR="003C3FBB" w:rsidRPr="00E86208" w:rsidRDefault="003C3FBB">
      <w:pPr>
        <w:rPr>
          <w:rFonts w:ascii="Arial" w:hAnsi="Arial"/>
          <w:sz w:val="24"/>
          <w:lang w:val="fr-CA"/>
        </w:rPr>
      </w:pPr>
    </w:p>
    <w:p w:rsidR="003C3FBB" w:rsidRPr="00E86208" w:rsidRDefault="0019487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A75DB">
        <w:rPr>
          <w:rFonts w:ascii="Arial" w:hAnsi="Arial"/>
          <w:sz w:val="24"/>
          <w:lang w:val="fr-CA"/>
        </w:rPr>
        <w:t>L’absence d’</w:t>
      </w:r>
      <w:r w:rsidR="003C3FBB" w:rsidRPr="002A75DB">
        <w:rPr>
          <w:rFonts w:ascii="Arial" w:hAnsi="Arial"/>
          <w:sz w:val="24"/>
          <w:lang w:val="fr-CA"/>
        </w:rPr>
        <w:t>agglutinat</w:t>
      </w:r>
      <w:r w:rsidR="003C3FBB" w:rsidRPr="00E86208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 xml:space="preserve">après la procédure de remplacement par une solution saline </w:t>
      </w:r>
      <w:r w:rsidR="007627F3">
        <w:rPr>
          <w:rFonts w:ascii="Arial" w:hAnsi="Arial"/>
          <w:sz w:val="24"/>
          <w:lang w:val="fr-CA"/>
        </w:rPr>
        <w:t xml:space="preserve">normale </w:t>
      </w:r>
      <w:r>
        <w:rPr>
          <w:rFonts w:ascii="Arial" w:hAnsi="Arial"/>
          <w:sz w:val="24"/>
          <w:lang w:val="fr-CA"/>
        </w:rPr>
        <w:t xml:space="preserve">indique habituellement que les rouleaux qui étaient présents ont été dispersés par la solution saline. Inscrire la réaction comme étant négative. </w:t>
      </w:r>
    </w:p>
    <w:p w:rsidR="003C3FBB" w:rsidRPr="00E86208" w:rsidRDefault="003C3FBB">
      <w:pPr>
        <w:rPr>
          <w:rFonts w:ascii="Arial" w:hAnsi="Arial"/>
          <w:sz w:val="24"/>
          <w:lang w:val="fr-CA"/>
        </w:rPr>
      </w:pPr>
    </w:p>
    <w:p w:rsidR="003C3FBB" w:rsidRPr="00E86208" w:rsidRDefault="002A75D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L’a</w:t>
      </w:r>
      <w:r w:rsidR="003C3FBB" w:rsidRPr="00E86208">
        <w:rPr>
          <w:rFonts w:ascii="Arial" w:hAnsi="Arial"/>
          <w:sz w:val="24"/>
          <w:lang w:val="fr-CA"/>
        </w:rPr>
        <w:t xml:space="preserve">gglutination </w:t>
      </w:r>
      <w:r>
        <w:rPr>
          <w:rFonts w:ascii="Arial" w:hAnsi="Arial"/>
          <w:sz w:val="24"/>
          <w:lang w:val="fr-CA"/>
        </w:rPr>
        <w:t xml:space="preserve">après la procédure de remplacement par une solution saline </w:t>
      </w:r>
      <w:r w:rsidR="007627F3">
        <w:rPr>
          <w:rFonts w:ascii="Arial" w:hAnsi="Arial"/>
          <w:sz w:val="24"/>
          <w:lang w:val="fr-CA"/>
        </w:rPr>
        <w:t xml:space="preserve">normale </w:t>
      </w:r>
      <w:r>
        <w:rPr>
          <w:rFonts w:ascii="Arial" w:hAnsi="Arial"/>
          <w:sz w:val="24"/>
          <w:lang w:val="fr-CA"/>
        </w:rPr>
        <w:t>indique habituellement qu’il s’agit d’une v</w:t>
      </w:r>
      <w:r w:rsidR="00E856C6">
        <w:rPr>
          <w:rFonts w:ascii="Arial" w:hAnsi="Arial"/>
          <w:sz w:val="24"/>
          <w:lang w:val="fr-CA"/>
        </w:rPr>
        <w:t>éritable</w:t>
      </w:r>
      <w:r>
        <w:rPr>
          <w:rFonts w:ascii="Arial" w:hAnsi="Arial"/>
          <w:sz w:val="24"/>
          <w:lang w:val="fr-CA"/>
        </w:rPr>
        <w:t xml:space="preserve"> </w:t>
      </w:r>
      <w:r w:rsidR="003C3FBB" w:rsidRPr="00E86208">
        <w:rPr>
          <w:rFonts w:ascii="Arial" w:hAnsi="Arial"/>
          <w:sz w:val="24"/>
          <w:lang w:val="fr-CA"/>
        </w:rPr>
        <w:t>agglutination.</w:t>
      </w:r>
      <w:r w:rsidR="00E86208" w:rsidRPr="00E86208">
        <w:rPr>
          <w:rFonts w:ascii="Arial" w:hAnsi="Arial"/>
          <w:sz w:val="24"/>
          <w:lang w:val="fr-CA"/>
        </w:rPr>
        <w:t xml:space="preserve"> </w:t>
      </w:r>
      <w:r w:rsidR="003C3FBB" w:rsidRPr="002A75DB">
        <w:rPr>
          <w:rFonts w:ascii="Arial" w:hAnsi="Arial"/>
          <w:sz w:val="24"/>
          <w:lang w:val="fr-CA"/>
        </w:rPr>
        <w:t>Interpr</w:t>
      </w:r>
      <w:r w:rsidRPr="002A75DB">
        <w:rPr>
          <w:rFonts w:ascii="Arial" w:hAnsi="Arial"/>
          <w:sz w:val="24"/>
          <w:lang w:val="fr-CA"/>
        </w:rPr>
        <w:t>éter la réaction comme étant positive et faire le suivi approprié</w:t>
      </w:r>
      <w:r w:rsidR="003C3FBB" w:rsidRPr="00E86208">
        <w:rPr>
          <w:rFonts w:ascii="Arial" w:hAnsi="Arial"/>
          <w:sz w:val="24"/>
          <w:lang w:val="fr-CA"/>
        </w:rPr>
        <w:t xml:space="preserve"> (</w:t>
      </w:r>
      <w:r>
        <w:rPr>
          <w:rFonts w:ascii="Arial" w:hAnsi="Arial"/>
          <w:sz w:val="24"/>
          <w:lang w:val="fr-CA"/>
        </w:rPr>
        <w:t>p. ex. EC</w:t>
      </w:r>
      <w:r w:rsidR="003C3FBB" w:rsidRPr="002A75DB">
        <w:rPr>
          <w:rFonts w:ascii="Arial" w:hAnsi="Arial"/>
          <w:sz w:val="24"/>
          <w:lang w:val="fr-CA"/>
        </w:rPr>
        <w:t xml:space="preserve">.003 – </w:t>
      </w:r>
      <w:r w:rsidRPr="002A75DB">
        <w:rPr>
          <w:rFonts w:ascii="Arial" w:hAnsi="Arial" w:cs="Arial"/>
          <w:bCs/>
          <w:sz w:val="24"/>
          <w:szCs w:val="24"/>
          <w:lang w:val="fr-CA"/>
        </w:rPr>
        <w:t>Résolution de problèmes liés au groupage ABO</w:t>
      </w:r>
      <w:r w:rsidRPr="002A75DB">
        <w:rPr>
          <w:rFonts w:ascii="Arial" w:hAnsi="Arial" w:cs="Arial"/>
          <w:sz w:val="24"/>
          <w:szCs w:val="24"/>
          <w:lang w:val="fr-CA"/>
        </w:rPr>
        <w:t xml:space="preserve"> </w:t>
      </w:r>
      <w:r w:rsidR="003C3FBB" w:rsidRPr="002A75DB">
        <w:rPr>
          <w:rFonts w:ascii="Arial" w:hAnsi="Arial" w:cs="Arial"/>
          <w:sz w:val="24"/>
          <w:szCs w:val="24"/>
          <w:lang w:val="fr-CA"/>
        </w:rPr>
        <w:t>o</w:t>
      </w:r>
      <w:r w:rsidRPr="002A75DB">
        <w:rPr>
          <w:rFonts w:ascii="Arial" w:hAnsi="Arial" w:cs="Arial"/>
          <w:sz w:val="24"/>
          <w:szCs w:val="24"/>
          <w:lang w:val="fr-CA"/>
        </w:rPr>
        <w:t xml:space="preserve">u </w:t>
      </w:r>
      <w:r w:rsidR="009D618F">
        <w:rPr>
          <w:rFonts w:ascii="Arial" w:hAnsi="Arial" w:cs="Arial"/>
          <w:sz w:val="24"/>
          <w:szCs w:val="24"/>
          <w:lang w:val="fr-CA"/>
        </w:rPr>
        <w:t>EC.006/EC.007 - Identification</w:t>
      </w:r>
      <w:r w:rsidRPr="002A75DB">
        <w:rPr>
          <w:rFonts w:ascii="Arial" w:hAnsi="Arial"/>
          <w:sz w:val="24"/>
          <w:lang w:val="fr-CA"/>
        </w:rPr>
        <w:t xml:space="preserve"> d’anticorps</w:t>
      </w:r>
      <w:r w:rsidR="009D618F">
        <w:rPr>
          <w:rFonts w:ascii="Arial" w:hAnsi="Arial"/>
          <w:sz w:val="24"/>
          <w:lang w:val="fr-CA"/>
        </w:rPr>
        <w:t xml:space="preserve"> réactifs</w:t>
      </w:r>
      <w:r w:rsidRPr="002A75DB">
        <w:rPr>
          <w:rFonts w:ascii="Arial" w:hAnsi="Arial"/>
          <w:sz w:val="24"/>
          <w:lang w:val="fr-CA"/>
        </w:rPr>
        <w:t>, au besoin</w:t>
      </w:r>
      <w:r>
        <w:rPr>
          <w:rFonts w:ascii="Arial" w:hAnsi="Arial"/>
          <w:sz w:val="24"/>
          <w:lang w:val="fr-CA"/>
        </w:rPr>
        <w:t>).</w:t>
      </w:r>
    </w:p>
    <w:p w:rsidR="009D618F" w:rsidRPr="00E86208" w:rsidRDefault="009D618F" w:rsidP="00A00184">
      <w:pPr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82137B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86208">
        <w:rPr>
          <w:rFonts w:ascii="Arial" w:hAnsi="Arial"/>
          <w:b/>
          <w:color w:val="000000"/>
          <w:sz w:val="28"/>
          <w:lang w:val="fr-CA"/>
        </w:rPr>
        <w:t>Remarques</w:t>
      </w:r>
      <w:r w:rsidR="003C3FBB" w:rsidRPr="00E86208">
        <w:rPr>
          <w:rFonts w:ascii="Arial" w:hAnsi="Arial"/>
          <w:b/>
          <w:color w:val="000000"/>
          <w:sz w:val="28"/>
          <w:lang w:val="fr-CA"/>
        </w:rPr>
        <w:t xml:space="preserve"> – </w:t>
      </w:r>
      <w:r w:rsidRPr="00E86208">
        <w:rPr>
          <w:rFonts w:ascii="Arial" w:hAnsi="Arial"/>
          <w:b/>
          <w:color w:val="000000"/>
          <w:sz w:val="28"/>
          <w:lang w:val="fr-CA"/>
        </w:rPr>
        <w:t>S.O.</w:t>
      </w:r>
    </w:p>
    <w:p w:rsidR="009D618F" w:rsidRPr="00E86208" w:rsidRDefault="009D618F" w:rsidP="00A00184">
      <w:pPr>
        <w:rPr>
          <w:rFonts w:ascii="Arial" w:hAnsi="Arial"/>
          <w:color w:val="000000"/>
          <w:sz w:val="24"/>
          <w:lang w:val="fr-CA"/>
        </w:rPr>
      </w:pPr>
    </w:p>
    <w:p w:rsidR="003C3FBB" w:rsidRPr="00E86208" w:rsidRDefault="003C3FBB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86208">
        <w:rPr>
          <w:rFonts w:ascii="Arial" w:hAnsi="Arial"/>
          <w:b/>
          <w:color w:val="000000"/>
          <w:sz w:val="28"/>
          <w:lang w:val="fr-CA"/>
        </w:rPr>
        <w:t>R</w:t>
      </w:r>
      <w:r w:rsidR="0082137B" w:rsidRPr="00E86208">
        <w:rPr>
          <w:rFonts w:ascii="Arial" w:hAnsi="Arial"/>
          <w:b/>
          <w:color w:val="000000"/>
          <w:sz w:val="28"/>
          <w:lang w:val="fr-CA"/>
        </w:rPr>
        <w:t>é</w:t>
      </w:r>
      <w:r w:rsidRPr="00E86208">
        <w:rPr>
          <w:rFonts w:ascii="Arial" w:hAnsi="Arial"/>
          <w:b/>
          <w:color w:val="000000"/>
          <w:sz w:val="28"/>
          <w:lang w:val="fr-CA"/>
        </w:rPr>
        <w:t>f</w:t>
      </w:r>
      <w:r w:rsidR="0082137B" w:rsidRPr="00E86208">
        <w:rPr>
          <w:rFonts w:ascii="Arial" w:hAnsi="Arial"/>
          <w:b/>
          <w:color w:val="000000"/>
          <w:sz w:val="28"/>
          <w:lang w:val="fr-CA"/>
        </w:rPr>
        <w:t>é</w:t>
      </w:r>
      <w:r w:rsidRPr="00E86208">
        <w:rPr>
          <w:rFonts w:ascii="Arial" w:hAnsi="Arial"/>
          <w:b/>
          <w:color w:val="000000"/>
          <w:sz w:val="28"/>
          <w:lang w:val="fr-CA"/>
        </w:rPr>
        <w:t>rences</w:t>
      </w:r>
    </w:p>
    <w:p w:rsidR="003C3FBB" w:rsidRPr="00E86208" w:rsidRDefault="003C3FBB">
      <w:pPr>
        <w:rPr>
          <w:rFonts w:ascii="Arial" w:hAnsi="Arial"/>
          <w:color w:val="000000"/>
          <w:sz w:val="24"/>
          <w:lang w:val="fr-CA"/>
        </w:rPr>
      </w:pPr>
    </w:p>
    <w:p w:rsidR="00F265E3" w:rsidRPr="00A00184" w:rsidRDefault="00F265E3" w:rsidP="00F265E3">
      <w:pPr>
        <w:numPr>
          <w:ilvl w:val="1"/>
          <w:numId w:val="1"/>
        </w:numPr>
        <w:spacing w:line="228" w:lineRule="auto"/>
        <w:rPr>
          <w:rFonts w:ascii="Arial" w:hAnsi="Arial"/>
          <w:color w:val="000000"/>
          <w:sz w:val="24"/>
          <w:lang w:val="en-CA"/>
        </w:rPr>
      </w:pPr>
      <w:r w:rsidRPr="00A00184">
        <w:rPr>
          <w:rFonts w:ascii="Arial" w:hAnsi="Arial"/>
          <w:color w:val="000000"/>
          <w:sz w:val="24"/>
          <w:lang w:val="en-CA"/>
        </w:rPr>
        <w:t>ROBACK JD, éd</w:t>
      </w:r>
      <w:r w:rsidRPr="00A00184">
        <w:rPr>
          <w:rFonts w:ascii="Arial" w:hAnsi="Arial"/>
          <w:i/>
          <w:color w:val="000000"/>
          <w:sz w:val="24"/>
          <w:lang w:val="en-CA"/>
        </w:rPr>
        <w:t>. American Association of Blood Banks Technical manual</w:t>
      </w:r>
      <w:r w:rsidRPr="00A00184">
        <w:rPr>
          <w:rFonts w:ascii="Arial" w:hAnsi="Arial"/>
          <w:color w:val="000000"/>
          <w:sz w:val="24"/>
          <w:lang w:val="en-CA"/>
        </w:rPr>
        <w:t>, 1</w:t>
      </w:r>
      <w:r w:rsidR="003E4198" w:rsidRPr="00A00184">
        <w:rPr>
          <w:rFonts w:ascii="Arial" w:hAnsi="Arial"/>
          <w:color w:val="000000"/>
          <w:sz w:val="24"/>
          <w:lang w:val="en-CA"/>
        </w:rPr>
        <w:t>7</w:t>
      </w:r>
      <w:r w:rsidRPr="00A00184">
        <w:rPr>
          <w:rFonts w:ascii="Arial" w:hAnsi="Arial"/>
          <w:color w:val="000000"/>
          <w:sz w:val="24"/>
          <w:vertAlign w:val="superscript"/>
          <w:lang w:val="en-CA"/>
        </w:rPr>
        <w:t>e</w:t>
      </w:r>
      <w:r w:rsidRPr="00A00184">
        <w:rPr>
          <w:rFonts w:ascii="Arial" w:hAnsi="Arial"/>
          <w:color w:val="000000"/>
          <w:sz w:val="24"/>
          <w:lang w:val="en-CA"/>
        </w:rPr>
        <w:t xml:space="preserve"> éd.</w:t>
      </w:r>
      <w:r w:rsidR="007627F3" w:rsidRPr="00A00184">
        <w:rPr>
          <w:rFonts w:ascii="Arial" w:hAnsi="Arial"/>
          <w:color w:val="000000"/>
          <w:sz w:val="24"/>
          <w:lang w:val="en-CA"/>
        </w:rPr>
        <w:t>, American Association of Blood Banks,</w:t>
      </w:r>
      <w:r w:rsidRPr="00A00184">
        <w:rPr>
          <w:rFonts w:ascii="Arial" w:hAnsi="Arial"/>
          <w:color w:val="000000"/>
          <w:sz w:val="24"/>
          <w:lang w:val="en-CA"/>
        </w:rPr>
        <w:t xml:space="preserve"> Bethesda, MD (2008), </w:t>
      </w:r>
      <w:r w:rsidR="007627F3" w:rsidRPr="00A00184">
        <w:rPr>
          <w:rFonts w:ascii="Arial" w:hAnsi="Arial"/>
          <w:color w:val="000000"/>
          <w:sz w:val="24"/>
          <w:lang w:val="en-CA"/>
        </w:rPr>
        <w:t xml:space="preserve">p. </w:t>
      </w:r>
      <w:r w:rsidR="00D117AF" w:rsidRPr="00A00184">
        <w:rPr>
          <w:rFonts w:ascii="Arial" w:hAnsi="Arial"/>
          <w:color w:val="000000"/>
          <w:sz w:val="24"/>
          <w:lang w:val="en-CA"/>
        </w:rPr>
        <w:t>4</w:t>
      </w:r>
      <w:r w:rsidR="003E4198" w:rsidRPr="00A00184">
        <w:rPr>
          <w:rFonts w:ascii="Arial" w:hAnsi="Arial"/>
          <w:color w:val="000000"/>
          <w:sz w:val="24"/>
          <w:lang w:val="en-CA"/>
        </w:rPr>
        <w:t>88; 901-902.</w:t>
      </w:r>
      <w:r w:rsidRPr="00A00184">
        <w:rPr>
          <w:rFonts w:ascii="Arial" w:hAnsi="Arial"/>
          <w:color w:val="000000"/>
          <w:sz w:val="24"/>
          <w:lang w:val="en-CA"/>
        </w:rPr>
        <w:t xml:space="preserve"> </w:t>
      </w:r>
    </w:p>
    <w:p w:rsidR="003C3FBB" w:rsidRPr="00A00184" w:rsidRDefault="003C3FBB">
      <w:pPr>
        <w:ind w:left="720"/>
        <w:rPr>
          <w:rFonts w:ascii="Arial" w:hAnsi="Arial"/>
          <w:color w:val="000000"/>
          <w:sz w:val="24"/>
          <w:lang w:val="en-CA"/>
        </w:rPr>
      </w:pPr>
    </w:p>
    <w:p w:rsidR="00BA08F9" w:rsidRDefault="00BA08F9" w:rsidP="00BA08F9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ISSITT PD, ANSTEE DJ. Applied Blood Group Serology, 4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Durham, NC: Montgomery Scientific Publications (1998), </w:t>
      </w:r>
      <w:r w:rsidR="007627F3">
        <w:rPr>
          <w:rFonts w:ascii="Arial" w:hAnsi="Arial"/>
          <w:sz w:val="24"/>
        </w:rPr>
        <w:t>p.</w:t>
      </w:r>
      <w:r w:rsidR="009D618F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1135.</w:t>
      </w:r>
    </w:p>
    <w:p w:rsidR="009D618F" w:rsidRPr="00A00184" w:rsidRDefault="009D618F" w:rsidP="00A00184">
      <w:pPr>
        <w:spacing w:line="228" w:lineRule="auto"/>
        <w:rPr>
          <w:rFonts w:ascii="Arial" w:hAnsi="Arial"/>
          <w:noProof/>
          <w:sz w:val="24"/>
          <w:lang w:val="en-CA"/>
        </w:rPr>
      </w:pPr>
    </w:p>
    <w:p w:rsidR="003B3CC6" w:rsidRPr="00870B65" w:rsidRDefault="003B3CC6" w:rsidP="009D618F">
      <w:pPr>
        <w:numPr>
          <w:ilvl w:val="0"/>
          <w:numId w:val="2"/>
        </w:numPr>
        <w:spacing w:line="228" w:lineRule="auto"/>
        <w:rPr>
          <w:rFonts w:ascii="Arial" w:hAnsi="Arial"/>
          <w:b/>
          <w:noProof/>
          <w:color w:val="000000"/>
          <w:sz w:val="28"/>
          <w:lang w:val="fr-CA"/>
        </w:rPr>
      </w:pPr>
      <w:r w:rsidRPr="00870B65">
        <w:rPr>
          <w:rFonts w:ascii="Arial" w:hAnsi="Arial"/>
          <w:b/>
          <w:noProof/>
          <w:color w:val="000000"/>
          <w:sz w:val="28"/>
          <w:lang w:val="fr-CA"/>
        </w:rPr>
        <w:t>Suivi des révisions</w:t>
      </w:r>
    </w:p>
    <w:p w:rsidR="003B3CC6" w:rsidRPr="00870B65" w:rsidRDefault="003B3CC6" w:rsidP="00A00184">
      <w:pPr>
        <w:pStyle w:val="ListParagraph"/>
        <w:ind w:left="0"/>
        <w:rPr>
          <w:rFonts w:ascii="Arial" w:hAnsi="Arial"/>
          <w:b/>
          <w:noProof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3B3CC6" w:rsidRPr="00870B65" w:rsidTr="003B3CC6">
        <w:trPr>
          <w:cantSplit/>
        </w:trPr>
        <w:tc>
          <w:tcPr>
            <w:tcW w:w="3085" w:type="dxa"/>
            <w:shd w:val="clear" w:color="auto" w:fill="F2F2F2"/>
          </w:tcPr>
          <w:p w:rsidR="003B3CC6" w:rsidRPr="00870B65" w:rsidRDefault="003B3CC6" w:rsidP="009A3E6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771" w:type="dxa"/>
            <w:shd w:val="clear" w:color="auto" w:fill="F2F2F2"/>
          </w:tcPr>
          <w:p w:rsidR="003B3CC6" w:rsidRPr="00870B65" w:rsidRDefault="003B3CC6" w:rsidP="009A3E64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Résumé des changements</w:t>
            </w:r>
          </w:p>
        </w:tc>
      </w:tr>
      <w:tr w:rsidR="00A00184" w:rsidRPr="00870B65" w:rsidTr="00A00184">
        <w:trPr>
          <w:cantSplit/>
        </w:trPr>
        <w:tc>
          <w:tcPr>
            <w:tcW w:w="3085" w:type="dxa"/>
            <w:shd w:val="clear" w:color="auto" w:fill="auto"/>
          </w:tcPr>
          <w:p w:rsidR="00A00184" w:rsidRPr="00870B65" w:rsidRDefault="00A00184" w:rsidP="00A00184">
            <w:pPr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1</w:t>
            </w:r>
            <w:r w:rsidRPr="00870B65">
              <w:rPr>
                <w:rFonts w:ascii="Arial" w:hAnsi="Arial"/>
                <w:noProof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noProof/>
                <w:sz w:val="22"/>
                <w:szCs w:val="22"/>
                <w:vertAlign w:val="superscript"/>
                <w:lang w:val="fr-CA"/>
              </w:rPr>
              <w:t> </w:t>
            </w: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mars 2014</w:t>
            </w:r>
          </w:p>
        </w:tc>
        <w:tc>
          <w:tcPr>
            <w:tcW w:w="5771" w:type="dxa"/>
            <w:shd w:val="clear" w:color="auto" w:fill="auto"/>
          </w:tcPr>
          <w:p w:rsidR="00A00184" w:rsidRDefault="00A00184" w:rsidP="00A00184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Changement du nom du manuel </w:t>
            </w:r>
          </w:p>
          <w:p w:rsidR="00A00184" w:rsidRPr="00A00184" w:rsidRDefault="00A00184" w:rsidP="00A00184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 w:rsidRPr="00A00184">
              <w:rPr>
                <w:rFonts w:ascii="Arial" w:hAnsi="Arial"/>
                <w:noProof/>
                <w:sz w:val="22"/>
                <w:szCs w:val="22"/>
                <w:lang w:val="fr-CA"/>
              </w:rPr>
              <w:t>Au paragraphe 6.4.1, changement du numéro de la</w:t>
            </w:r>
          </w:p>
        </w:tc>
      </w:tr>
      <w:tr w:rsidR="003B3CC6" w:rsidRPr="00870B65" w:rsidTr="00A00184">
        <w:trPr>
          <w:cantSplit/>
          <w:trHeight w:val="705"/>
        </w:trPr>
        <w:tc>
          <w:tcPr>
            <w:tcW w:w="3085" w:type="dxa"/>
          </w:tcPr>
          <w:p w:rsidR="003B3CC6" w:rsidRPr="00870B65" w:rsidRDefault="003B3CC6" w:rsidP="009A3E64">
            <w:pPr>
              <w:keepLines/>
              <w:widowControl w:val="0"/>
              <w:rPr>
                <w:rFonts w:ascii="Arial" w:hAnsi="Arial"/>
                <w:noProof/>
                <w:sz w:val="22"/>
                <w:szCs w:val="22"/>
                <w:lang w:val="fr-CA"/>
              </w:rPr>
            </w:pPr>
          </w:p>
        </w:tc>
        <w:tc>
          <w:tcPr>
            <w:tcW w:w="5771" w:type="dxa"/>
          </w:tcPr>
          <w:p w:rsidR="003B3CC6" w:rsidRPr="00870B65" w:rsidRDefault="003E4198" w:rsidP="00A00184">
            <w:pPr>
              <w:ind w:left="170"/>
              <w:rPr>
                <w:rFonts w:ascii="Arial" w:hAnsi="Arial"/>
                <w:noProof/>
                <w:sz w:val="22"/>
                <w:lang w:val="fr-CA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fr-CA"/>
              </w:rPr>
              <w:t>procédure</w:t>
            </w:r>
            <w:r w:rsidR="009D618F">
              <w:rPr>
                <w:rFonts w:ascii="Arial" w:hAnsi="Arial"/>
                <w:noProof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/>
                <w:noProof/>
                <w:sz w:val="22"/>
                <w:szCs w:val="22"/>
                <w:lang w:val="fr-CA"/>
              </w:rPr>
              <w:t>PA.006, maintenant AR.001</w:t>
            </w:r>
          </w:p>
          <w:p w:rsidR="003B3CC6" w:rsidRPr="00870B65" w:rsidRDefault="003B3CC6" w:rsidP="003B3CC6">
            <w:pPr>
              <w:numPr>
                <w:ilvl w:val="0"/>
                <w:numId w:val="4"/>
              </w:numPr>
              <w:rPr>
                <w:rFonts w:ascii="Arial" w:hAnsi="Arial"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/>
                <w:noProof/>
                <w:sz w:val="22"/>
                <w:lang w:val="fr-CA"/>
              </w:rPr>
              <w:t>Mise à jour des références pour inclure les versions les plus récentes</w:t>
            </w:r>
          </w:p>
        </w:tc>
      </w:tr>
    </w:tbl>
    <w:p w:rsidR="003B3CC6" w:rsidRPr="00870B65" w:rsidRDefault="003B3CC6" w:rsidP="003B3CC6">
      <w:pPr>
        <w:spacing w:line="228" w:lineRule="auto"/>
        <w:rPr>
          <w:rFonts w:ascii="Arial" w:hAnsi="Arial"/>
          <w:noProof/>
          <w:color w:val="000000"/>
          <w:sz w:val="24"/>
          <w:lang w:val="fr-CA"/>
        </w:rPr>
      </w:pPr>
    </w:p>
    <w:p w:rsidR="003C3FBB" w:rsidRPr="00E86208" w:rsidRDefault="003C3FBB">
      <w:pPr>
        <w:pStyle w:val="Header"/>
        <w:tabs>
          <w:tab w:val="clear" w:pos="4320"/>
          <w:tab w:val="clear" w:pos="8640"/>
        </w:tabs>
        <w:rPr>
          <w:sz w:val="24"/>
          <w:lang w:val="fr-CA"/>
        </w:rPr>
      </w:pPr>
    </w:p>
    <w:sectPr w:rsidR="003C3FBB" w:rsidRPr="00E8620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96" w:rsidRDefault="00681696">
      <w:r>
        <w:separator/>
      </w:r>
    </w:p>
  </w:endnote>
  <w:endnote w:type="continuationSeparator" w:id="0">
    <w:p w:rsidR="00681696" w:rsidRDefault="0068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B0D0A">
      <w:trPr>
        <w:trHeight w:val="720"/>
      </w:trPr>
      <w:tc>
        <w:tcPr>
          <w:tcW w:w="1368" w:type="dxa"/>
        </w:tcPr>
        <w:p w:rsidR="001B0D0A" w:rsidRDefault="001B0D0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1B0D0A" w:rsidRDefault="00B0572D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1B0D0A" w:rsidRDefault="001B0D0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3B3CC6" w:rsidRDefault="003B3CC6" w:rsidP="003B3CC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1B0D0A" w:rsidRPr="00A00184" w:rsidRDefault="003B3CC6" w:rsidP="003B3CC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A00184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1B0D0A" w:rsidRPr="00A00184" w:rsidRDefault="001B0D0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1B0D0A" w:rsidRDefault="001B0D0A" w:rsidP="003B3CC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EC.002</w:t>
          </w:r>
          <w:r>
            <w:rPr>
              <w:rFonts w:ascii="Arial" w:hAnsi="Arial"/>
              <w:sz w:val="18"/>
            </w:rPr>
            <w:br/>
            <w:t>Page</w:t>
          </w:r>
          <w:r w:rsidR="009D618F">
            <w:rPr>
              <w:rFonts w:ascii="Arial" w:hAnsi="Arial"/>
              <w:sz w:val="18"/>
            </w:rPr>
            <w:t> 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457F32">
            <w:rPr>
              <w:rFonts w:ascii="Arial" w:hAnsi="Arial"/>
              <w:noProof/>
              <w:sz w:val="18"/>
            </w:rPr>
            <w:t>4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de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457F32">
            <w:rPr>
              <w:rFonts w:ascii="Arial" w:hAnsi="Arial"/>
              <w:noProof/>
              <w:sz w:val="18"/>
            </w:rPr>
            <w:t>4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1B0D0A" w:rsidRDefault="001B0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B0D0A">
      <w:trPr>
        <w:trHeight w:val="720"/>
      </w:trPr>
      <w:tc>
        <w:tcPr>
          <w:tcW w:w="1368" w:type="dxa"/>
        </w:tcPr>
        <w:p w:rsidR="001B0D0A" w:rsidRDefault="001B0D0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1B0D0A" w:rsidRDefault="00B0572D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1B0D0A" w:rsidRDefault="001B0D0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3B3CC6" w:rsidRDefault="003B3CC6" w:rsidP="003B3CC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1B0D0A" w:rsidRPr="00A00184" w:rsidRDefault="003B3CC6" w:rsidP="003B3CC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A00184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1B0D0A" w:rsidRPr="00A00184" w:rsidRDefault="001B0D0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1B0D0A" w:rsidRDefault="001B0D0A" w:rsidP="003B3CC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EC.002</w:t>
          </w:r>
          <w:r>
            <w:rPr>
              <w:rFonts w:ascii="Arial" w:hAnsi="Arial"/>
              <w:sz w:val="18"/>
            </w:rPr>
            <w:br/>
            <w:t>Page</w:t>
          </w:r>
          <w:r w:rsidR="009D618F">
            <w:rPr>
              <w:rFonts w:ascii="Arial" w:hAnsi="Arial"/>
              <w:sz w:val="18"/>
            </w:rPr>
            <w:t> 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457F32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de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457F32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1B0D0A" w:rsidRDefault="001B0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96" w:rsidRDefault="00681696">
      <w:r>
        <w:separator/>
      </w:r>
    </w:p>
  </w:footnote>
  <w:footnote w:type="continuationSeparator" w:id="0">
    <w:p w:rsidR="00681696" w:rsidRDefault="0068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0A" w:rsidRPr="0019487B" w:rsidRDefault="001B0D0A">
    <w:pPr>
      <w:pStyle w:val="Header"/>
      <w:jc w:val="center"/>
      <w:rPr>
        <w:rFonts w:ascii="Arial" w:hAnsi="Arial"/>
        <w:b/>
        <w:sz w:val="28"/>
      </w:rPr>
    </w:pPr>
    <w:r w:rsidRPr="0019487B">
      <w:rPr>
        <w:rFonts w:ascii="Arial" w:hAnsi="Arial"/>
        <w:b/>
        <w:sz w:val="28"/>
      </w:rPr>
      <w:t>Remplacement par une solution saline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0A" w:rsidRPr="0082137B" w:rsidRDefault="001B0D0A">
    <w:pPr>
      <w:pStyle w:val="Header"/>
      <w:tabs>
        <w:tab w:val="clear" w:pos="8640"/>
        <w:tab w:val="left" w:pos="5057"/>
      </w:tabs>
      <w:rPr>
        <w:color w:val="000000"/>
      </w:rPr>
    </w:pPr>
  </w:p>
  <w:p w:rsidR="00670C59" w:rsidRDefault="00B0572D" w:rsidP="00670C59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color w:val="000000"/>
        <w:sz w:val="22"/>
      </w:rPr>
    </w:pPr>
    <w:r>
      <w:rPr>
        <w:rFonts w:ascii="Verdana" w:hAnsi="Verdana"/>
        <w:noProof/>
        <w:sz w:val="8"/>
      </w:rPr>
      <w:drawing>
        <wp:inline distT="0" distB="0" distL="0" distR="0">
          <wp:extent cx="1162050" cy="390525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D0A" w:rsidRPr="0082137B">
      <w:rPr>
        <w:rFonts w:ascii="Arial" w:hAnsi="Arial" w:cs="Arial"/>
        <w:b/>
        <w:bCs/>
        <w:color w:val="000000"/>
        <w:sz w:val="22"/>
      </w:rPr>
      <w:t>﻿</w:t>
    </w:r>
  </w:p>
  <w:p w:rsidR="00A00184" w:rsidRPr="00A00184" w:rsidRDefault="00A00184" w:rsidP="00670C59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color w:val="000000"/>
        <w:sz w:val="22"/>
        <w:lang w:val="fr-CA"/>
      </w:rPr>
    </w:pPr>
  </w:p>
  <w:p w:rsidR="003B3CC6" w:rsidRPr="00A00184" w:rsidRDefault="003B3CC6" w:rsidP="003B3CC6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A00184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3B3CC6" w:rsidRPr="00A00184" w:rsidRDefault="003B3CC6" w:rsidP="003B3CC6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A00184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1B0D0A" w:rsidRPr="0082137B" w:rsidRDefault="001B0D0A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1B0D0A" w:rsidRPr="0082137B" w:rsidRDefault="001B0D0A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82137B">
      <w:rPr>
        <w:rFonts w:ascii="Arial" w:hAnsi="Arial"/>
        <w:b/>
        <w:color w:val="000000"/>
        <w:sz w:val="28"/>
        <w:lang w:val="fr-CA"/>
      </w:rPr>
      <w:t>Remplacement par une solution saline</w:t>
    </w:r>
  </w:p>
  <w:p w:rsidR="001B0D0A" w:rsidRPr="0082137B" w:rsidRDefault="001B0D0A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1B0D0A" w:rsidRPr="0082137B" w:rsidRDefault="001B0D0A">
    <w:pPr>
      <w:pStyle w:val="Header"/>
      <w:tabs>
        <w:tab w:val="left" w:pos="6617"/>
      </w:tabs>
      <w:jc w:val="center"/>
      <w:rPr>
        <w:rFonts w:ascii="Arial" w:hAnsi="Arial" w:cs="Arial"/>
        <w:b/>
        <w:bCs/>
        <w:color w:val="000000"/>
        <w:lang w:val="fr-CA"/>
      </w:rPr>
    </w:pPr>
    <w:r w:rsidRPr="0082137B">
      <w:rPr>
        <w:rFonts w:ascii="Arial" w:hAnsi="Arial" w:cs="Arial"/>
        <w:b/>
        <w:bCs/>
        <w:color w:val="000000"/>
        <w:lang w:val="fr-CA"/>
      </w:rPr>
      <w:tab/>
    </w:r>
    <w:r w:rsidR="00B0572D" w:rsidRPr="0082137B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C6CC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12"/>
      <w:gridCol w:w="4328"/>
    </w:tblGrid>
    <w:tr w:rsidR="00670C59" w:rsidRPr="0082137B">
      <w:tc>
        <w:tcPr>
          <w:tcW w:w="4428" w:type="dxa"/>
        </w:tcPr>
        <w:p w:rsidR="00670C59" w:rsidRPr="00FC42A4" w:rsidRDefault="00670C59" w:rsidP="003B3CC6">
          <w:pPr>
            <w:pStyle w:val="Header"/>
            <w:rPr>
              <w:rFonts w:ascii="Arial" w:hAnsi="Arial" w:cs="Arial"/>
              <w:lang w:val="fr-CA"/>
            </w:rPr>
          </w:pPr>
          <w:r w:rsidRPr="00FC42A4">
            <w:rPr>
              <w:rFonts w:ascii="Arial" w:hAnsi="Arial" w:cs="Arial"/>
              <w:lang w:val="fr-CA"/>
            </w:rPr>
            <w:t xml:space="preserve">Approbation : </w:t>
          </w:r>
        </w:p>
      </w:tc>
      <w:tc>
        <w:tcPr>
          <w:tcW w:w="4428" w:type="dxa"/>
        </w:tcPr>
        <w:p w:rsidR="00670C59" w:rsidRPr="0082137B" w:rsidRDefault="00670C59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82137B">
            <w:rPr>
              <w:rFonts w:ascii="Arial" w:hAnsi="Arial" w:cs="Arial"/>
              <w:color w:val="000000"/>
              <w:lang w:val="fr-CA"/>
            </w:rPr>
            <w:t>Document n</w:t>
          </w:r>
          <w:r w:rsidRPr="007627F3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82137B">
            <w:rPr>
              <w:rFonts w:ascii="Arial" w:hAnsi="Arial" w:cs="Arial"/>
              <w:color w:val="000000"/>
              <w:lang w:val="fr-CA"/>
            </w:rPr>
            <w:t xml:space="preserve"> : EC.002</w:t>
          </w:r>
        </w:p>
      </w:tc>
    </w:tr>
    <w:tr w:rsidR="001B0D0A" w:rsidRPr="0082137B">
      <w:tc>
        <w:tcPr>
          <w:tcW w:w="4428" w:type="dxa"/>
        </w:tcPr>
        <w:p w:rsidR="001B0D0A" w:rsidRPr="0082137B" w:rsidRDefault="001B0D0A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82137B">
            <w:rPr>
              <w:rFonts w:ascii="Arial" w:hAnsi="Arial" w:cs="Arial"/>
              <w:color w:val="000000"/>
              <w:lang w:val="fr-CA"/>
            </w:rPr>
            <w:t>Date de publication : 2006/06/01</w:t>
          </w:r>
        </w:p>
      </w:tc>
      <w:tc>
        <w:tcPr>
          <w:tcW w:w="4428" w:type="dxa"/>
        </w:tcPr>
        <w:p w:rsidR="001B0D0A" w:rsidRPr="0082137B" w:rsidRDefault="001B0D0A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82137B">
            <w:rPr>
              <w:rFonts w:ascii="Arial" w:hAnsi="Arial" w:cs="Arial"/>
              <w:color w:val="000000"/>
              <w:lang w:val="fr-CA"/>
            </w:rPr>
            <w:t>Catégorie : Épreuves complémentaires</w:t>
          </w:r>
        </w:p>
      </w:tc>
    </w:tr>
    <w:tr w:rsidR="001B0D0A" w:rsidRPr="0082137B">
      <w:tc>
        <w:tcPr>
          <w:tcW w:w="4428" w:type="dxa"/>
        </w:tcPr>
        <w:p w:rsidR="001B0D0A" w:rsidRPr="0082137B" w:rsidRDefault="001B0D0A" w:rsidP="00670C59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82137B">
            <w:rPr>
              <w:rFonts w:ascii="Arial" w:hAnsi="Arial" w:cs="Arial"/>
              <w:color w:val="000000"/>
              <w:lang w:val="fr-CA"/>
            </w:rPr>
            <w:t>Date de révision :</w:t>
          </w:r>
          <w:r w:rsidR="00670C59">
            <w:rPr>
              <w:rFonts w:ascii="Arial" w:hAnsi="Arial" w:cs="Arial"/>
              <w:color w:val="000000"/>
              <w:lang w:val="fr-CA"/>
            </w:rPr>
            <w:t xml:space="preserve"> </w:t>
          </w:r>
          <w:r w:rsidR="00670C59">
            <w:rPr>
              <w:rFonts w:ascii="Arial" w:hAnsi="Arial" w:cs="Arial"/>
              <w:lang w:val="fr-CA"/>
            </w:rPr>
            <w:t>2009/12/31</w:t>
          </w:r>
          <w:r w:rsidR="003B3CC6">
            <w:rPr>
              <w:rFonts w:ascii="Arial" w:hAnsi="Arial" w:cs="Arial"/>
              <w:lang w:val="fr-CA"/>
            </w:rPr>
            <w:t>; 2014/03/01</w:t>
          </w:r>
        </w:p>
      </w:tc>
      <w:tc>
        <w:tcPr>
          <w:tcW w:w="4428" w:type="dxa"/>
        </w:tcPr>
        <w:p w:rsidR="001B0D0A" w:rsidRPr="0082137B" w:rsidRDefault="001B0D0A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82137B">
            <w:rPr>
              <w:rFonts w:ascii="Arial" w:hAnsi="Arial" w:cs="Arial"/>
              <w:color w:val="000000"/>
              <w:lang w:val="fr-CA"/>
            </w:rPr>
            <w:t>Pages</w:t>
          </w:r>
          <w:r>
            <w:rPr>
              <w:rFonts w:ascii="Arial" w:hAnsi="Arial" w:cs="Arial"/>
              <w:color w:val="000000"/>
              <w:lang w:val="fr-CA"/>
            </w:rPr>
            <w:t xml:space="preserve"> </w:t>
          </w:r>
          <w:r w:rsidRPr="0082137B">
            <w:rPr>
              <w:rFonts w:ascii="Arial" w:hAnsi="Arial" w:cs="Arial"/>
              <w:color w:val="000000"/>
              <w:lang w:val="fr-CA"/>
            </w:rPr>
            <w:t xml:space="preserve">: </w:t>
          </w:r>
          <w:r w:rsidRPr="0082137B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82137B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82137B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457F32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82137B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1B0D0A" w:rsidRPr="0082137B" w:rsidRDefault="00B0572D">
    <w:pPr>
      <w:pStyle w:val="Header"/>
      <w:rPr>
        <w:rFonts w:ascii="Arial" w:hAnsi="Arial" w:cs="Arial"/>
        <w:lang w:val="fr-CA"/>
      </w:rPr>
    </w:pPr>
    <w:r w:rsidRPr="0082137B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A3F2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1B0D0A" w:rsidRPr="0082137B">
      <w:rPr>
        <w:rFonts w:ascii="Arial" w:hAnsi="Arial" w:cs="Arial"/>
        <w:lang w:val="fr-CA"/>
      </w:rPr>
      <w:tab/>
    </w:r>
  </w:p>
  <w:p w:rsidR="001B0D0A" w:rsidRDefault="001B0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F44"/>
    <w:multiLevelType w:val="hybridMultilevel"/>
    <w:tmpl w:val="E96ED506"/>
    <w:lvl w:ilvl="0" w:tplc="60ECB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EC6"/>
    <w:multiLevelType w:val="multilevel"/>
    <w:tmpl w:val="715660F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A0A621C"/>
    <w:multiLevelType w:val="hybridMultilevel"/>
    <w:tmpl w:val="337EC51E"/>
    <w:lvl w:ilvl="0" w:tplc="AC62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063"/>
    <w:multiLevelType w:val="multilevel"/>
    <w:tmpl w:val="9D0453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9FC3859"/>
    <w:multiLevelType w:val="hybridMultilevel"/>
    <w:tmpl w:val="C284B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50AB"/>
    <w:multiLevelType w:val="hybridMultilevel"/>
    <w:tmpl w:val="F378CD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195B"/>
    <w:multiLevelType w:val="hybridMultilevel"/>
    <w:tmpl w:val="C74C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10FB9"/>
    <w:multiLevelType w:val="hybridMultilevel"/>
    <w:tmpl w:val="A03E032C"/>
    <w:lvl w:ilvl="0" w:tplc="AC62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6917EB"/>
    <w:multiLevelType w:val="multilevel"/>
    <w:tmpl w:val="9D0453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7B"/>
    <w:rsid w:val="00001A65"/>
    <w:rsid w:val="00097EAD"/>
    <w:rsid w:val="0019285A"/>
    <w:rsid w:val="0019487B"/>
    <w:rsid w:val="001B0D0A"/>
    <w:rsid w:val="002A75DB"/>
    <w:rsid w:val="003001FE"/>
    <w:rsid w:val="003B3CC6"/>
    <w:rsid w:val="003C0ABF"/>
    <w:rsid w:val="003C3FBB"/>
    <w:rsid w:val="003E4198"/>
    <w:rsid w:val="004104FF"/>
    <w:rsid w:val="00457F32"/>
    <w:rsid w:val="004605A9"/>
    <w:rsid w:val="004F51C9"/>
    <w:rsid w:val="00670C59"/>
    <w:rsid w:val="00681696"/>
    <w:rsid w:val="006C66ED"/>
    <w:rsid w:val="00714DBA"/>
    <w:rsid w:val="007627F3"/>
    <w:rsid w:val="007C5F8D"/>
    <w:rsid w:val="0082137B"/>
    <w:rsid w:val="00824CCF"/>
    <w:rsid w:val="008E55CD"/>
    <w:rsid w:val="009373C5"/>
    <w:rsid w:val="00950BEF"/>
    <w:rsid w:val="009A3E64"/>
    <w:rsid w:val="009D618F"/>
    <w:rsid w:val="00A00184"/>
    <w:rsid w:val="00A40008"/>
    <w:rsid w:val="00B0572D"/>
    <w:rsid w:val="00B85F8C"/>
    <w:rsid w:val="00BA08F9"/>
    <w:rsid w:val="00C043DE"/>
    <w:rsid w:val="00C62FE8"/>
    <w:rsid w:val="00CD5416"/>
    <w:rsid w:val="00D0328D"/>
    <w:rsid w:val="00D06938"/>
    <w:rsid w:val="00D117AF"/>
    <w:rsid w:val="00D121B4"/>
    <w:rsid w:val="00D511A0"/>
    <w:rsid w:val="00E30335"/>
    <w:rsid w:val="00E41187"/>
    <w:rsid w:val="00E518E1"/>
    <w:rsid w:val="00E72574"/>
    <w:rsid w:val="00E856C6"/>
    <w:rsid w:val="00E86208"/>
    <w:rsid w:val="00EA3FA3"/>
    <w:rsid w:val="00F265E3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F5692-14DA-4B56-BEEB-907FE3C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D54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B3CC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B3C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53D4F-C4D5-4622-9F70-2B5BFD5E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NRT.002 Saline Replacement</vt:lpstr>
      <vt:lpstr>NRT.002 Saline Replacement</vt:lpstr>
    </vt:vector>
  </TitlesOfParts>
  <Company>The Ottawa Hospital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NRT.002 Saline Replacement</dc:title>
  <dc:subject/>
  <dc:creator>Transfusion Ontario Program Office</dc:creator>
  <cp:keywords/>
  <cp:lastModifiedBy>Nesrallah, Heather</cp:lastModifiedBy>
  <cp:revision>2</cp:revision>
  <cp:lastPrinted>2015-12-09T13:34:00Z</cp:lastPrinted>
  <dcterms:created xsi:type="dcterms:W3CDTF">2020-08-11T12:37:00Z</dcterms:created>
  <dcterms:modified xsi:type="dcterms:W3CDTF">2020-08-11T12:37:00Z</dcterms:modified>
</cp:coreProperties>
</file>