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1B" w:rsidRPr="00B47877" w:rsidRDefault="003C731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B47877">
        <w:rPr>
          <w:rFonts w:ascii="Arial" w:hAnsi="Arial"/>
          <w:b/>
          <w:sz w:val="28"/>
          <w:lang w:val="fr-CA"/>
        </w:rPr>
        <w:t>Principe</w:t>
      </w:r>
    </w:p>
    <w:p w:rsidR="003C731B" w:rsidRPr="00B47877" w:rsidRDefault="003C731B">
      <w:pPr>
        <w:rPr>
          <w:rFonts w:ascii="Arial" w:hAnsi="Arial"/>
          <w:b/>
          <w:sz w:val="24"/>
          <w:lang w:val="fr-CA"/>
        </w:rPr>
      </w:pPr>
    </w:p>
    <w:p w:rsidR="003C731B" w:rsidRPr="00B47877" w:rsidRDefault="00D364DB">
      <w:pPr>
        <w:pStyle w:val="BodyTextIndent"/>
        <w:rPr>
          <w:lang w:val="fr-CA"/>
        </w:rPr>
      </w:pPr>
      <w:r w:rsidRPr="00B47877">
        <w:rPr>
          <w:lang w:val="fr-CA"/>
        </w:rPr>
        <w:t>Dans certaines situations et chez certains patients, on se sert souvent de produits sanguins lyophilisés</w:t>
      </w:r>
      <w:r w:rsidR="00BA4A20">
        <w:rPr>
          <w:lang w:val="fr-CA"/>
        </w:rPr>
        <w:t xml:space="preserve">. </w:t>
      </w:r>
      <w:r w:rsidR="00B47877" w:rsidRPr="00B47877">
        <w:rPr>
          <w:lang w:val="fr-CA"/>
        </w:rPr>
        <w:t>Ces produits sont habituellement émis et reconstitués immédiatement avant leur transfusion. Il arrive parfois qu’on demande au Laboratoire de médecine transfusionnelle (LMT) d’effectuer ce travail</w:t>
      </w:r>
      <w:r w:rsidR="003C731B" w:rsidRPr="00B47877">
        <w:rPr>
          <w:lang w:val="fr-CA"/>
        </w:rPr>
        <w:t>.</w:t>
      </w:r>
    </w:p>
    <w:p w:rsidR="003C731B" w:rsidRPr="00B47877" w:rsidRDefault="003C731B">
      <w:pPr>
        <w:ind w:left="720"/>
        <w:rPr>
          <w:rFonts w:ascii="Arial" w:hAnsi="Arial"/>
          <w:sz w:val="24"/>
          <w:lang w:val="fr-CA"/>
        </w:rPr>
      </w:pPr>
    </w:p>
    <w:p w:rsidR="003C731B" w:rsidRPr="00B47877" w:rsidRDefault="00436E18" w:rsidP="00436E1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47877">
        <w:rPr>
          <w:rFonts w:ascii="Arial" w:hAnsi="Arial"/>
          <w:b/>
          <w:sz w:val="28"/>
          <w:lang w:val="fr-CA"/>
        </w:rPr>
        <w:t>Portée et politiques connexes</w:t>
      </w:r>
    </w:p>
    <w:p w:rsidR="003C731B" w:rsidRPr="00B47877" w:rsidRDefault="003C731B">
      <w:pPr>
        <w:rPr>
          <w:rFonts w:ascii="Arial" w:hAnsi="Arial"/>
          <w:b/>
          <w:sz w:val="24"/>
          <w:lang w:val="fr-CA"/>
        </w:rPr>
      </w:pP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>Suivre des techniques aseptiques</w:t>
      </w:r>
      <w:r w:rsidR="003C731B" w:rsidRPr="00B47877">
        <w:rPr>
          <w:rFonts w:ascii="Arial" w:hAnsi="Arial"/>
          <w:sz w:val="24"/>
          <w:lang w:val="fr-CA"/>
        </w:rPr>
        <w:t>.</w:t>
      </w:r>
    </w:p>
    <w:p w:rsidR="003C731B" w:rsidRPr="00B47877" w:rsidRDefault="003C731B">
      <w:pPr>
        <w:ind w:left="720"/>
        <w:rPr>
          <w:rFonts w:ascii="Arial" w:hAnsi="Arial"/>
          <w:sz w:val="24"/>
          <w:lang w:val="fr-CA"/>
        </w:rPr>
      </w:pP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 xml:space="preserve">Si le laboratoire ne comporte pas de hotte à flux laminaire, il faut réserver un endroit « propre » du LMT à la reconstitution de ces produits. </w:t>
      </w:r>
      <w:r w:rsidRPr="00B47877">
        <w:rPr>
          <w:rFonts w:ascii="Arial" w:hAnsi="Arial"/>
          <w:sz w:val="24"/>
          <w:lang w:val="fr-CA"/>
        </w:rPr>
        <w:br/>
      </w: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 xml:space="preserve">Chaque produit a ses </w:t>
      </w:r>
      <w:r w:rsidR="008F26DA">
        <w:rPr>
          <w:rFonts w:ascii="Arial" w:hAnsi="Arial"/>
          <w:sz w:val="24"/>
          <w:lang w:val="fr-CA"/>
        </w:rPr>
        <w:t>exigences</w:t>
      </w:r>
      <w:r w:rsidRPr="00B47877">
        <w:rPr>
          <w:rFonts w:ascii="Arial" w:hAnsi="Arial"/>
          <w:sz w:val="24"/>
          <w:lang w:val="fr-CA"/>
        </w:rPr>
        <w:t xml:space="preserve"> particulières de reconstitution</w:t>
      </w:r>
      <w:r w:rsidR="008F26DA">
        <w:rPr>
          <w:rFonts w:ascii="Arial" w:hAnsi="Arial"/>
          <w:sz w:val="24"/>
          <w:vertAlign w:val="superscript"/>
          <w:lang w:val="fr-CA"/>
        </w:rPr>
        <w:t>9.1</w:t>
      </w:r>
      <w:r w:rsidRPr="00B47877">
        <w:rPr>
          <w:rFonts w:ascii="Arial" w:hAnsi="Arial"/>
          <w:sz w:val="24"/>
          <w:lang w:val="fr-CA"/>
        </w:rPr>
        <w:t xml:space="preserve">. </w:t>
      </w:r>
    </w:p>
    <w:p w:rsidR="003C731B" w:rsidRPr="00B47877" w:rsidRDefault="003C731B">
      <w:pPr>
        <w:rPr>
          <w:rFonts w:ascii="Arial" w:hAnsi="Arial"/>
          <w:sz w:val="24"/>
          <w:lang w:val="fr-CA"/>
        </w:rPr>
      </w:pPr>
    </w:p>
    <w:p w:rsidR="003C731B" w:rsidRPr="00B47877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47877">
        <w:rPr>
          <w:rFonts w:ascii="Arial" w:hAnsi="Arial"/>
          <w:b/>
          <w:sz w:val="28"/>
          <w:lang w:val="fr-CA"/>
        </w:rPr>
        <w:t>Échantillons - S.O</w:t>
      </w:r>
      <w:r w:rsidR="00BA4A20">
        <w:rPr>
          <w:rFonts w:ascii="Arial" w:hAnsi="Arial"/>
          <w:b/>
          <w:sz w:val="28"/>
          <w:lang w:val="fr-CA"/>
        </w:rPr>
        <w:t>.</w:t>
      </w:r>
    </w:p>
    <w:p w:rsidR="003C731B" w:rsidRPr="00B47877" w:rsidRDefault="003C731B">
      <w:pPr>
        <w:rPr>
          <w:rFonts w:ascii="Arial" w:hAnsi="Arial"/>
          <w:sz w:val="24"/>
          <w:lang w:val="fr-CA"/>
        </w:rPr>
      </w:pPr>
    </w:p>
    <w:p w:rsidR="003C731B" w:rsidRPr="00B47877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47877">
        <w:rPr>
          <w:rFonts w:ascii="Arial" w:hAnsi="Arial"/>
          <w:b/>
          <w:sz w:val="28"/>
          <w:lang w:val="fr-CA"/>
        </w:rPr>
        <w:t>Matériel</w:t>
      </w:r>
    </w:p>
    <w:p w:rsidR="003C731B" w:rsidRPr="00B47877" w:rsidRDefault="003C731B">
      <w:pPr>
        <w:rPr>
          <w:rFonts w:ascii="Arial" w:hAnsi="Arial"/>
          <w:sz w:val="24"/>
          <w:lang w:val="fr-CA"/>
        </w:rPr>
      </w:pPr>
    </w:p>
    <w:p w:rsidR="003C731B" w:rsidRPr="00B47877" w:rsidRDefault="00B47877">
      <w:pPr>
        <w:ind w:left="720"/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b/>
          <w:sz w:val="24"/>
          <w:lang w:val="fr-CA"/>
        </w:rPr>
        <w:t>É</w:t>
      </w:r>
      <w:r w:rsidR="003C731B" w:rsidRPr="00B47877">
        <w:rPr>
          <w:rFonts w:ascii="Arial" w:hAnsi="Arial"/>
          <w:b/>
          <w:sz w:val="24"/>
          <w:lang w:val="fr-CA"/>
        </w:rPr>
        <w:t>quip</w:t>
      </w:r>
      <w:r w:rsidRPr="00B47877">
        <w:rPr>
          <w:rFonts w:ascii="Arial" w:hAnsi="Arial"/>
          <w:b/>
          <w:sz w:val="24"/>
          <w:lang w:val="fr-CA"/>
        </w:rPr>
        <w:t>e</w:t>
      </w:r>
      <w:r w:rsidR="003C731B" w:rsidRPr="00B47877">
        <w:rPr>
          <w:rFonts w:ascii="Arial" w:hAnsi="Arial"/>
          <w:b/>
          <w:sz w:val="24"/>
          <w:lang w:val="fr-CA"/>
        </w:rPr>
        <w:t>ment</w:t>
      </w:r>
      <w:r w:rsidRPr="00B47877">
        <w:rPr>
          <w:rFonts w:ascii="Arial" w:hAnsi="Arial"/>
          <w:b/>
          <w:sz w:val="24"/>
          <w:lang w:val="fr-CA"/>
        </w:rPr>
        <w:t xml:space="preserve"> </w:t>
      </w:r>
      <w:r w:rsidR="003C731B" w:rsidRPr="00B47877">
        <w:rPr>
          <w:rFonts w:ascii="Arial" w:hAnsi="Arial"/>
          <w:b/>
          <w:sz w:val="24"/>
          <w:lang w:val="fr-CA"/>
        </w:rPr>
        <w:t>:</w:t>
      </w:r>
      <w:r w:rsidR="003C731B" w:rsidRPr="00B47877">
        <w:rPr>
          <w:rFonts w:ascii="Arial" w:hAnsi="Arial"/>
          <w:sz w:val="24"/>
          <w:lang w:val="fr-CA"/>
        </w:rPr>
        <w:tab/>
      </w:r>
      <w:r w:rsidRPr="00B47877">
        <w:rPr>
          <w:rFonts w:ascii="Arial" w:hAnsi="Arial"/>
          <w:sz w:val="24"/>
          <w:lang w:val="fr-CA"/>
        </w:rPr>
        <w:t>hotte à flux laminaire</w:t>
      </w:r>
      <w:r w:rsidR="0080593A">
        <w:rPr>
          <w:rFonts w:ascii="Arial" w:hAnsi="Arial"/>
          <w:sz w:val="24"/>
          <w:lang w:val="fr-CA"/>
        </w:rPr>
        <w:t xml:space="preserve"> ou endroit propre désigné</w:t>
      </w:r>
      <w:r w:rsidRPr="00B47877">
        <w:rPr>
          <w:rFonts w:ascii="Arial" w:hAnsi="Arial"/>
          <w:sz w:val="24"/>
          <w:lang w:val="fr-CA"/>
        </w:rPr>
        <w:br/>
      </w:r>
      <w:r w:rsidR="003C731B" w:rsidRPr="00B47877">
        <w:rPr>
          <w:rFonts w:ascii="Arial" w:hAnsi="Arial"/>
          <w:sz w:val="24"/>
          <w:lang w:val="fr-CA"/>
        </w:rPr>
        <w:tab/>
      </w:r>
      <w:r w:rsidR="003C731B" w:rsidRPr="00B47877">
        <w:rPr>
          <w:rFonts w:ascii="Arial" w:hAnsi="Arial"/>
          <w:sz w:val="24"/>
          <w:lang w:val="fr-CA"/>
        </w:rPr>
        <w:tab/>
      </w:r>
      <w:r w:rsidR="003C731B" w:rsidRPr="00B47877">
        <w:rPr>
          <w:rFonts w:ascii="Arial" w:hAnsi="Arial"/>
          <w:sz w:val="24"/>
          <w:lang w:val="fr-CA"/>
        </w:rPr>
        <w:tab/>
      </w:r>
    </w:p>
    <w:p w:rsidR="003C731B" w:rsidRPr="00B47877" w:rsidRDefault="00B47877" w:rsidP="0080593A">
      <w:pPr>
        <w:ind w:left="2835" w:hanging="2126"/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b/>
          <w:sz w:val="24"/>
          <w:lang w:val="fr-CA"/>
        </w:rPr>
        <w:t xml:space="preserve">Fournitures </w:t>
      </w:r>
      <w:r w:rsidR="003C731B" w:rsidRPr="00B47877">
        <w:rPr>
          <w:rFonts w:ascii="Arial" w:hAnsi="Arial"/>
          <w:b/>
          <w:sz w:val="24"/>
          <w:lang w:val="fr-CA"/>
        </w:rPr>
        <w:t>:</w:t>
      </w:r>
      <w:r w:rsidR="003C731B" w:rsidRPr="00B47877">
        <w:rPr>
          <w:rFonts w:ascii="Arial" w:hAnsi="Arial"/>
          <w:sz w:val="24"/>
          <w:lang w:val="fr-CA"/>
        </w:rPr>
        <w:tab/>
      </w:r>
      <w:r w:rsidR="0080593A">
        <w:rPr>
          <w:rFonts w:ascii="Arial" w:hAnsi="Arial"/>
          <w:sz w:val="24"/>
          <w:lang w:val="fr-CA"/>
        </w:rPr>
        <w:t xml:space="preserve">diluant ou autre </w:t>
      </w:r>
      <w:r w:rsidR="00BA4A20">
        <w:rPr>
          <w:rFonts w:ascii="Arial" w:hAnsi="Arial"/>
          <w:sz w:val="24"/>
          <w:lang w:val="fr-CA"/>
        </w:rPr>
        <w:t>recommandé</w:t>
      </w:r>
      <w:r w:rsidR="0080593A">
        <w:rPr>
          <w:rFonts w:ascii="Arial" w:hAnsi="Arial"/>
          <w:sz w:val="24"/>
          <w:lang w:val="fr-CA"/>
        </w:rPr>
        <w:t xml:space="preserve"> par </w:t>
      </w:r>
      <w:r w:rsidRPr="00B47877">
        <w:rPr>
          <w:rFonts w:ascii="Arial" w:hAnsi="Arial"/>
          <w:sz w:val="24"/>
          <w:lang w:val="fr-CA"/>
        </w:rPr>
        <w:t>le fabricant</w:t>
      </w:r>
      <w:r w:rsidR="0080593A">
        <w:rPr>
          <w:rFonts w:ascii="Arial" w:hAnsi="Arial"/>
          <w:sz w:val="24"/>
          <w:lang w:val="fr-CA"/>
        </w:rPr>
        <w:t xml:space="preserve"> (s’il n’est pas fourni avec le produit)</w:t>
      </w:r>
    </w:p>
    <w:p w:rsidR="003C731B" w:rsidRDefault="0080593A" w:rsidP="0080593A">
      <w:pPr>
        <w:ind w:left="2835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tampons</w:t>
      </w:r>
      <w:proofErr w:type="gramEnd"/>
      <w:r>
        <w:rPr>
          <w:rFonts w:ascii="Arial" w:hAnsi="Arial"/>
          <w:sz w:val="24"/>
          <w:lang w:val="fr-CA"/>
        </w:rPr>
        <w:t xml:space="preserve"> d’alcool</w:t>
      </w:r>
    </w:p>
    <w:p w:rsidR="008F26DA" w:rsidRPr="00B47877" w:rsidRDefault="008F26DA" w:rsidP="0080593A">
      <w:pPr>
        <w:ind w:left="2835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appareil</w:t>
      </w:r>
      <w:proofErr w:type="gramEnd"/>
      <w:r>
        <w:rPr>
          <w:rFonts w:ascii="Arial" w:hAnsi="Arial"/>
          <w:sz w:val="24"/>
          <w:lang w:val="fr-CA"/>
        </w:rPr>
        <w:t xml:space="preserve"> de reconstitution (fourni par le fabricant)</w:t>
      </w:r>
    </w:p>
    <w:p w:rsidR="003C731B" w:rsidRPr="00B47877" w:rsidRDefault="008F2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 w:type="page"/>
      </w:r>
    </w:p>
    <w:p w:rsidR="003C731B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47877">
        <w:rPr>
          <w:rFonts w:ascii="Arial" w:hAnsi="Arial"/>
          <w:b/>
          <w:sz w:val="28"/>
          <w:lang w:val="fr-CA"/>
        </w:rPr>
        <w:lastRenderedPageBreak/>
        <w:t>Contrôle de la qualité</w:t>
      </w:r>
      <w:r w:rsidR="008F26DA">
        <w:rPr>
          <w:rFonts w:ascii="Arial" w:hAnsi="Arial"/>
          <w:b/>
          <w:sz w:val="28"/>
          <w:lang w:val="fr-CA"/>
        </w:rPr>
        <w:br/>
      </w:r>
    </w:p>
    <w:p w:rsidR="008F26DA" w:rsidRDefault="008F26DA" w:rsidP="008F26DA">
      <w:pPr>
        <w:numPr>
          <w:ilvl w:val="1"/>
          <w:numId w:val="1"/>
        </w:numPr>
        <w:tabs>
          <w:tab w:val="clear" w:pos="1440"/>
          <w:tab w:val="num" w:pos="1288"/>
        </w:tabs>
        <w:ind w:left="1288" w:hanging="721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Des politiques, procédures et processus seront établis quant à l’utilisation des hottes à flux laminaire, comprenant</w:t>
      </w:r>
      <w:r>
        <w:rPr>
          <w:rFonts w:ascii="Arial" w:hAnsi="Arial"/>
          <w:sz w:val="24"/>
          <w:vertAlign w:val="superscript"/>
          <w:lang w:val="fr-CA"/>
        </w:rPr>
        <w:t>9.2</w:t>
      </w:r>
      <w:r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vertAlign w:val="superscript"/>
          <w:lang w:val="fr-CA"/>
        </w:rPr>
        <w:t> </w:t>
      </w:r>
    </w:p>
    <w:p w:rsidR="008F26DA" w:rsidRDefault="008F26DA" w:rsidP="008F26DA">
      <w:pPr>
        <w:numPr>
          <w:ilvl w:val="0"/>
          <w:numId w:val="11"/>
        </w:numPr>
        <w:tabs>
          <w:tab w:val="num" w:pos="1288"/>
        </w:tabs>
        <w:rPr>
          <w:rFonts w:ascii="Arial" w:hAnsi="Arial"/>
          <w:sz w:val="24"/>
          <w:lang w:val="fr-CA"/>
        </w:rPr>
      </w:pPr>
      <w:proofErr w:type="gramStart"/>
      <w:r w:rsidRPr="00E951C5">
        <w:rPr>
          <w:rFonts w:ascii="Arial" w:hAnsi="Arial"/>
          <w:sz w:val="24"/>
          <w:lang w:val="fr-CA"/>
        </w:rPr>
        <w:t>indications</w:t>
      </w:r>
      <w:proofErr w:type="gramEnd"/>
      <w:r w:rsidRPr="00E951C5">
        <w:rPr>
          <w:rFonts w:ascii="Arial" w:hAnsi="Arial"/>
          <w:sz w:val="24"/>
          <w:lang w:val="fr-CA"/>
        </w:rPr>
        <w:t xml:space="preserve"> approuvées</w:t>
      </w:r>
    </w:p>
    <w:p w:rsidR="008F26DA" w:rsidRDefault="008F26DA" w:rsidP="008F26DA">
      <w:pPr>
        <w:numPr>
          <w:ilvl w:val="0"/>
          <w:numId w:val="11"/>
        </w:numPr>
        <w:tabs>
          <w:tab w:val="num" w:pos="1288"/>
        </w:tabs>
        <w:rPr>
          <w:rFonts w:ascii="Arial" w:hAnsi="Arial"/>
          <w:sz w:val="24"/>
          <w:lang w:val="fr-CA"/>
        </w:rPr>
      </w:pPr>
      <w:proofErr w:type="gramStart"/>
      <w:r w:rsidRPr="00E951C5">
        <w:rPr>
          <w:rFonts w:ascii="Arial" w:hAnsi="Arial"/>
          <w:sz w:val="24"/>
          <w:lang w:val="fr-CA"/>
        </w:rPr>
        <w:t>directives</w:t>
      </w:r>
      <w:proofErr w:type="gramEnd"/>
      <w:r w:rsidRPr="00E951C5">
        <w:rPr>
          <w:rFonts w:ascii="Arial" w:hAnsi="Arial"/>
          <w:sz w:val="24"/>
          <w:lang w:val="fr-CA"/>
        </w:rPr>
        <w:t xml:space="preserve"> d’utilisation</w:t>
      </w:r>
    </w:p>
    <w:p w:rsidR="008F26DA" w:rsidRPr="00B47877" w:rsidRDefault="008F26DA" w:rsidP="008F26DA">
      <w:pPr>
        <w:numPr>
          <w:ilvl w:val="0"/>
          <w:numId w:val="11"/>
        </w:numPr>
        <w:rPr>
          <w:rFonts w:ascii="Arial" w:hAnsi="Arial"/>
          <w:b/>
          <w:sz w:val="28"/>
          <w:lang w:val="fr-CA"/>
        </w:rPr>
      </w:pPr>
      <w:proofErr w:type="gramStart"/>
      <w:r w:rsidRPr="00720ADC">
        <w:rPr>
          <w:rFonts w:ascii="Arial" w:hAnsi="Arial"/>
          <w:sz w:val="24"/>
          <w:lang w:val="fr-CA"/>
        </w:rPr>
        <w:t>décontamination</w:t>
      </w:r>
      <w:proofErr w:type="gramEnd"/>
      <w:r w:rsidRPr="00720ADC">
        <w:rPr>
          <w:rFonts w:ascii="Arial" w:hAnsi="Arial"/>
          <w:sz w:val="24"/>
          <w:lang w:val="fr-CA"/>
        </w:rPr>
        <w:t xml:space="preserve"> après chaque utilisation</w:t>
      </w:r>
    </w:p>
    <w:p w:rsidR="003C731B" w:rsidRPr="00B47877" w:rsidRDefault="003C731B">
      <w:pPr>
        <w:rPr>
          <w:rFonts w:ascii="Arial" w:hAnsi="Arial"/>
          <w:b/>
          <w:sz w:val="24"/>
          <w:lang w:val="fr-CA"/>
        </w:rPr>
      </w:pPr>
    </w:p>
    <w:p w:rsidR="003C731B" w:rsidRPr="00B47877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47877">
        <w:rPr>
          <w:rFonts w:ascii="Arial" w:hAnsi="Arial"/>
          <w:b/>
          <w:sz w:val="28"/>
          <w:lang w:val="fr-CA"/>
        </w:rPr>
        <w:t>Procédure</w:t>
      </w:r>
    </w:p>
    <w:p w:rsidR="003C731B" w:rsidRPr="00B47877" w:rsidRDefault="003C731B">
      <w:pPr>
        <w:rPr>
          <w:rFonts w:ascii="Arial" w:hAnsi="Arial"/>
          <w:b/>
          <w:sz w:val="24"/>
          <w:lang w:val="fr-CA"/>
        </w:rPr>
      </w:pPr>
    </w:p>
    <w:p w:rsidR="003C731B" w:rsidRPr="00B47877" w:rsidRDefault="003C731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>Pr</w:t>
      </w:r>
      <w:r w:rsidR="00B47877" w:rsidRPr="00B47877">
        <w:rPr>
          <w:rFonts w:ascii="Arial" w:hAnsi="Arial"/>
          <w:sz w:val="24"/>
          <w:lang w:val="fr-CA"/>
        </w:rPr>
        <w:t xml:space="preserve">éparer la hotte à flux laminaire ou l’endroit « propre » désigné. </w:t>
      </w:r>
      <w:r w:rsidR="00B47877" w:rsidRPr="00B47877">
        <w:rPr>
          <w:rFonts w:ascii="Arial" w:hAnsi="Arial"/>
          <w:sz w:val="24"/>
          <w:lang w:val="fr-CA"/>
        </w:rPr>
        <w:br/>
      </w: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>Sortir d</w:t>
      </w:r>
      <w:r w:rsidR="0080593A">
        <w:rPr>
          <w:rFonts w:ascii="Arial" w:hAnsi="Arial"/>
          <w:sz w:val="24"/>
          <w:lang w:val="fr-CA"/>
        </w:rPr>
        <w:t>u stock</w:t>
      </w:r>
      <w:r w:rsidRPr="00B47877">
        <w:rPr>
          <w:rFonts w:ascii="Arial" w:hAnsi="Arial"/>
          <w:sz w:val="24"/>
          <w:lang w:val="fr-CA"/>
        </w:rPr>
        <w:t xml:space="preserve"> le produit à reconstituer</w:t>
      </w:r>
      <w:r w:rsidR="003C731B" w:rsidRPr="00B47877">
        <w:rPr>
          <w:rFonts w:ascii="Arial" w:hAnsi="Arial"/>
          <w:sz w:val="24"/>
          <w:lang w:val="fr-CA"/>
        </w:rPr>
        <w:t>.</w:t>
      </w:r>
    </w:p>
    <w:p w:rsidR="003C731B" w:rsidRPr="00B47877" w:rsidRDefault="003C731B">
      <w:pPr>
        <w:rPr>
          <w:rFonts w:ascii="Arial" w:hAnsi="Arial"/>
          <w:sz w:val="24"/>
          <w:lang w:val="fr-CA"/>
        </w:rPr>
      </w:pPr>
    </w:p>
    <w:p w:rsidR="003C731B" w:rsidRPr="00B47877" w:rsidRDefault="003C731B" w:rsidP="00D364DB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>R</w:t>
      </w:r>
      <w:r w:rsidR="00B47877" w:rsidRPr="00B47877">
        <w:rPr>
          <w:rFonts w:ascii="Arial" w:hAnsi="Arial"/>
          <w:sz w:val="24"/>
          <w:lang w:val="fr-CA"/>
        </w:rPr>
        <w:t>écupérer la documentation contenue dans l’emballage du produit</w:t>
      </w:r>
      <w:r w:rsidRPr="00B47877">
        <w:rPr>
          <w:rFonts w:ascii="Arial" w:hAnsi="Arial"/>
          <w:sz w:val="24"/>
          <w:lang w:val="fr-CA"/>
        </w:rPr>
        <w:t xml:space="preserve">. </w:t>
      </w:r>
      <w:r w:rsidR="00D364DB" w:rsidRPr="00B47877">
        <w:rPr>
          <w:rFonts w:ascii="Arial" w:hAnsi="Arial"/>
          <w:sz w:val="24"/>
          <w:lang w:val="fr-CA"/>
        </w:rPr>
        <w:t>Voir la Remarque 8.1.</w:t>
      </w:r>
    </w:p>
    <w:p w:rsidR="003C731B" w:rsidRPr="00B47877" w:rsidRDefault="003C731B">
      <w:pPr>
        <w:rPr>
          <w:rFonts w:ascii="Arial" w:hAnsi="Arial"/>
          <w:sz w:val="24"/>
          <w:lang w:val="fr-CA"/>
        </w:rPr>
      </w:pP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 xml:space="preserve">Suivre les directives décrites dans la section </w:t>
      </w:r>
      <w:r w:rsidR="003C731B" w:rsidRPr="0080593A">
        <w:rPr>
          <w:rFonts w:ascii="Arial" w:hAnsi="Arial"/>
          <w:sz w:val="24"/>
          <w:lang w:val="fr-CA"/>
        </w:rPr>
        <w:t>Reconstitution</w:t>
      </w:r>
      <w:r w:rsidR="003C731B" w:rsidRPr="00B47877">
        <w:rPr>
          <w:rFonts w:ascii="Arial" w:hAnsi="Arial"/>
          <w:sz w:val="24"/>
          <w:lang w:val="fr-CA"/>
        </w:rPr>
        <w:t xml:space="preserve"> </w:t>
      </w:r>
      <w:r w:rsidRPr="00B47877">
        <w:rPr>
          <w:rFonts w:ascii="Arial" w:hAnsi="Arial"/>
          <w:sz w:val="24"/>
          <w:lang w:val="fr-CA"/>
        </w:rPr>
        <w:t>de la documentation</w:t>
      </w:r>
      <w:r w:rsidR="003C731B" w:rsidRPr="00B47877">
        <w:rPr>
          <w:rFonts w:ascii="Arial" w:hAnsi="Arial"/>
          <w:sz w:val="24"/>
          <w:lang w:val="fr-CA"/>
        </w:rPr>
        <w:t>.</w:t>
      </w:r>
    </w:p>
    <w:p w:rsidR="003C731B" w:rsidRPr="00B47877" w:rsidRDefault="003C731B">
      <w:pPr>
        <w:rPr>
          <w:rFonts w:ascii="Arial" w:hAnsi="Arial"/>
          <w:sz w:val="24"/>
          <w:lang w:val="fr-CA"/>
        </w:rPr>
      </w:pP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>Porter une attention particulière aux directives de mélange, p. ex. faire tourner doucement, ne pas agiter la fiole</w:t>
      </w:r>
      <w:r w:rsidR="003C731B" w:rsidRPr="00B47877">
        <w:rPr>
          <w:rFonts w:ascii="Arial" w:hAnsi="Arial"/>
          <w:sz w:val="24"/>
          <w:lang w:val="fr-CA"/>
        </w:rPr>
        <w:t>.</w:t>
      </w:r>
    </w:p>
    <w:p w:rsidR="003C731B" w:rsidRPr="00B47877" w:rsidRDefault="003C731B">
      <w:pPr>
        <w:ind w:left="720"/>
        <w:rPr>
          <w:rFonts w:ascii="Arial" w:hAnsi="Arial"/>
          <w:sz w:val="24"/>
          <w:lang w:val="fr-CA"/>
        </w:rPr>
      </w:pPr>
    </w:p>
    <w:p w:rsidR="003C731B" w:rsidRPr="00B4787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B47877">
        <w:rPr>
          <w:rFonts w:ascii="Arial" w:hAnsi="Arial"/>
          <w:sz w:val="24"/>
          <w:lang w:val="fr-CA"/>
        </w:rPr>
        <w:t>Suivre les directives d’entreposage du fabricant après la reconstitution si le produit n’est pas immédiatement mis en circulation et transfusé</w:t>
      </w:r>
      <w:r w:rsidR="003C731B" w:rsidRPr="00B47877">
        <w:rPr>
          <w:rFonts w:ascii="Arial" w:hAnsi="Arial"/>
          <w:sz w:val="24"/>
          <w:lang w:val="fr-CA"/>
        </w:rPr>
        <w:t>.</w:t>
      </w:r>
    </w:p>
    <w:p w:rsidR="003C731B" w:rsidRPr="00B47877" w:rsidRDefault="003C731B">
      <w:pPr>
        <w:ind w:left="720"/>
        <w:rPr>
          <w:rFonts w:ascii="Arial" w:hAnsi="Arial"/>
          <w:sz w:val="24"/>
          <w:lang w:val="fr-CA"/>
        </w:rPr>
      </w:pPr>
    </w:p>
    <w:p w:rsidR="003C731B" w:rsidRPr="00B47877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47877">
        <w:rPr>
          <w:rFonts w:ascii="Arial" w:hAnsi="Arial"/>
          <w:b/>
          <w:sz w:val="28"/>
          <w:lang w:val="fr-CA"/>
        </w:rPr>
        <w:t>Documentation - S.O</w:t>
      </w:r>
      <w:r w:rsidR="00BA4A20">
        <w:rPr>
          <w:rFonts w:ascii="Arial" w:hAnsi="Arial"/>
          <w:b/>
          <w:sz w:val="28"/>
          <w:lang w:val="fr-CA"/>
        </w:rPr>
        <w:t>.</w:t>
      </w:r>
    </w:p>
    <w:p w:rsidR="003C731B" w:rsidRPr="00B47877" w:rsidRDefault="003C731B">
      <w:pPr>
        <w:ind w:left="720"/>
        <w:rPr>
          <w:rFonts w:ascii="Arial" w:hAnsi="Arial"/>
          <w:sz w:val="24"/>
          <w:lang w:val="fr-CA"/>
        </w:rPr>
      </w:pPr>
    </w:p>
    <w:p w:rsidR="003C731B" w:rsidRPr="000240F7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240F7">
        <w:rPr>
          <w:rFonts w:ascii="Arial" w:hAnsi="Arial"/>
          <w:b/>
          <w:sz w:val="28"/>
          <w:lang w:val="fr-CA"/>
        </w:rPr>
        <w:t>Remarques</w:t>
      </w:r>
    </w:p>
    <w:p w:rsidR="003C731B" w:rsidRPr="000240F7" w:rsidRDefault="003C731B">
      <w:pPr>
        <w:rPr>
          <w:rFonts w:ascii="Arial" w:hAnsi="Arial"/>
          <w:sz w:val="24"/>
          <w:lang w:val="fr-CA"/>
        </w:rPr>
      </w:pPr>
    </w:p>
    <w:p w:rsidR="003C731B" w:rsidRPr="000240F7" w:rsidRDefault="00B4787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0240F7">
        <w:rPr>
          <w:rFonts w:ascii="Arial" w:hAnsi="Arial"/>
          <w:sz w:val="24"/>
          <w:lang w:val="fr-CA"/>
        </w:rPr>
        <w:t>Les fabricants peuvent apporter des modifications</w:t>
      </w:r>
      <w:r w:rsidR="00F43A11" w:rsidRPr="00F43A11">
        <w:rPr>
          <w:rFonts w:ascii="Arial" w:hAnsi="Arial"/>
          <w:sz w:val="24"/>
          <w:lang w:val="fr-CA"/>
        </w:rPr>
        <w:t xml:space="preserve"> </w:t>
      </w:r>
      <w:r w:rsidR="00F43A11" w:rsidRPr="000240F7">
        <w:rPr>
          <w:rFonts w:ascii="Arial" w:hAnsi="Arial"/>
          <w:sz w:val="24"/>
          <w:lang w:val="fr-CA"/>
        </w:rPr>
        <w:t>à la documentation</w:t>
      </w:r>
      <w:r w:rsidR="000240F7" w:rsidRPr="000240F7">
        <w:rPr>
          <w:rFonts w:ascii="Arial" w:hAnsi="Arial"/>
          <w:sz w:val="24"/>
          <w:lang w:val="fr-CA"/>
        </w:rPr>
        <w:t>. Ne jamais se servir de documents antérieurs mis en dossier</w:t>
      </w:r>
      <w:r w:rsidR="003C731B" w:rsidRPr="000240F7">
        <w:rPr>
          <w:rFonts w:ascii="Arial" w:hAnsi="Arial"/>
          <w:sz w:val="24"/>
          <w:lang w:val="fr-CA"/>
        </w:rPr>
        <w:t xml:space="preserve">. </w:t>
      </w:r>
      <w:r w:rsidR="000240F7" w:rsidRPr="000240F7">
        <w:rPr>
          <w:rFonts w:ascii="Arial" w:hAnsi="Arial"/>
          <w:sz w:val="24"/>
          <w:lang w:val="fr-CA"/>
        </w:rPr>
        <w:t xml:space="preserve">Trouver </w:t>
      </w:r>
      <w:r w:rsidR="0080593A">
        <w:rPr>
          <w:rFonts w:ascii="Arial" w:hAnsi="Arial"/>
          <w:sz w:val="24"/>
          <w:lang w:val="fr-CA"/>
        </w:rPr>
        <w:t>la</w:t>
      </w:r>
      <w:r w:rsidR="000240F7" w:rsidRPr="000240F7">
        <w:rPr>
          <w:rFonts w:ascii="Arial" w:hAnsi="Arial"/>
          <w:sz w:val="24"/>
          <w:lang w:val="fr-CA"/>
        </w:rPr>
        <w:t xml:space="preserve"> documentation tirée du produit ou lot courant et suivre les instructions qui y figurent sur la reconstitution et l’entreposage subséquent du produit. </w:t>
      </w:r>
      <w:r w:rsidR="000240F7" w:rsidRPr="000240F7">
        <w:rPr>
          <w:rFonts w:ascii="Arial" w:hAnsi="Arial"/>
          <w:sz w:val="24"/>
          <w:lang w:val="fr-CA"/>
        </w:rPr>
        <w:br/>
      </w:r>
    </w:p>
    <w:p w:rsidR="003C731B" w:rsidRPr="000240F7" w:rsidRDefault="00D364DB" w:rsidP="00D364DB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240F7">
        <w:rPr>
          <w:rFonts w:ascii="Arial" w:hAnsi="Arial"/>
          <w:b/>
          <w:sz w:val="28"/>
          <w:lang w:val="fr-CA"/>
        </w:rPr>
        <w:t>Références</w:t>
      </w:r>
    </w:p>
    <w:p w:rsidR="003C731B" w:rsidRPr="000240F7" w:rsidRDefault="003C731B">
      <w:pPr>
        <w:rPr>
          <w:rFonts w:ascii="Arial" w:hAnsi="Arial"/>
          <w:sz w:val="24"/>
          <w:lang w:val="fr-CA"/>
        </w:rPr>
      </w:pPr>
    </w:p>
    <w:p w:rsidR="003C731B" w:rsidRDefault="00E43A25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Consulter</w:t>
      </w:r>
      <w:r w:rsidR="00B47877" w:rsidRPr="000240F7">
        <w:rPr>
          <w:rFonts w:ascii="Arial" w:hAnsi="Arial"/>
          <w:sz w:val="24"/>
          <w:lang w:val="fr-CA"/>
        </w:rPr>
        <w:t xml:space="preserve"> la documentation courante qui accompagne les produits</w:t>
      </w:r>
      <w:r w:rsidR="003C731B" w:rsidRPr="000240F7">
        <w:rPr>
          <w:rFonts w:ascii="Arial" w:hAnsi="Arial"/>
          <w:sz w:val="24"/>
          <w:lang w:val="fr-CA"/>
        </w:rPr>
        <w:t>.</w:t>
      </w:r>
      <w:r w:rsidR="00F43A11">
        <w:rPr>
          <w:rFonts w:ascii="Arial" w:hAnsi="Arial"/>
          <w:sz w:val="24"/>
          <w:lang w:val="fr-CA"/>
        </w:rPr>
        <w:br/>
      </w:r>
    </w:p>
    <w:p w:rsidR="00150AB3" w:rsidRDefault="00150AB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Pr="00A71A86">
        <w:rPr>
          <w:rFonts w:ascii="Arial" w:hAnsi="Arial"/>
          <w:i/>
          <w:sz w:val="24"/>
          <w:szCs w:val="24"/>
          <w:lang w:val="fr-CA"/>
        </w:rPr>
        <w:t>Standards for Hospital Transfusion Services</w:t>
      </w:r>
      <w:r w:rsidRPr="00A71A86">
        <w:rPr>
          <w:rFonts w:ascii="Arial" w:hAnsi="Arial"/>
          <w:sz w:val="24"/>
          <w:szCs w:val="24"/>
          <w:lang w:val="fr-CA"/>
        </w:rPr>
        <w:t xml:space="preserve">, version 3, février 2011, Société canadienne de médecine transfusionnelle : </w:t>
      </w:r>
      <w:r>
        <w:rPr>
          <w:rFonts w:ascii="Arial" w:hAnsi="Arial"/>
          <w:sz w:val="24"/>
          <w:szCs w:val="24"/>
          <w:lang w:val="fr-CA"/>
        </w:rPr>
        <w:t>3</w:t>
      </w:r>
      <w:r w:rsidRPr="005E70D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3</w:t>
      </w:r>
      <w:r w:rsidRPr="005E70D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5</w:t>
      </w:r>
      <w:r w:rsidRPr="005E70DD">
        <w:rPr>
          <w:rFonts w:ascii="Arial" w:hAnsi="Arial"/>
          <w:sz w:val="24"/>
        </w:rPr>
        <w:t>.1</w:t>
      </w:r>
    </w:p>
    <w:p w:rsidR="00150AB3" w:rsidRDefault="00150AB3" w:rsidP="00150AB3">
      <w:pPr>
        <w:ind w:left="1440"/>
        <w:rPr>
          <w:rFonts w:ascii="Arial" w:hAnsi="Arial"/>
          <w:sz w:val="24"/>
          <w:lang w:val="fr-CA"/>
        </w:rPr>
      </w:pPr>
    </w:p>
    <w:p w:rsidR="00150AB3" w:rsidRPr="0076251F" w:rsidRDefault="00150AB3" w:rsidP="00150AB3">
      <w:pPr>
        <w:spacing w:line="228" w:lineRule="auto"/>
        <w:ind w:left="720" w:hanging="720"/>
        <w:rPr>
          <w:b/>
          <w:lang w:val="fr-CA"/>
        </w:rPr>
      </w:pPr>
      <w:r>
        <w:rPr>
          <w:rFonts w:ascii="Arial" w:hAnsi="Arial" w:cs="Arial"/>
          <w:b/>
          <w:sz w:val="28"/>
          <w:lang w:val="fr-CA"/>
        </w:rPr>
        <w:t>10.0</w:t>
      </w:r>
      <w:r>
        <w:rPr>
          <w:rFonts w:ascii="Arial" w:hAnsi="Arial" w:cs="Arial"/>
          <w:b/>
          <w:sz w:val="28"/>
          <w:lang w:val="fr-CA"/>
        </w:rPr>
        <w:tab/>
      </w:r>
      <w:r w:rsidRPr="00167058">
        <w:rPr>
          <w:rFonts w:ascii="Arial" w:hAnsi="Arial" w:cs="Arial"/>
          <w:b/>
          <w:sz w:val="28"/>
          <w:lang w:val="fr-CA"/>
        </w:rPr>
        <w:t>Suivi des révisions</w:t>
      </w:r>
    </w:p>
    <w:p w:rsidR="00150AB3" w:rsidRPr="0076251F" w:rsidRDefault="00150AB3" w:rsidP="00150AB3">
      <w:pPr>
        <w:ind w:left="720"/>
        <w:jc w:val="center"/>
        <w:rPr>
          <w:rFonts w:ascii="Arial" w:hAnsi="Arial" w:cs="Arial"/>
          <w:b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6433"/>
      </w:tblGrid>
      <w:tr w:rsidR="00150AB3" w:rsidRPr="0076251F" w:rsidTr="009364C0">
        <w:tc>
          <w:tcPr>
            <w:tcW w:w="2235" w:type="dxa"/>
            <w:shd w:val="clear" w:color="auto" w:fill="F2F2F2"/>
          </w:tcPr>
          <w:p w:rsidR="00150AB3" w:rsidRPr="0076251F" w:rsidRDefault="00150AB3" w:rsidP="009364C0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150AB3" w:rsidRPr="0076251F" w:rsidRDefault="00150AB3" w:rsidP="009364C0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150AB3" w:rsidRPr="0076251F" w:rsidTr="00F43A11">
        <w:trPr>
          <w:trHeight w:val="1198"/>
        </w:trPr>
        <w:tc>
          <w:tcPr>
            <w:tcW w:w="2235" w:type="dxa"/>
            <w:shd w:val="clear" w:color="auto" w:fill="auto"/>
          </w:tcPr>
          <w:p w:rsidR="00150AB3" w:rsidRPr="0076251F" w:rsidRDefault="00150AB3" w:rsidP="009364C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Pr="0076251F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er 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septembre 2014</w:t>
            </w:r>
          </w:p>
        </w:tc>
        <w:tc>
          <w:tcPr>
            <w:tcW w:w="6621" w:type="dxa"/>
            <w:shd w:val="clear" w:color="auto" w:fill="auto"/>
          </w:tcPr>
          <w:p w:rsidR="00150AB3" w:rsidRDefault="00150AB3" w:rsidP="00150AB3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F43A11" w:rsidRDefault="00F43A11" w:rsidP="00F43A11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Mention de l’emploi d’une hotte à flux laminaire dans la section 5.0</w:t>
            </w:r>
          </w:p>
          <w:p w:rsidR="00150AB3" w:rsidRPr="0076251F" w:rsidRDefault="00150AB3" w:rsidP="00F43A11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Mise à jour de toutes les références</w:t>
            </w:r>
          </w:p>
        </w:tc>
      </w:tr>
    </w:tbl>
    <w:p w:rsidR="00150AB3" w:rsidRPr="000240F7" w:rsidRDefault="00150AB3" w:rsidP="00150AB3">
      <w:pPr>
        <w:ind w:left="1440"/>
        <w:rPr>
          <w:rFonts w:ascii="Arial" w:hAnsi="Arial"/>
          <w:sz w:val="24"/>
          <w:lang w:val="fr-CA"/>
        </w:rPr>
      </w:pPr>
    </w:p>
    <w:sectPr w:rsidR="00150AB3" w:rsidRPr="000240F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E7" w:rsidRDefault="00845DE7">
      <w:r>
        <w:separator/>
      </w:r>
    </w:p>
  </w:endnote>
  <w:endnote w:type="continuationSeparator" w:id="0">
    <w:p w:rsidR="00845DE7" w:rsidRDefault="008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B47877">
      <w:trPr>
        <w:trHeight w:val="720"/>
      </w:trPr>
      <w:tc>
        <w:tcPr>
          <w:tcW w:w="1368" w:type="dxa"/>
        </w:tcPr>
        <w:p w:rsidR="00B47877" w:rsidRDefault="00B47877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47877" w:rsidRDefault="002E4A9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C226F" w:rsidRPr="00B21691" w:rsidRDefault="009C226F" w:rsidP="009C226F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B47877" w:rsidRDefault="00A35EAF" w:rsidP="009C226F">
          <w:pPr>
            <w:pStyle w:val="Footer"/>
            <w:jc w:val="center"/>
            <w:rPr>
              <w:rFonts w:ascii="Arial" w:hAnsi="Arial"/>
              <w:sz w:val="18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  <w:r w:rsidR="009C226F" w:rsidRPr="00B21691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B47877" w:rsidRDefault="00B47877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B47877" w:rsidRDefault="00B47877" w:rsidP="00A35EA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CCP.0</w:t>
          </w:r>
          <w:r w:rsidR="00A35EAF">
            <w:rPr>
              <w:rFonts w:ascii="Arial" w:hAnsi="Arial"/>
              <w:sz w:val="18"/>
            </w:rPr>
            <w:t>11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A2F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A2F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47877" w:rsidRDefault="00B4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B47877">
      <w:trPr>
        <w:trHeight w:val="720"/>
      </w:trPr>
      <w:tc>
        <w:tcPr>
          <w:tcW w:w="1368" w:type="dxa"/>
        </w:tcPr>
        <w:p w:rsidR="00B47877" w:rsidRDefault="00B47877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47877" w:rsidRDefault="002E4A9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B47877" w:rsidRDefault="00B47877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B47877" w:rsidRDefault="00A35EAF" w:rsidP="00A35EAF">
          <w:pPr>
            <w:pStyle w:val="Footer"/>
            <w:jc w:val="center"/>
            <w:rPr>
              <w:rFonts w:ascii="Arial" w:hAnsi="Arial"/>
              <w:sz w:val="18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</w:tc>
      <w:tc>
        <w:tcPr>
          <w:tcW w:w="1494" w:type="dxa"/>
        </w:tcPr>
        <w:p w:rsidR="00B47877" w:rsidRDefault="00B47877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B47877" w:rsidRDefault="00B47877" w:rsidP="00A35EAF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CCP.</w:t>
          </w:r>
          <w:r w:rsidR="009C226F">
            <w:rPr>
              <w:rFonts w:ascii="Arial" w:hAnsi="Arial"/>
              <w:sz w:val="18"/>
            </w:rPr>
            <w:t>0</w:t>
          </w:r>
          <w:r w:rsidR="00A35EAF">
            <w:rPr>
              <w:rFonts w:ascii="Arial" w:hAnsi="Arial"/>
              <w:sz w:val="18"/>
            </w:rPr>
            <w:t>11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A2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A2F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47877" w:rsidRDefault="00B4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E7" w:rsidRDefault="00845DE7">
      <w:r>
        <w:separator/>
      </w:r>
    </w:p>
  </w:footnote>
  <w:footnote w:type="continuationSeparator" w:id="0">
    <w:p w:rsidR="00845DE7" w:rsidRDefault="0084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877" w:rsidRPr="00B47877" w:rsidRDefault="00B47877" w:rsidP="00D364DB">
    <w:pPr>
      <w:pStyle w:val="Header"/>
      <w:jc w:val="center"/>
      <w:rPr>
        <w:rFonts w:ascii="Arial" w:hAnsi="Arial"/>
        <w:b/>
        <w:sz w:val="28"/>
      </w:rPr>
    </w:pPr>
    <w:r w:rsidRPr="00B47877">
      <w:rPr>
        <w:rFonts w:ascii="Arial" w:hAnsi="Arial"/>
        <w:b/>
        <w:sz w:val="28"/>
      </w:rPr>
      <w:t xml:space="preserve">Reconstitution de </w:t>
    </w:r>
    <w:proofErr w:type="spellStart"/>
    <w:r w:rsidRPr="00B47877">
      <w:rPr>
        <w:rFonts w:ascii="Arial" w:hAnsi="Arial"/>
        <w:b/>
        <w:sz w:val="28"/>
      </w:rPr>
      <w:t>produits</w:t>
    </w:r>
    <w:proofErr w:type="spellEnd"/>
    <w:r w:rsidRPr="00B47877">
      <w:rPr>
        <w:rFonts w:ascii="Arial" w:hAnsi="Arial"/>
        <w:b/>
        <w:sz w:val="28"/>
      </w:rPr>
      <w:t xml:space="preserve"> </w:t>
    </w:r>
    <w:proofErr w:type="spellStart"/>
    <w:r w:rsidRPr="00B47877">
      <w:rPr>
        <w:rFonts w:ascii="Arial" w:hAnsi="Arial"/>
        <w:b/>
        <w:sz w:val="28"/>
      </w:rPr>
      <w:t>lyophilisés</w:t>
    </w:r>
    <w:proofErr w:type="spellEnd"/>
    <w:r w:rsidRPr="00B47877">
      <w:rPr>
        <w:rFonts w:ascii="Arial" w:hAnsi="Arial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877" w:rsidRPr="00436E18" w:rsidRDefault="002E4A9D">
    <w:pPr>
      <w:pStyle w:val="Header"/>
      <w:rPr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EAF" w:rsidRPr="00312411" w:rsidRDefault="00A35EAF" w:rsidP="00A35EA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B47877" w:rsidRDefault="00A35EAF" w:rsidP="00A35EAF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A35EAF" w:rsidRPr="00436E18" w:rsidRDefault="00A35EAF" w:rsidP="00A35EAF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B47877" w:rsidRPr="00436E18" w:rsidRDefault="00B47877" w:rsidP="00436E18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  <w:r w:rsidRPr="00436E18">
      <w:rPr>
        <w:rFonts w:ascii="Arial" w:hAnsi="Arial"/>
        <w:b/>
        <w:sz w:val="28"/>
        <w:lang w:val="fr-CA"/>
      </w:rPr>
      <w:t>Reconstitution de produits lyophilisés</w:t>
    </w:r>
  </w:p>
  <w:p w:rsidR="00B47877" w:rsidRPr="00436E18" w:rsidRDefault="00B47877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</w:p>
  <w:p w:rsidR="00B47877" w:rsidRPr="00436E18" w:rsidRDefault="00B47877">
    <w:pPr>
      <w:pStyle w:val="Header"/>
      <w:tabs>
        <w:tab w:val="left" w:pos="6617"/>
      </w:tabs>
      <w:rPr>
        <w:rFonts w:ascii="Arial" w:hAnsi="Arial" w:cs="Arial"/>
        <w:b/>
        <w:bCs/>
        <w:lang w:val="fr-CA"/>
      </w:rPr>
    </w:pPr>
    <w:r w:rsidRPr="00436E18">
      <w:rPr>
        <w:rFonts w:ascii="Arial" w:hAnsi="Arial" w:cs="Arial"/>
        <w:b/>
        <w:bCs/>
        <w:lang w:val="fr-CA"/>
      </w:rPr>
      <w:tab/>
    </w:r>
    <w:r w:rsidR="002E4A9D" w:rsidRPr="00436E18">
      <w:rPr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6BE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8838" w:type="dxa"/>
      <w:tblLook w:val="0000" w:firstRow="0" w:lastRow="0" w:firstColumn="0" w:lastColumn="0" w:noHBand="0" w:noVBand="0"/>
    </w:tblPr>
    <w:tblGrid>
      <w:gridCol w:w="4248"/>
      <w:gridCol w:w="4590"/>
    </w:tblGrid>
    <w:tr w:rsidR="00B47877" w:rsidRPr="00436E18">
      <w:tc>
        <w:tcPr>
          <w:tcW w:w="4248" w:type="dxa"/>
        </w:tcPr>
        <w:p w:rsidR="00B47877" w:rsidRPr="00436E18" w:rsidRDefault="00B47877" w:rsidP="00A35EAF">
          <w:pPr>
            <w:pStyle w:val="Header"/>
            <w:rPr>
              <w:rFonts w:ascii="Arial" w:hAnsi="Arial" w:cs="Arial"/>
              <w:lang w:val="fr-CA"/>
            </w:rPr>
          </w:pPr>
          <w:r w:rsidRPr="00436E18">
            <w:rPr>
              <w:rFonts w:ascii="Arial" w:hAnsi="Arial" w:cs="Arial"/>
              <w:lang w:val="fr-CA"/>
            </w:rPr>
            <w:t>Approbation :</w:t>
          </w:r>
          <w:r w:rsidR="009B4022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590" w:type="dxa"/>
        </w:tcPr>
        <w:p w:rsidR="00B47877" w:rsidRPr="00436E18" w:rsidRDefault="00B47877" w:rsidP="00A35EAF">
          <w:pPr>
            <w:pStyle w:val="Header"/>
            <w:rPr>
              <w:rFonts w:ascii="Arial" w:hAnsi="Arial" w:cs="Arial"/>
              <w:lang w:val="fr-CA"/>
            </w:rPr>
          </w:pPr>
          <w:r w:rsidRPr="00436E18">
            <w:rPr>
              <w:rFonts w:ascii="Arial" w:hAnsi="Arial" w:cs="Arial"/>
              <w:lang w:val="fr-CA"/>
            </w:rPr>
            <w:t>Document n</w:t>
          </w:r>
          <w:r w:rsidRPr="00436E18">
            <w:rPr>
              <w:rFonts w:ascii="Arial" w:hAnsi="Arial" w:cs="Arial"/>
              <w:vertAlign w:val="superscript"/>
              <w:lang w:val="fr-CA"/>
            </w:rPr>
            <w:t xml:space="preserve">o </w:t>
          </w:r>
          <w:r w:rsidRPr="00436E18">
            <w:rPr>
              <w:rFonts w:ascii="Arial" w:hAnsi="Arial" w:cs="Arial"/>
              <w:lang w:val="fr-CA"/>
            </w:rPr>
            <w:t>: CCP.0</w:t>
          </w:r>
          <w:r w:rsidR="00A35EAF">
            <w:rPr>
              <w:rFonts w:ascii="Arial" w:hAnsi="Arial" w:cs="Arial"/>
              <w:lang w:val="fr-CA"/>
            </w:rPr>
            <w:t>11</w:t>
          </w:r>
        </w:p>
      </w:tc>
    </w:tr>
    <w:tr w:rsidR="00B47877" w:rsidRPr="00436E18">
      <w:tc>
        <w:tcPr>
          <w:tcW w:w="4248" w:type="dxa"/>
        </w:tcPr>
        <w:p w:rsidR="00B47877" w:rsidRPr="00436E18" w:rsidRDefault="00B47877" w:rsidP="00436E18">
          <w:pPr>
            <w:pStyle w:val="Header"/>
            <w:rPr>
              <w:rFonts w:ascii="Arial" w:hAnsi="Arial" w:cs="Arial"/>
              <w:lang w:val="fr-CA"/>
            </w:rPr>
          </w:pPr>
          <w:r w:rsidRPr="00436E18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590" w:type="dxa"/>
        </w:tcPr>
        <w:p w:rsidR="00B47877" w:rsidRPr="00436E18" w:rsidRDefault="00B47877" w:rsidP="00436E18">
          <w:pPr>
            <w:pStyle w:val="Header"/>
            <w:rPr>
              <w:rFonts w:ascii="Arial" w:hAnsi="Arial" w:cs="Arial"/>
              <w:lang w:val="fr-CA"/>
            </w:rPr>
          </w:pPr>
          <w:r w:rsidRPr="00436E18">
            <w:rPr>
              <w:rFonts w:ascii="Arial" w:hAnsi="Arial" w:cs="Arial"/>
              <w:lang w:val="fr-CA"/>
            </w:rPr>
            <w:t>Catégorie : Choix des composants et préparation</w:t>
          </w:r>
        </w:p>
      </w:tc>
    </w:tr>
    <w:tr w:rsidR="00B47877" w:rsidRPr="00436E18">
      <w:tc>
        <w:tcPr>
          <w:tcW w:w="4248" w:type="dxa"/>
        </w:tcPr>
        <w:p w:rsidR="00B47877" w:rsidRPr="00436E18" w:rsidRDefault="00B47877" w:rsidP="00436E18">
          <w:pPr>
            <w:pStyle w:val="Header"/>
            <w:rPr>
              <w:rFonts w:ascii="Arial" w:hAnsi="Arial" w:cs="Arial"/>
              <w:lang w:val="fr-CA"/>
            </w:rPr>
          </w:pPr>
          <w:r w:rsidRPr="00436E18">
            <w:rPr>
              <w:rFonts w:ascii="Arial" w:hAnsi="Arial" w:cs="Arial"/>
              <w:lang w:val="fr-CA"/>
            </w:rPr>
            <w:t>Date de révision :</w:t>
          </w:r>
          <w:r w:rsidR="009B4022">
            <w:rPr>
              <w:rFonts w:ascii="Arial" w:hAnsi="Arial" w:cs="Arial"/>
              <w:lang w:val="fr-CA"/>
            </w:rPr>
            <w:t xml:space="preserve"> 2009/12/31</w:t>
          </w:r>
          <w:r w:rsidR="00A35EAF">
            <w:rPr>
              <w:rFonts w:ascii="Arial" w:hAnsi="Arial" w:cs="Arial"/>
              <w:lang w:val="fr-CA"/>
            </w:rPr>
            <w:t>;2014/09/01</w:t>
          </w:r>
        </w:p>
      </w:tc>
      <w:tc>
        <w:tcPr>
          <w:tcW w:w="4590" w:type="dxa"/>
        </w:tcPr>
        <w:p w:rsidR="00B47877" w:rsidRPr="00436E18" w:rsidRDefault="00B47877">
          <w:pPr>
            <w:pStyle w:val="Header"/>
            <w:rPr>
              <w:rFonts w:ascii="Arial" w:hAnsi="Arial" w:cs="Arial"/>
              <w:lang w:val="fr-CA"/>
            </w:rPr>
          </w:pPr>
          <w:r w:rsidRPr="00436E18">
            <w:rPr>
              <w:rFonts w:ascii="Arial" w:hAnsi="Arial" w:cs="Arial"/>
              <w:lang w:val="fr-CA"/>
            </w:rPr>
            <w:t xml:space="preserve">Pages : </w:t>
          </w:r>
          <w:r w:rsidRPr="00436E18">
            <w:rPr>
              <w:rFonts w:ascii="Arial" w:hAnsi="Arial" w:cs="Arial"/>
              <w:lang w:val="fr-CA"/>
            </w:rPr>
            <w:fldChar w:fldCharType="begin"/>
          </w:r>
          <w:r w:rsidRPr="00436E18">
            <w:rPr>
              <w:rFonts w:ascii="Arial" w:hAnsi="Arial" w:cs="Arial"/>
              <w:lang w:val="fr-CA"/>
            </w:rPr>
            <w:instrText xml:space="preserve"> NUMPAGES </w:instrText>
          </w:r>
          <w:r w:rsidRPr="00436E18">
            <w:rPr>
              <w:rFonts w:ascii="Arial" w:hAnsi="Arial" w:cs="Arial"/>
              <w:lang w:val="fr-CA"/>
            </w:rPr>
            <w:fldChar w:fldCharType="separate"/>
          </w:r>
          <w:r w:rsidR="00CF3A2F">
            <w:rPr>
              <w:rFonts w:ascii="Arial" w:hAnsi="Arial" w:cs="Arial"/>
              <w:noProof/>
              <w:lang w:val="fr-CA"/>
            </w:rPr>
            <w:t>3</w:t>
          </w:r>
          <w:r w:rsidRPr="00436E18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B47877" w:rsidRPr="00436E18" w:rsidRDefault="002E4A9D">
    <w:pPr>
      <w:pStyle w:val="Header"/>
      <w:tabs>
        <w:tab w:val="clear" w:pos="8640"/>
      </w:tabs>
    </w:pPr>
    <w:r w:rsidRPr="00436E1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6A88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B47877" w:rsidRPr="00436E18">
      <w:rPr>
        <w:rFonts w:ascii="Arial" w:hAnsi="Arial" w:cs="Arial"/>
      </w:rPr>
      <w:tab/>
    </w:r>
  </w:p>
  <w:p w:rsidR="00B47877" w:rsidRPr="00436E18" w:rsidRDefault="00B47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64152"/>
    <w:multiLevelType w:val="hybridMultilevel"/>
    <w:tmpl w:val="EBA84A2E"/>
    <w:lvl w:ilvl="0" w:tplc="17E63F4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79"/>
    <w:rsid w:val="000240F7"/>
    <w:rsid w:val="000A460B"/>
    <w:rsid w:val="00150AB3"/>
    <w:rsid w:val="002A11F7"/>
    <w:rsid w:val="002E4A9D"/>
    <w:rsid w:val="0033478A"/>
    <w:rsid w:val="003C731B"/>
    <w:rsid w:val="00436E18"/>
    <w:rsid w:val="00516A87"/>
    <w:rsid w:val="005A1FF0"/>
    <w:rsid w:val="0080593A"/>
    <w:rsid w:val="00845DE7"/>
    <w:rsid w:val="008F26DA"/>
    <w:rsid w:val="009326F6"/>
    <w:rsid w:val="009364C0"/>
    <w:rsid w:val="009B4022"/>
    <w:rsid w:val="009C226F"/>
    <w:rsid w:val="009D5BAA"/>
    <w:rsid w:val="00A35EAF"/>
    <w:rsid w:val="00B47877"/>
    <w:rsid w:val="00BA4A20"/>
    <w:rsid w:val="00BB75A8"/>
    <w:rsid w:val="00C53AEA"/>
    <w:rsid w:val="00CE2C79"/>
    <w:rsid w:val="00CF3A2F"/>
    <w:rsid w:val="00D364DB"/>
    <w:rsid w:val="00D8499E"/>
    <w:rsid w:val="00E02640"/>
    <w:rsid w:val="00E43A25"/>
    <w:rsid w:val="00F43A11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B0D6B-B5B6-4C30-B374-7C94A81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A35EA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50A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CSP.011 Reconstituting  Lyophilized Products</vt:lpstr>
      <vt:lpstr>CSP.011 Reconstituting  Lyophilized Products</vt:lpstr>
    </vt:vector>
  </TitlesOfParts>
  <Company>The Ottawa Hospital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CSP.011 Reconstituting  Lyophilized Products</dc:title>
  <dc:subject/>
  <dc:creator>TOPO</dc:creator>
  <cp:keywords/>
  <cp:lastModifiedBy>Nesrallah, Heather</cp:lastModifiedBy>
  <cp:revision>2</cp:revision>
  <cp:lastPrinted>2011-05-18T19:26:00Z</cp:lastPrinted>
  <dcterms:created xsi:type="dcterms:W3CDTF">2020-08-11T21:06:00Z</dcterms:created>
  <dcterms:modified xsi:type="dcterms:W3CDTF">2020-08-11T21:06:00Z</dcterms:modified>
</cp:coreProperties>
</file>