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35"/>
        <w:gridCol w:w="8453"/>
      </w:tblGrid>
      <w:tr w:rsidR="00402E28" w:rsidRPr="00F22B27">
        <w:trPr>
          <w:cantSplit/>
        </w:trPr>
        <w:tc>
          <w:tcPr>
            <w:tcW w:w="9288" w:type="dxa"/>
            <w:gridSpan w:val="2"/>
          </w:tcPr>
          <w:p w:rsidR="00402E28" w:rsidRPr="00F22B27" w:rsidRDefault="004D474F" w:rsidP="000C1E01">
            <w:pPr>
              <w:pStyle w:val="Heading1"/>
            </w:pPr>
            <w:bookmarkStart w:id="0" w:name="_GoBack"/>
            <w:bookmarkEnd w:id="0"/>
            <w:r w:rsidRPr="00F22B27">
              <w:t>Principe</w:t>
            </w:r>
          </w:p>
        </w:tc>
      </w:tr>
      <w:tr w:rsidR="00402E28" w:rsidRPr="00F22B27"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</w:tcPr>
          <w:p w:rsidR="00B711C3" w:rsidRPr="00F22B27" w:rsidRDefault="00402E28" w:rsidP="00B711C3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Pour </w:t>
            </w:r>
            <w:r w:rsidR="00B711C3" w:rsidRPr="00F22B27">
              <w:rPr>
                <w:rFonts w:ascii="Arial" w:hAnsi="Arial"/>
                <w:lang w:val="fr-CA"/>
              </w:rPr>
              <w:t xml:space="preserve">décrire les choix acceptables de </w:t>
            </w:r>
            <w:r w:rsidR="002F220B">
              <w:rPr>
                <w:rFonts w:ascii="Arial" w:hAnsi="Arial"/>
                <w:lang w:val="fr-CA"/>
              </w:rPr>
              <w:t>composants plaquettaires</w:t>
            </w:r>
            <w:r w:rsidR="00B711C3" w:rsidRPr="00F22B27">
              <w:rPr>
                <w:rFonts w:ascii="Arial" w:hAnsi="Arial"/>
                <w:lang w:val="fr-CA"/>
              </w:rPr>
              <w:t xml:space="preserve">. Les plaquettes se présentent sous deux formes : </w:t>
            </w:r>
          </w:p>
          <w:p w:rsidR="00402E28" w:rsidRPr="00F22B27" w:rsidRDefault="00E14D64" w:rsidP="00B711C3">
            <w:pPr>
              <w:numPr>
                <w:ilvl w:val="0"/>
                <w:numId w:val="3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</w:t>
            </w:r>
            <w:r w:rsidR="00B711C3" w:rsidRPr="00F22B27">
              <w:rPr>
                <w:rFonts w:ascii="Arial" w:hAnsi="Arial"/>
                <w:lang w:val="fr-CA"/>
              </w:rPr>
              <w:t>uatre unités de plaquettes</w:t>
            </w:r>
            <w:r w:rsidR="00B8325A" w:rsidRPr="00F22B27">
              <w:rPr>
                <w:rFonts w:ascii="Arial" w:hAnsi="Arial"/>
                <w:lang w:val="fr-CA"/>
              </w:rPr>
              <w:t xml:space="preserve"> obtenues par extraction de la couche leucocytaire</w:t>
            </w:r>
            <w:r w:rsidR="00B10A87">
              <w:rPr>
                <w:rFonts w:ascii="Arial" w:hAnsi="Arial"/>
                <w:lang w:val="fr-CA"/>
              </w:rPr>
              <w:t xml:space="preserve"> (</w:t>
            </w:r>
            <w:r w:rsidR="00E56E8B">
              <w:rPr>
                <w:rFonts w:ascii="Arial" w:hAnsi="Arial"/>
                <w:lang w:val="fr-CA"/>
              </w:rPr>
              <w:t>mélangées</w:t>
            </w:r>
            <w:r w:rsidR="00B10A87">
              <w:rPr>
                <w:rFonts w:ascii="Arial" w:hAnsi="Arial"/>
                <w:lang w:val="fr-CA"/>
              </w:rPr>
              <w:t xml:space="preserve"> avant leur entreposage)</w:t>
            </w:r>
          </w:p>
          <w:p w:rsidR="00B8325A" w:rsidRPr="00F22B27" w:rsidRDefault="00B8325A" w:rsidP="00B8325A">
            <w:pPr>
              <w:numPr>
                <w:ilvl w:val="0"/>
                <w:numId w:val="36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Unités d’un seul donneur obtenues par aphérèse</w:t>
            </w:r>
          </w:p>
          <w:p w:rsidR="00B8325A" w:rsidRPr="00F22B27" w:rsidRDefault="00B8325A" w:rsidP="00B8325A">
            <w:pPr>
              <w:numPr>
                <w:ilvl w:val="1"/>
                <w:numId w:val="36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Compatibles HLA pour les patients allo-immunisés HLA et à qui les plaquettes de donneurs aléatoires ne conviennent pas</w:t>
            </w:r>
          </w:p>
          <w:p w:rsidR="00B8325A" w:rsidRPr="00F22B27" w:rsidRDefault="00B8325A" w:rsidP="00E56E8B">
            <w:pPr>
              <w:numPr>
                <w:ilvl w:val="1"/>
                <w:numId w:val="36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C’est aussi le </w:t>
            </w:r>
            <w:r w:rsidR="00E56E8B">
              <w:rPr>
                <w:rFonts w:ascii="Arial" w:hAnsi="Arial"/>
                <w:lang w:val="fr-CA"/>
              </w:rPr>
              <w:t>produit</w:t>
            </w:r>
            <w:r w:rsidRPr="00F22B27">
              <w:rPr>
                <w:rFonts w:ascii="Arial" w:hAnsi="Arial"/>
                <w:lang w:val="fr-CA"/>
              </w:rPr>
              <w:t xml:space="preserve"> de choix pour les enfants et les nouveau-nés </w:t>
            </w:r>
          </w:p>
        </w:tc>
      </w:tr>
    </w:tbl>
    <w:p w:rsidR="00402E28" w:rsidRPr="00F22B27" w:rsidRDefault="00402E28">
      <w:pPr>
        <w:rPr>
          <w:rFonts w:ascii="Arial" w:hAnsi="Arial"/>
          <w:lang w:val="fr-CA"/>
        </w:rPr>
      </w:pPr>
    </w:p>
    <w:tbl>
      <w:tblPr>
        <w:tblW w:w="15013" w:type="dxa"/>
        <w:tblLayout w:type="fixed"/>
        <w:tblLook w:val="0000" w:firstRow="0" w:lastRow="0" w:firstColumn="0" w:lastColumn="0" w:noHBand="0" w:noVBand="0"/>
      </w:tblPr>
      <w:tblGrid>
        <w:gridCol w:w="828"/>
        <w:gridCol w:w="7"/>
        <w:gridCol w:w="691"/>
        <w:gridCol w:w="1012"/>
        <w:gridCol w:w="90"/>
        <w:gridCol w:w="1308"/>
        <w:gridCol w:w="3853"/>
        <w:gridCol w:w="1499"/>
        <w:gridCol w:w="34"/>
        <w:gridCol w:w="1587"/>
        <w:gridCol w:w="4104"/>
      </w:tblGrid>
      <w:tr w:rsidR="00402E28" w:rsidRPr="00F22B27" w:rsidTr="00C405F1">
        <w:trPr>
          <w:gridAfter w:val="2"/>
          <w:wAfter w:w="5691" w:type="dxa"/>
          <w:cantSplit/>
        </w:trPr>
        <w:tc>
          <w:tcPr>
            <w:tcW w:w="9322" w:type="dxa"/>
            <w:gridSpan w:val="9"/>
          </w:tcPr>
          <w:p w:rsidR="00402E28" w:rsidRPr="00F22B27" w:rsidRDefault="004D474F" w:rsidP="000C1E01">
            <w:pPr>
              <w:pStyle w:val="Heading1"/>
            </w:pPr>
            <w:r w:rsidRPr="00F22B27">
              <w:t>Portée et politiques connexes</w:t>
            </w:r>
          </w:p>
        </w:tc>
      </w:tr>
      <w:tr w:rsidR="00402E28" w:rsidRPr="00F22B27" w:rsidTr="00C405F1">
        <w:trPr>
          <w:gridAfter w:val="2"/>
          <w:wAfter w:w="5691" w:type="dxa"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2.1</w:t>
            </w:r>
          </w:p>
        </w:tc>
        <w:tc>
          <w:tcPr>
            <w:tcW w:w="7796" w:type="dxa"/>
            <w:gridSpan w:val="6"/>
          </w:tcPr>
          <w:p w:rsidR="00402E28" w:rsidRPr="00F22B27" w:rsidRDefault="004D474F" w:rsidP="004D474F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Consulter la Circulaire d’information </w:t>
            </w:r>
            <w:r w:rsidRPr="00F22B27">
              <w:rPr>
                <w:rFonts w:ascii="Arial" w:hAnsi="Arial"/>
                <w:i/>
                <w:lang w:val="fr-CA"/>
              </w:rPr>
              <w:t xml:space="preserve">Utilisation de sang humain et de composants sanguins </w:t>
            </w:r>
            <w:r w:rsidRPr="00F22B27">
              <w:rPr>
                <w:rFonts w:ascii="Arial" w:hAnsi="Arial"/>
                <w:lang w:val="fr-CA"/>
              </w:rPr>
              <w:t>pour les descriptions et les critères d</w:t>
            </w:r>
            <w:r w:rsidR="00E56E8B">
              <w:rPr>
                <w:rFonts w:ascii="Arial" w:hAnsi="Arial"/>
                <w:lang w:val="fr-CA"/>
              </w:rPr>
              <w:t>’</w:t>
            </w:r>
            <w:r w:rsidRPr="00F22B27">
              <w:rPr>
                <w:rFonts w:ascii="Arial" w:hAnsi="Arial"/>
                <w:lang w:val="fr-CA"/>
              </w:rPr>
              <w:t>emploi pertinent des plaquettes</w:t>
            </w:r>
            <w:r w:rsidR="00B8325A" w:rsidRPr="00F22B27">
              <w:rPr>
                <w:rFonts w:ascii="Arial" w:hAnsi="Arial"/>
                <w:vertAlign w:val="superscript"/>
                <w:lang w:val="fr-CA"/>
              </w:rPr>
              <w:t>9.1</w:t>
            </w:r>
            <w:r w:rsidRPr="00F22B27">
              <w:rPr>
                <w:rFonts w:ascii="Arial" w:hAnsi="Arial"/>
                <w:lang w:val="fr-CA"/>
              </w:rPr>
              <w:t>.</w:t>
            </w:r>
            <w:r w:rsidR="00B8325A" w:rsidRPr="00F22B27">
              <w:rPr>
                <w:rFonts w:ascii="Arial" w:hAnsi="Arial"/>
                <w:lang w:val="fr-CA"/>
              </w:rPr>
              <w:t xml:space="preserve"> </w:t>
            </w:r>
            <w:r w:rsidR="00B8325A" w:rsidRPr="00F22B27">
              <w:rPr>
                <w:rFonts w:ascii="Arial" w:hAnsi="Arial"/>
                <w:lang w:val="fr-CA"/>
              </w:rPr>
              <w:br/>
            </w:r>
            <w:r w:rsidR="00B8325A" w:rsidRPr="00F22B27">
              <w:rPr>
                <w:rFonts w:ascii="Arial" w:hAnsi="Arial" w:cs="Arial"/>
                <w:szCs w:val="24"/>
                <w:lang w:val="fr-CA"/>
              </w:rPr>
              <w:t>Toute demande qui ne répond pas à ces critères doit être adressée au directeur médical ou à son représentant qui la révisera. Voir CAQ.020 – Protocole de consultation du directeur médical.</w:t>
            </w:r>
            <w:r w:rsidR="00402E28" w:rsidRPr="00F22B27">
              <w:rPr>
                <w:rFonts w:ascii="Arial" w:hAnsi="Arial"/>
                <w:lang w:val="fr-CA"/>
              </w:rPr>
              <w:t xml:space="preserve"> 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2.2</w:t>
            </w:r>
          </w:p>
        </w:tc>
        <w:tc>
          <w:tcPr>
            <w:tcW w:w="7796" w:type="dxa"/>
            <w:gridSpan w:val="6"/>
          </w:tcPr>
          <w:p w:rsidR="00402E28" w:rsidRPr="00F22B27" w:rsidRDefault="00B8325A" w:rsidP="00884CBF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Il faut inspecter visuellement tous les </w:t>
            </w:r>
            <w:r w:rsidR="002F220B">
              <w:rPr>
                <w:rFonts w:ascii="Arial" w:hAnsi="Arial"/>
                <w:lang w:val="fr-CA"/>
              </w:rPr>
              <w:t>produits</w:t>
            </w:r>
            <w:r w:rsidRPr="00F22B27">
              <w:rPr>
                <w:rFonts w:ascii="Arial" w:hAnsi="Arial"/>
                <w:lang w:val="fr-CA"/>
              </w:rPr>
              <w:t xml:space="preserve"> sanguins à la recherche d’anomalies évidentes avant leur emploi et documenter cette inspection visuelle. Si on détecte une anomalie lors de l’inspection visuelle, l</w:t>
            </w:r>
            <w:r w:rsidR="00E56E8B">
              <w:rPr>
                <w:rFonts w:ascii="Arial" w:hAnsi="Arial"/>
                <w:lang w:val="fr-CA"/>
              </w:rPr>
              <w:t>’</w:t>
            </w:r>
            <w:r w:rsidRPr="00F22B27">
              <w:rPr>
                <w:rFonts w:ascii="Arial" w:hAnsi="Arial"/>
                <w:lang w:val="fr-CA"/>
              </w:rPr>
              <w:t>unité ne doit pas être mise en circulation et on doit alors consulter le fournisseur du sang au sujet de la disposition finale de l</w:t>
            </w:r>
            <w:r w:rsidR="00E56E8B">
              <w:rPr>
                <w:rFonts w:ascii="Arial" w:hAnsi="Arial"/>
                <w:lang w:val="fr-CA"/>
              </w:rPr>
              <w:t>’</w:t>
            </w:r>
            <w:r w:rsidRPr="00F22B27">
              <w:rPr>
                <w:rFonts w:ascii="Arial" w:hAnsi="Arial"/>
                <w:lang w:val="fr-CA"/>
              </w:rPr>
              <w:t>unité en cause. Toute consultation de cette nature doit être documentée</w:t>
            </w:r>
            <w:r w:rsidRPr="00F22B27">
              <w:rPr>
                <w:rFonts w:ascii="Arial" w:hAnsi="Arial"/>
                <w:vertAlign w:val="superscript"/>
                <w:lang w:val="fr-CA"/>
              </w:rPr>
              <w:t>9.2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  <w:p w:rsidR="00884CBF" w:rsidRPr="00F22B27" w:rsidRDefault="00884CBF" w:rsidP="00884CBF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2.3</w:t>
            </w:r>
          </w:p>
        </w:tc>
        <w:tc>
          <w:tcPr>
            <w:tcW w:w="7796" w:type="dxa"/>
            <w:gridSpan w:val="6"/>
          </w:tcPr>
          <w:p w:rsidR="00B8325A" w:rsidRPr="00F22B27" w:rsidRDefault="00B8325A" w:rsidP="00B8325A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L’arrêt de l’agitation des plaquettes ne doit pas durer plus de 24</w:t>
            </w:r>
            <w:r w:rsidR="00E56E8B">
              <w:rPr>
                <w:rFonts w:ascii="Arial" w:hAnsi="Arial"/>
                <w:lang w:val="fr-CA"/>
              </w:rPr>
              <w:t> </w:t>
            </w:r>
            <w:r w:rsidRPr="00F22B27">
              <w:rPr>
                <w:rFonts w:ascii="Arial" w:hAnsi="Arial"/>
                <w:lang w:val="fr-CA"/>
              </w:rPr>
              <w:t>heures</w:t>
            </w:r>
            <w:r w:rsidRPr="00F22B27">
              <w:rPr>
                <w:rFonts w:ascii="Arial" w:hAnsi="Arial"/>
                <w:vertAlign w:val="superscript"/>
                <w:lang w:val="fr-CA"/>
              </w:rPr>
              <w:t>9.2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  <w:p w:rsidR="00402E28" w:rsidRPr="00F22B27" w:rsidRDefault="00402E28" w:rsidP="00B8325A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2.4</w:t>
            </w:r>
          </w:p>
        </w:tc>
        <w:tc>
          <w:tcPr>
            <w:tcW w:w="7796" w:type="dxa"/>
            <w:gridSpan w:val="6"/>
          </w:tcPr>
          <w:p w:rsidR="00402E28" w:rsidRPr="00F22B27" w:rsidRDefault="00884CBF" w:rsidP="00B8325A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Les plaquettes doivent être compatibles avec le groupe des globules rouges du receveur</w:t>
            </w:r>
            <w:r w:rsidRPr="00F22B27">
              <w:rPr>
                <w:rFonts w:ascii="Arial" w:hAnsi="Arial"/>
                <w:vertAlign w:val="superscript"/>
                <w:lang w:val="fr-CA"/>
              </w:rPr>
              <w:t>9.2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12" w:type="dxa"/>
          </w:tcPr>
          <w:p w:rsidR="00402E28" w:rsidRPr="00F22B27" w:rsidRDefault="00402E28" w:rsidP="00884CBF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</w:t>
            </w:r>
            <w:r w:rsidR="00884CBF" w:rsidRPr="00F22B27">
              <w:rPr>
                <w:rFonts w:ascii="Arial" w:hAnsi="Arial"/>
                <w:lang w:val="fr-CA"/>
              </w:rPr>
              <w:t>4</w:t>
            </w:r>
            <w:r w:rsidRPr="00F22B27">
              <w:rPr>
                <w:rFonts w:ascii="Arial" w:hAnsi="Arial"/>
                <w:lang w:val="fr-CA"/>
              </w:rPr>
              <w:t>.1</w:t>
            </w:r>
          </w:p>
        </w:tc>
        <w:tc>
          <w:tcPr>
            <w:tcW w:w="6784" w:type="dxa"/>
            <w:gridSpan w:val="5"/>
          </w:tcPr>
          <w:p w:rsidR="00402E28" w:rsidRPr="00F22B27" w:rsidRDefault="008E5CBA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Au moment de choisir des plaquettes d’un groupe sanguin et de facteur Rh autre que ceux qui sont spécifiques au patient, il faut envisager les éléments suivants : 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703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398" w:type="dxa"/>
            <w:gridSpan w:val="2"/>
          </w:tcPr>
          <w:p w:rsidR="00402E28" w:rsidRPr="00F22B27" w:rsidRDefault="00402E28">
            <w:pPr>
              <w:numPr>
                <w:ilvl w:val="0"/>
                <w:numId w:val="12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5386" w:type="dxa"/>
            <w:gridSpan w:val="3"/>
          </w:tcPr>
          <w:p w:rsidR="00402E28" w:rsidRPr="00F22B27" w:rsidRDefault="00AF6B0E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La quantité d’a</w:t>
            </w:r>
            <w:r w:rsidR="00402E28" w:rsidRPr="00F22B27">
              <w:rPr>
                <w:rFonts w:ascii="Arial" w:hAnsi="Arial"/>
                <w:lang w:val="fr-CA"/>
              </w:rPr>
              <w:t>nti-A o</w:t>
            </w:r>
            <w:r w:rsidRPr="00F22B27">
              <w:rPr>
                <w:rFonts w:ascii="Arial" w:hAnsi="Arial"/>
                <w:lang w:val="fr-CA"/>
              </w:rPr>
              <w:t>u d’a</w:t>
            </w:r>
            <w:r w:rsidR="00402E28" w:rsidRPr="00F22B27">
              <w:rPr>
                <w:rFonts w:ascii="Arial" w:hAnsi="Arial"/>
                <w:lang w:val="fr-CA"/>
              </w:rPr>
              <w:t xml:space="preserve">nti-B </w:t>
            </w:r>
            <w:r w:rsidRPr="00F22B27">
              <w:rPr>
                <w:rFonts w:ascii="Arial" w:hAnsi="Arial"/>
                <w:lang w:val="fr-CA"/>
              </w:rPr>
              <w:t xml:space="preserve">dans les plaquettes mises en </w:t>
            </w:r>
            <w:r w:rsidR="00402E28" w:rsidRPr="00F22B27">
              <w:rPr>
                <w:rFonts w:ascii="Arial" w:hAnsi="Arial"/>
                <w:lang w:val="fr-CA"/>
              </w:rPr>
              <w:t xml:space="preserve">pool </w:t>
            </w:r>
            <w:r w:rsidRPr="00F22B27">
              <w:rPr>
                <w:rFonts w:ascii="Arial" w:hAnsi="Arial"/>
                <w:lang w:val="fr-CA"/>
              </w:rPr>
              <w:t>pourrait affecter les globules rouges d’un patient de petite taille à qui l’on transfuserait plus</w:t>
            </w:r>
            <w:r w:rsidR="00884CBF" w:rsidRPr="00F22B27">
              <w:rPr>
                <w:rFonts w:ascii="Arial" w:hAnsi="Arial"/>
                <w:lang w:val="fr-CA"/>
              </w:rPr>
              <w:t xml:space="preserve"> d’une dose de </w:t>
            </w:r>
            <w:r w:rsidRPr="00F22B27">
              <w:rPr>
                <w:rFonts w:ascii="Arial" w:hAnsi="Arial"/>
                <w:lang w:val="fr-CA"/>
              </w:rPr>
              <w:t>plaquettes</w:t>
            </w:r>
            <w:r w:rsidR="00402E28" w:rsidRPr="00F22B27">
              <w:rPr>
                <w:rFonts w:ascii="Arial" w:hAnsi="Arial"/>
                <w:lang w:val="fr-CA"/>
              </w:rPr>
              <w:t>.</w:t>
            </w:r>
            <w:r w:rsidRPr="00F22B27">
              <w:rPr>
                <w:rFonts w:ascii="Arial" w:hAnsi="Arial"/>
                <w:lang w:val="fr-CA"/>
              </w:rPr>
              <w:t xml:space="preserve"> 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703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398" w:type="dxa"/>
            <w:gridSpan w:val="2"/>
          </w:tcPr>
          <w:p w:rsidR="00402E28" w:rsidRPr="00F22B27" w:rsidRDefault="00402E28">
            <w:pPr>
              <w:numPr>
                <w:ilvl w:val="0"/>
                <w:numId w:val="13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5386" w:type="dxa"/>
            <w:gridSpan w:val="3"/>
          </w:tcPr>
          <w:p w:rsidR="00402E28" w:rsidRPr="00F22B27" w:rsidRDefault="00AF6B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La présence d</w:t>
            </w:r>
            <w:r w:rsidR="008E5CBA" w:rsidRPr="00F22B27">
              <w:rPr>
                <w:rFonts w:ascii="Arial" w:hAnsi="Arial"/>
                <w:lang w:val="fr-CA"/>
              </w:rPr>
              <w:t xml:space="preserve">e globules rouges </w:t>
            </w:r>
            <w:r w:rsidR="00402E28" w:rsidRPr="00F22B27">
              <w:rPr>
                <w:rFonts w:ascii="Arial" w:hAnsi="Arial"/>
                <w:lang w:val="fr-CA"/>
              </w:rPr>
              <w:t>Rh positi</w:t>
            </w:r>
            <w:r w:rsidRPr="00F22B27">
              <w:rPr>
                <w:rFonts w:ascii="Arial" w:hAnsi="Arial"/>
                <w:lang w:val="fr-CA"/>
              </w:rPr>
              <w:t xml:space="preserve">f dans les plaquettes pourrait immuniser un patient </w:t>
            </w:r>
            <w:r w:rsidR="00402E28" w:rsidRPr="00F22B27">
              <w:rPr>
                <w:rFonts w:ascii="Arial" w:hAnsi="Arial"/>
                <w:lang w:val="fr-CA"/>
              </w:rPr>
              <w:t>Rh n</w:t>
            </w:r>
            <w:r w:rsidRPr="00F22B27">
              <w:rPr>
                <w:rFonts w:ascii="Arial" w:hAnsi="Arial"/>
                <w:lang w:val="fr-CA"/>
              </w:rPr>
              <w:t>é</w:t>
            </w:r>
            <w:r w:rsidR="00402E28" w:rsidRPr="00F22B27">
              <w:rPr>
                <w:rFonts w:ascii="Arial" w:hAnsi="Arial"/>
                <w:lang w:val="fr-CA"/>
              </w:rPr>
              <w:t>gati</w:t>
            </w:r>
            <w:r w:rsidRPr="00F22B27">
              <w:rPr>
                <w:rFonts w:ascii="Arial" w:hAnsi="Arial"/>
                <w:lang w:val="fr-CA"/>
              </w:rPr>
              <w:t>f.</w:t>
            </w:r>
          </w:p>
          <w:p w:rsidR="00402E28" w:rsidRPr="00F22B27" w:rsidRDefault="00402E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703" w:type="dxa"/>
            <w:gridSpan w:val="2"/>
          </w:tcPr>
          <w:p w:rsidR="00402E28" w:rsidRPr="00F22B27" w:rsidRDefault="004430F2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1.7pt;margin-top:21.65pt;width:423.15pt;height:189.9pt;z-index:251657728;mso-wrap-edited:f;mso-position-horizontal-relative:text;mso-position-vertical-relative:text" wrapcoords="1088 0 1088 20104 21038 20104 21038 0 1088 0">
                  <v:imagedata r:id="rId7" o:title=""/>
                </v:shape>
                <o:OLEObject Type="Embed" ProgID="Word.Document.8" ShapeID="_x0000_s1032" DrawAspect="Content" ObjectID="_1658670472" r:id="rId8">
                  <o:FieldCodes>\s</o:FieldCodes>
                </o:OLEObject>
              </w:object>
            </w:r>
          </w:p>
        </w:tc>
        <w:tc>
          <w:tcPr>
            <w:tcW w:w="1398" w:type="dxa"/>
            <w:gridSpan w:val="2"/>
          </w:tcPr>
          <w:p w:rsidR="00402E28" w:rsidRPr="00F22B27" w:rsidRDefault="00402E28">
            <w:pPr>
              <w:numPr>
                <w:ilvl w:val="0"/>
                <w:numId w:val="14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5386" w:type="dxa"/>
            <w:gridSpan w:val="3"/>
          </w:tcPr>
          <w:p w:rsidR="00402E28" w:rsidRPr="00F22B27" w:rsidRDefault="00AF6B0E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À défaut de plaquettes du groupe ABO spécifique, consulter le tableau qui suit : </w:t>
            </w:r>
          </w:p>
          <w:p w:rsidR="00884CBF" w:rsidRPr="00F22B27" w:rsidRDefault="00884CBF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 w:rsidP="0066659F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</w:t>
            </w:r>
            <w:r w:rsidR="0066659F" w:rsidRPr="00F22B27"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7796" w:type="dxa"/>
            <w:gridSpan w:val="6"/>
          </w:tcPr>
          <w:p w:rsidR="00402E28" w:rsidRPr="00F22B27" w:rsidRDefault="007C10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Il faut irradier les plaquettes dans certaines situations. Pour obtenir les indications précises, voir </w:t>
            </w:r>
            <w:r w:rsidR="00402E28" w:rsidRPr="00F22B27">
              <w:rPr>
                <w:rFonts w:ascii="Arial" w:hAnsi="Arial"/>
                <w:lang w:val="fr-CA"/>
              </w:rPr>
              <w:t>C</w:t>
            </w:r>
            <w:r w:rsidRPr="00F22B27">
              <w:rPr>
                <w:rFonts w:ascii="Arial" w:hAnsi="Arial"/>
                <w:lang w:val="fr-CA"/>
              </w:rPr>
              <w:t>CP.001 - Choix des composants sanguins à transfuser.</w:t>
            </w:r>
          </w:p>
          <w:p w:rsidR="007C1065" w:rsidRPr="00F22B27" w:rsidRDefault="007C10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 w:rsidP="0066659F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</w:t>
            </w:r>
            <w:r w:rsidR="0066659F" w:rsidRPr="00F22B27"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7796" w:type="dxa"/>
            <w:gridSpan w:val="6"/>
          </w:tcPr>
          <w:p w:rsidR="00402E28" w:rsidRPr="00F22B27" w:rsidRDefault="007C10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Envisager l’administration d’immunoglobuline </w:t>
            </w:r>
            <w:r w:rsidR="00402E28" w:rsidRPr="00F22B27">
              <w:rPr>
                <w:rFonts w:ascii="Arial" w:hAnsi="Arial"/>
                <w:lang w:val="fr-CA"/>
              </w:rPr>
              <w:t>Rh (</w:t>
            </w:r>
            <w:proofErr w:type="spellStart"/>
            <w:r w:rsidR="008A34D3" w:rsidRPr="00F22B27">
              <w:rPr>
                <w:rFonts w:ascii="Arial" w:hAnsi="Arial"/>
                <w:lang w:val="fr-CA"/>
              </w:rPr>
              <w:t>IgR</w:t>
            </w:r>
            <w:r w:rsidR="00402E28" w:rsidRPr="00F22B27">
              <w:rPr>
                <w:rFonts w:ascii="Arial" w:hAnsi="Arial"/>
                <w:lang w:val="fr-CA"/>
              </w:rPr>
              <w:t>h</w:t>
            </w:r>
            <w:proofErr w:type="spellEnd"/>
            <w:r w:rsidR="00402E28" w:rsidRPr="00F22B27">
              <w:rPr>
                <w:rFonts w:ascii="Arial" w:hAnsi="Arial"/>
                <w:lang w:val="fr-CA"/>
              </w:rPr>
              <w:t xml:space="preserve">) </w:t>
            </w:r>
            <w:r w:rsidR="0066659F" w:rsidRPr="00F22B27">
              <w:rPr>
                <w:rFonts w:ascii="Arial" w:hAnsi="Arial"/>
                <w:lang w:val="fr-CA"/>
              </w:rPr>
              <w:t>l</w:t>
            </w:r>
            <w:r w:rsidRPr="00F22B27">
              <w:rPr>
                <w:rFonts w:ascii="Arial" w:hAnsi="Arial"/>
                <w:lang w:val="fr-CA"/>
              </w:rPr>
              <w:t xml:space="preserve">orsque des plaquettes ou des granulocytes </w:t>
            </w:r>
            <w:r w:rsidR="00402E28" w:rsidRPr="00F22B27">
              <w:rPr>
                <w:rFonts w:ascii="Arial" w:hAnsi="Arial"/>
                <w:lang w:val="fr-CA"/>
              </w:rPr>
              <w:t>Rh positi</w:t>
            </w:r>
            <w:r w:rsidRPr="00F22B27">
              <w:rPr>
                <w:rFonts w:ascii="Arial" w:hAnsi="Arial"/>
                <w:lang w:val="fr-CA"/>
              </w:rPr>
              <w:t>f sont transfus</w:t>
            </w:r>
            <w:r w:rsidR="0066659F" w:rsidRPr="00F22B27">
              <w:rPr>
                <w:rFonts w:ascii="Arial" w:hAnsi="Arial"/>
                <w:lang w:val="fr-CA"/>
              </w:rPr>
              <w:t>é</w:t>
            </w:r>
            <w:r w:rsidRPr="00F22B27">
              <w:rPr>
                <w:rFonts w:ascii="Arial" w:hAnsi="Arial"/>
                <w:lang w:val="fr-CA"/>
              </w:rPr>
              <w:t xml:space="preserve">s à un receveur </w:t>
            </w:r>
            <w:r w:rsidR="00402E28" w:rsidRPr="00F22B27">
              <w:rPr>
                <w:rFonts w:ascii="Arial" w:hAnsi="Arial"/>
                <w:lang w:val="fr-CA"/>
              </w:rPr>
              <w:t>Rh</w:t>
            </w:r>
            <w:r w:rsidR="00E56E8B">
              <w:rPr>
                <w:rFonts w:ascii="Arial" w:hAnsi="Arial"/>
                <w:lang w:val="fr-CA"/>
              </w:rPr>
              <w:t> </w:t>
            </w:r>
            <w:r w:rsidR="00402E28" w:rsidRPr="00F22B27">
              <w:rPr>
                <w:rFonts w:ascii="Arial" w:hAnsi="Arial"/>
                <w:lang w:val="fr-CA"/>
              </w:rPr>
              <w:t>n</w:t>
            </w:r>
            <w:r w:rsidRPr="00F22B27">
              <w:rPr>
                <w:rFonts w:ascii="Arial" w:hAnsi="Arial"/>
                <w:lang w:val="fr-CA"/>
              </w:rPr>
              <w:t>égatif</w:t>
            </w:r>
            <w:r w:rsidR="00402E28" w:rsidRPr="00F22B27">
              <w:rPr>
                <w:rFonts w:ascii="Arial" w:hAnsi="Arial"/>
                <w:vertAlign w:val="superscript"/>
                <w:lang w:val="fr-CA"/>
              </w:rPr>
              <w:t>9.</w:t>
            </w:r>
            <w:r w:rsidR="0066659F" w:rsidRPr="00F22B27">
              <w:rPr>
                <w:rFonts w:ascii="Arial" w:hAnsi="Arial"/>
                <w:vertAlign w:val="superscript"/>
                <w:lang w:val="fr-CA"/>
              </w:rPr>
              <w:t>2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  <w:p w:rsidR="00402E28" w:rsidRPr="00F22B27" w:rsidRDefault="00402E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02" w:type="dxa"/>
            <w:gridSpan w:val="2"/>
          </w:tcPr>
          <w:p w:rsidR="00402E28" w:rsidRPr="00F22B27" w:rsidRDefault="00402E28" w:rsidP="0066659F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</w:t>
            </w:r>
            <w:r w:rsidR="0066659F" w:rsidRPr="00F22B27">
              <w:rPr>
                <w:rFonts w:ascii="Arial" w:hAnsi="Arial"/>
                <w:lang w:val="fr-CA"/>
              </w:rPr>
              <w:t>6</w:t>
            </w:r>
            <w:r w:rsidRPr="00F22B27">
              <w:rPr>
                <w:rFonts w:ascii="Arial" w:hAnsi="Arial"/>
                <w:lang w:val="fr-CA"/>
              </w:rPr>
              <w:t>.1</w:t>
            </w:r>
          </w:p>
        </w:tc>
        <w:tc>
          <w:tcPr>
            <w:tcW w:w="6694" w:type="dxa"/>
            <w:gridSpan w:val="4"/>
          </w:tcPr>
          <w:p w:rsidR="00402E28" w:rsidRPr="00F22B27" w:rsidRDefault="008A34D3" w:rsidP="0066659F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Il </w:t>
            </w:r>
            <w:r w:rsidRPr="00F22B27">
              <w:rPr>
                <w:rFonts w:ascii="Arial" w:hAnsi="Arial"/>
                <w:b/>
                <w:lang w:val="fr-CA"/>
              </w:rPr>
              <w:t>faut</w:t>
            </w:r>
            <w:r w:rsidRPr="00F22B27">
              <w:rPr>
                <w:rFonts w:ascii="Arial" w:hAnsi="Arial"/>
                <w:lang w:val="fr-CA"/>
              </w:rPr>
              <w:t xml:space="preserve"> envisager l’administration d’</w:t>
            </w:r>
            <w:proofErr w:type="spellStart"/>
            <w:r w:rsidRPr="00F22B27">
              <w:rPr>
                <w:rFonts w:ascii="Arial" w:hAnsi="Arial"/>
                <w:lang w:val="fr-CA"/>
              </w:rPr>
              <w:t>Ig</w:t>
            </w:r>
            <w:r w:rsidR="00402E28" w:rsidRPr="00F22B27">
              <w:rPr>
                <w:rFonts w:ascii="Arial" w:hAnsi="Arial"/>
                <w:lang w:val="fr-CA"/>
              </w:rPr>
              <w:t>Rh</w:t>
            </w:r>
            <w:proofErr w:type="spellEnd"/>
            <w:r w:rsidR="00402E28" w:rsidRPr="00F22B27">
              <w:rPr>
                <w:rFonts w:ascii="Arial" w:hAnsi="Arial"/>
                <w:lang w:val="fr-CA"/>
              </w:rPr>
              <w:t xml:space="preserve"> </w:t>
            </w:r>
            <w:r w:rsidRPr="00F22B27">
              <w:rPr>
                <w:rFonts w:ascii="Arial" w:hAnsi="Arial"/>
                <w:lang w:val="fr-CA"/>
              </w:rPr>
              <w:t xml:space="preserve">à toutes les patientes </w:t>
            </w:r>
            <w:r w:rsidR="00402E28" w:rsidRPr="00F22B27">
              <w:rPr>
                <w:rFonts w:ascii="Arial" w:hAnsi="Arial"/>
                <w:lang w:val="fr-CA"/>
              </w:rPr>
              <w:t>Rh n</w:t>
            </w:r>
            <w:r w:rsidRPr="00F22B27">
              <w:rPr>
                <w:rFonts w:ascii="Arial" w:hAnsi="Arial"/>
                <w:lang w:val="fr-CA"/>
              </w:rPr>
              <w:t xml:space="preserve">égatif </w:t>
            </w:r>
            <w:r w:rsidR="0066659F" w:rsidRPr="00F22B27">
              <w:rPr>
                <w:rFonts w:ascii="Arial" w:hAnsi="Arial"/>
                <w:lang w:val="fr-CA"/>
              </w:rPr>
              <w:t>en âge d’avoir des enfants</w:t>
            </w:r>
            <w:r w:rsidRPr="00F22B27">
              <w:rPr>
                <w:rFonts w:ascii="Arial" w:hAnsi="Arial"/>
                <w:lang w:val="fr-CA"/>
              </w:rPr>
              <w:t xml:space="preserve"> qui n’ont pas d’immunité à l’</w:t>
            </w:r>
            <w:r w:rsidR="00402E28" w:rsidRPr="00F22B27">
              <w:rPr>
                <w:rFonts w:ascii="Arial" w:hAnsi="Arial"/>
                <w:lang w:val="fr-CA"/>
              </w:rPr>
              <w:t xml:space="preserve">anti-D. </w:t>
            </w:r>
            <w:r w:rsidRPr="00F22B27">
              <w:rPr>
                <w:rFonts w:ascii="Arial" w:hAnsi="Arial"/>
                <w:lang w:val="fr-CA"/>
              </w:rPr>
              <w:t>À sa discrétion, le médecin peut envisager de donner de l’</w:t>
            </w:r>
            <w:proofErr w:type="spellStart"/>
            <w:r w:rsidRPr="00F22B27">
              <w:rPr>
                <w:rFonts w:ascii="Arial" w:hAnsi="Arial"/>
                <w:lang w:val="fr-CA"/>
              </w:rPr>
              <w:t>IgRh</w:t>
            </w:r>
            <w:proofErr w:type="spellEnd"/>
            <w:r w:rsidRPr="00F22B27">
              <w:rPr>
                <w:rFonts w:ascii="Arial" w:hAnsi="Arial"/>
                <w:lang w:val="fr-CA"/>
              </w:rPr>
              <w:t xml:space="preserve"> à tout patient Rh négatif qui n’a pas d’</w:t>
            </w:r>
            <w:r w:rsidR="00402E28" w:rsidRPr="00F22B27">
              <w:rPr>
                <w:rFonts w:ascii="Arial" w:hAnsi="Arial"/>
                <w:lang w:val="fr-CA"/>
              </w:rPr>
              <w:t>anti-D.</w:t>
            </w: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02" w:type="dxa"/>
            <w:gridSpan w:val="2"/>
          </w:tcPr>
          <w:p w:rsidR="00402E28" w:rsidRPr="00F22B27" w:rsidRDefault="00402E28" w:rsidP="00F41B6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2.</w:t>
            </w:r>
            <w:r w:rsidR="00F41B6C" w:rsidRPr="00F22B27">
              <w:rPr>
                <w:rFonts w:ascii="Arial" w:hAnsi="Arial"/>
                <w:lang w:val="fr-CA"/>
              </w:rPr>
              <w:t>6</w:t>
            </w:r>
            <w:r w:rsidRPr="00F22B27">
              <w:rPr>
                <w:rFonts w:ascii="Arial" w:hAnsi="Arial"/>
                <w:lang w:val="fr-CA"/>
              </w:rPr>
              <w:t>.2</w:t>
            </w:r>
          </w:p>
        </w:tc>
        <w:tc>
          <w:tcPr>
            <w:tcW w:w="6694" w:type="dxa"/>
            <w:gridSpan w:val="4"/>
          </w:tcPr>
          <w:p w:rsidR="00F41B6C" w:rsidRPr="00F22B27" w:rsidRDefault="008A34D3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Consulter le directeur médical ou son représentant qui déterminera la quantité d’</w:t>
            </w:r>
            <w:proofErr w:type="spellStart"/>
            <w:r w:rsidRPr="00F22B27">
              <w:rPr>
                <w:rFonts w:ascii="Arial" w:hAnsi="Arial"/>
                <w:sz w:val="24"/>
                <w:lang w:val="fr-CA"/>
              </w:rPr>
              <w:t>IgRh</w:t>
            </w:r>
            <w:proofErr w:type="spellEnd"/>
            <w:r w:rsidRPr="00F22B27">
              <w:rPr>
                <w:rFonts w:ascii="Arial" w:hAnsi="Arial"/>
                <w:sz w:val="24"/>
                <w:lang w:val="fr-CA"/>
              </w:rPr>
              <w:t xml:space="preserve"> à mettre en circulation. </w:t>
            </w:r>
          </w:p>
          <w:p w:rsidR="00402E28" w:rsidRPr="00F22B27" w:rsidRDefault="00F41B6C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 xml:space="preserve">Si le </w:t>
            </w:r>
            <w:r w:rsidR="00974E48" w:rsidRPr="00F22B27">
              <w:rPr>
                <w:rFonts w:ascii="Arial" w:hAnsi="Arial"/>
                <w:sz w:val="24"/>
                <w:lang w:val="fr-CA"/>
              </w:rPr>
              <w:t>patient a reçu de</w:t>
            </w:r>
            <w:r w:rsidRPr="00F22B27">
              <w:rPr>
                <w:rFonts w:ascii="Arial" w:hAnsi="Arial"/>
                <w:sz w:val="24"/>
                <w:lang w:val="fr-CA"/>
              </w:rPr>
              <w:t xml:space="preserve"> multiples doses (plus de 6) de</w:t>
            </w:r>
            <w:r w:rsidR="00974E48" w:rsidRPr="00F22B27">
              <w:rPr>
                <w:rFonts w:ascii="Arial" w:hAnsi="Arial"/>
                <w:sz w:val="24"/>
                <w:lang w:val="fr-CA"/>
              </w:rPr>
              <w:t xml:space="preserve"> plaquettes Rh positif, ou si plus de 60 jours se sont écoulés, le dépistage d’anticorps doit être répété sur un nouvel échantillon</w:t>
            </w:r>
            <w:r w:rsidR="00402E28" w:rsidRPr="00F22B27">
              <w:rPr>
                <w:rFonts w:ascii="Arial" w:hAnsi="Arial"/>
                <w:sz w:val="24"/>
                <w:lang w:val="fr-CA"/>
              </w:rPr>
              <w:t>.</w:t>
            </w:r>
          </w:p>
          <w:p w:rsidR="00402E28" w:rsidRPr="00F22B27" w:rsidRDefault="00F41B6C" w:rsidP="00F41B6C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Remarque : Chaque unité de plaquettes mises en pool c</w:t>
            </w:r>
            <w:r w:rsidR="00400806">
              <w:rPr>
                <w:rFonts w:ascii="Arial" w:hAnsi="Arial"/>
                <w:sz w:val="24"/>
                <w:lang w:val="fr-CA"/>
              </w:rPr>
              <w:t>o</w:t>
            </w:r>
            <w:r w:rsidRPr="00F22B27">
              <w:rPr>
                <w:rFonts w:ascii="Arial" w:hAnsi="Arial"/>
                <w:sz w:val="24"/>
                <w:lang w:val="fr-CA"/>
              </w:rPr>
              <w:t>ntient jusqu’à 0,5</w:t>
            </w:r>
            <w:r w:rsidR="00E56E8B">
              <w:rPr>
                <w:rFonts w:ascii="Arial" w:hAnsi="Arial"/>
                <w:sz w:val="24"/>
                <w:lang w:val="fr-CA"/>
              </w:rPr>
              <w:t> </w:t>
            </w:r>
            <w:proofErr w:type="spellStart"/>
            <w:r w:rsidRPr="00F22B27">
              <w:rPr>
                <w:rFonts w:ascii="Arial" w:hAnsi="Arial"/>
                <w:sz w:val="24"/>
                <w:lang w:val="fr-CA"/>
              </w:rPr>
              <w:t>mL</w:t>
            </w:r>
            <w:proofErr w:type="spellEnd"/>
            <w:r w:rsidRPr="00F22B27">
              <w:rPr>
                <w:rFonts w:ascii="Arial" w:hAnsi="Arial"/>
                <w:sz w:val="24"/>
                <w:lang w:val="fr-CA"/>
              </w:rPr>
              <w:t xml:space="preserve"> de globules rouges. Une dose de 120 </w:t>
            </w:r>
            <w:r w:rsidRPr="00F22B27">
              <w:rPr>
                <w:rFonts w:ascii="Arial" w:hAnsi="Arial" w:cs="Arial"/>
                <w:sz w:val="24"/>
                <w:lang w:val="fr-CA"/>
              </w:rPr>
              <w:t>μ</w:t>
            </w:r>
            <w:r w:rsidRPr="00F22B27">
              <w:rPr>
                <w:rFonts w:ascii="Arial" w:hAnsi="Arial"/>
                <w:sz w:val="24"/>
                <w:lang w:val="fr-CA"/>
              </w:rPr>
              <w:t>g d’</w:t>
            </w:r>
            <w:proofErr w:type="spellStart"/>
            <w:r w:rsidRPr="00F22B27">
              <w:rPr>
                <w:rFonts w:ascii="Arial" w:hAnsi="Arial"/>
                <w:sz w:val="24"/>
                <w:lang w:val="fr-CA"/>
              </w:rPr>
              <w:t>IgRh</w:t>
            </w:r>
            <w:proofErr w:type="spellEnd"/>
            <w:r w:rsidRPr="00F22B27">
              <w:rPr>
                <w:rFonts w:ascii="Arial" w:hAnsi="Arial"/>
                <w:sz w:val="24"/>
                <w:lang w:val="fr-CA"/>
              </w:rPr>
              <w:t xml:space="preserve"> </w:t>
            </w:r>
            <w:r w:rsidR="00400806">
              <w:rPr>
                <w:rFonts w:ascii="Arial" w:hAnsi="Arial"/>
                <w:sz w:val="24"/>
                <w:lang w:val="fr-CA"/>
              </w:rPr>
              <w:t>protège contre</w:t>
            </w:r>
            <w:r w:rsidRPr="00F22B27">
              <w:rPr>
                <w:rFonts w:ascii="Arial" w:hAnsi="Arial"/>
                <w:sz w:val="24"/>
                <w:lang w:val="fr-CA"/>
              </w:rPr>
              <w:t xml:space="preserve"> environ 6</w:t>
            </w:r>
            <w:r w:rsidR="00E56E8B">
              <w:rPr>
                <w:rFonts w:ascii="Arial" w:hAnsi="Arial"/>
                <w:sz w:val="24"/>
                <w:lang w:val="fr-CA"/>
              </w:rPr>
              <w:t> </w:t>
            </w:r>
            <w:proofErr w:type="spellStart"/>
            <w:r w:rsidRPr="00F22B27">
              <w:rPr>
                <w:rFonts w:ascii="Arial" w:hAnsi="Arial"/>
                <w:sz w:val="24"/>
                <w:lang w:val="fr-CA"/>
              </w:rPr>
              <w:t>mL</w:t>
            </w:r>
            <w:proofErr w:type="spellEnd"/>
            <w:r w:rsidRPr="00F22B27">
              <w:rPr>
                <w:rFonts w:ascii="Arial" w:hAnsi="Arial"/>
                <w:sz w:val="24"/>
                <w:lang w:val="fr-CA"/>
              </w:rPr>
              <w:t xml:space="preserve"> de globules rouges pendant à peu près 21 jours</w:t>
            </w:r>
            <w:r w:rsidRPr="00F22B27">
              <w:rPr>
                <w:rFonts w:ascii="Arial" w:hAnsi="Arial"/>
                <w:sz w:val="24"/>
                <w:vertAlign w:val="superscript"/>
                <w:lang w:val="fr-CA"/>
              </w:rPr>
              <w:t>9.3</w:t>
            </w:r>
            <w:r w:rsidRPr="00F22B27">
              <w:rPr>
                <w:rFonts w:ascii="Arial" w:hAnsi="Arial"/>
                <w:sz w:val="24"/>
                <w:lang w:val="fr-CA"/>
              </w:rPr>
              <w:t>.</w:t>
            </w:r>
          </w:p>
          <w:p w:rsidR="00F41B6C" w:rsidRPr="00F22B27" w:rsidRDefault="00F41B6C" w:rsidP="00F41B6C">
            <w:pPr>
              <w:pStyle w:val="PlainText"/>
              <w:rPr>
                <w:rFonts w:ascii="Arial" w:hAnsi="Arial"/>
                <w:sz w:val="24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9288" w:type="dxa"/>
            <w:gridSpan w:val="8"/>
          </w:tcPr>
          <w:p w:rsidR="00402E28" w:rsidRPr="00F22B27" w:rsidRDefault="004D474F" w:rsidP="00F41B6C">
            <w:pPr>
              <w:pStyle w:val="Heading1"/>
            </w:pPr>
            <w:r w:rsidRPr="00F22B27">
              <w:t>Échantillons</w:t>
            </w: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402E28" w:rsidRPr="00F22B27" w:rsidRDefault="004D474F" w:rsidP="004D474F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b/>
                <w:snapToGrid w:val="0"/>
                <w:lang w:val="fr-CA"/>
              </w:rPr>
              <w:t>Groupe sanguin historique :</w:t>
            </w:r>
            <w:r w:rsidRPr="00F22B27">
              <w:rPr>
                <w:rFonts w:ascii="Arial" w:hAnsi="Arial"/>
                <w:snapToGrid w:val="0"/>
                <w:lang w:val="fr-CA"/>
              </w:rPr>
              <w:t xml:space="preserve"> Quand un patient a déjà fait l’objet d’épreuves à au moins 2 reprises, on peut se fier au groupe et au facteur Rh inscrits dans les dossiers de Médecine transfusionnelle (antécédents).</w:t>
            </w:r>
            <w:r w:rsidR="008C0A67" w:rsidRPr="00F22B27">
              <w:rPr>
                <w:rFonts w:ascii="Arial" w:hAnsi="Arial"/>
                <w:snapToGrid w:val="0"/>
                <w:lang w:val="fr-CA"/>
              </w:rPr>
              <w:t xml:space="preserve"> </w:t>
            </w:r>
            <w:r w:rsidRPr="00F22B27">
              <w:rPr>
                <w:rFonts w:ascii="Arial" w:hAnsi="Arial"/>
                <w:snapToGrid w:val="0"/>
                <w:lang w:val="fr-CA"/>
              </w:rPr>
              <w:t>Si le patient n’a aucun dossier ou s’il n’y a qu’une épreuve antérieure au dossier, il faut reprendre le groupage ABO et la détermination du facteur Rh.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9288" w:type="dxa"/>
            <w:gridSpan w:val="8"/>
          </w:tcPr>
          <w:p w:rsidR="00402E28" w:rsidRPr="00F22B27" w:rsidRDefault="004D474F" w:rsidP="000C1E01">
            <w:pPr>
              <w:pStyle w:val="Heading1"/>
            </w:pPr>
            <w:r w:rsidRPr="00F22B27">
              <w:t>Matériel</w:t>
            </w: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 w:val="restart"/>
          </w:tcPr>
          <w:p w:rsidR="00402E28" w:rsidRPr="00F22B27" w:rsidRDefault="00327595" w:rsidP="00005825">
            <w:pPr>
              <w:ind w:left="2045" w:hanging="2045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b/>
                <w:bCs/>
                <w:lang w:val="fr-CA"/>
              </w:rPr>
              <w:t>Équipement</w:t>
            </w:r>
            <w:r w:rsidR="00005825" w:rsidRPr="00F22B27">
              <w:rPr>
                <w:rFonts w:ascii="Arial" w:hAnsi="Arial"/>
                <w:b/>
                <w:bCs/>
                <w:lang w:val="fr-CA"/>
              </w:rPr>
              <w:t xml:space="preserve"> </w:t>
            </w:r>
            <w:r w:rsidR="00402E28" w:rsidRPr="00F22B27">
              <w:rPr>
                <w:rFonts w:ascii="Arial" w:hAnsi="Arial"/>
                <w:b/>
                <w:bCs/>
                <w:lang w:val="fr-CA"/>
              </w:rPr>
              <w:t>:</w:t>
            </w:r>
            <w:r w:rsidR="008C0A67" w:rsidRPr="00F22B27">
              <w:rPr>
                <w:rFonts w:ascii="Arial" w:hAnsi="Arial"/>
                <w:lang w:val="fr-CA"/>
              </w:rPr>
              <w:t xml:space="preserve"> </w:t>
            </w:r>
            <w:r w:rsidR="00005825" w:rsidRPr="00F22B27">
              <w:rPr>
                <w:rFonts w:ascii="Arial" w:hAnsi="Arial"/>
                <w:lang w:val="fr-CA"/>
              </w:rPr>
              <w:tab/>
              <w:t>agitateur à plaquettes</w:t>
            </w:r>
            <w:r w:rsidR="00F41B6C" w:rsidRPr="00F22B27">
              <w:rPr>
                <w:rFonts w:ascii="Arial" w:hAnsi="Arial"/>
                <w:lang w:val="fr-CA"/>
              </w:rPr>
              <w:t xml:space="preserve"> </w:t>
            </w:r>
            <w:proofErr w:type="gramStart"/>
            <w:r w:rsidR="00F41B6C" w:rsidRPr="00F22B27">
              <w:rPr>
                <w:rFonts w:ascii="Arial" w:hAnsi="Arial"/>
                <w:lang w:val="fr-CA"/>
              </w:rPr>
              <w:t>ou</w:t>
            </w:r>
            <w:proofErr w:type="gramEnd"/>
          </w:p>
          <w:p w:rsidR="00402E28" w:rsidRPr="00F22B27" w:rsidRDefault="008C0A67" w:rsidP="00005825">
            <w:pPr>
              <w:ind w:left="2045" w:hanging="2045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           </w:t>
            </w:r>
            <w:r w:rsidR="00005825" w:rsidRPr="00F22B27">
              <w:rPr>
                <w:rFonts w:ascii="Arial" w:hAnsi="Arial"/>
                <w:lang w:val="fr-CA"/>
              </w:rPr>
              <w:tab/>
            </w:r>
            <w:proofErr w:type="gramStart"/>
            <w:r w:rsidR="00005825" w:rsidRPr="00F22B27">
              <w:rPr>
                <w:rFonts w:ascii="Arial" w:hAnsi="Arial"/>
                <w:lang w:val="fr-CA"/>
              </w:rPr>
              <w:t>incubateur</w:t>
            </w:r>
            <w:proofErr w:type="gramEnd"/>
            <w:r w:rsidR="00005825" w:rsidRPr="00F22B27">
              <w:rPr>
                <w:rFonts w:ascii="Arial" w:hAnsi="Arial"/>
                <w:lang w:val="fr-CA"/>
              </w:rPr>
              <w:t xml:space="preserve"> à plaquettes pour maintenir leur température entre </w:t>
            </w:r>
            <w:r w:rsidR="00402E28" w:rsidRPr="00F22B27">
              <w:rPr>
                <w:rFonts w:ascii="Arial" w:hAnsi="Arial"/>
                <w:lang w:val="fr-CA"/>
              </w:rPr>
              <w:t>20</w:t>
            </w:r>
            <w:r w:rsidR="00005825" w:rsidRPr="00F22B27">
              <w:rPr>
                <w:rFonts w:ascii="Arial" w:hAnsi="Arial"/>
                <w:lang w:val="fr-CA"/>
              </w:rPr>
              <w:t xml:space="preserve"> et </w:t>
            </w:r>
            <w:r w:rsidR="00402E28" w:rsidRPr="00F22B27">
              <w:rPr>
                <w:rFonts w:ascii="Arial" w:hAnsi="Arial"/>
                <w:lang w:val="fr-CA"/>
              </w:rPr>
              <w:t>24</w:t>
            </w:r>
            <w:r w:rsidR="00005825" w:rsidRPr="00F22B27">
              <w:rPr>
                <w:rFonts w:ascii="Arial" w:hAnsi="Arial"/>
                <w:lang w:val="fr-CA"/>
              </w:rPr>
              <w:t xml:space="preserve"> </w:t>
            </w:r>
            <w:proofErr w:type="spellStart"/>
            <w:r w:rsidR="00005825" w:rsidRPr="00F22B27">
              <w:rPr>
                <w:rFonts w:ascii="Arial" w:hAnsi="Arial"/>
                <w:vertAlign w:val="superscript"/>
                <w:lang w:val="fr-CA"/>
              </w:rPr>
              <w:t>o</w:t>
            </w:r>
            <w:r w:rsidR="00402E28" w:rsidRPr="00F22B27">
              <w:rPr>
                <w:rFonts w:ascii="Arial" w:hAnsi="Arial"/>
                <w:lang w:val="fr-CA"/>
              </w:rPr>
              <w:t>C</w:t>
            </w:r>
            <w:proofErr w:type="spellEnd"/>
            <w:r w:rsidR="00005825" w:rsidRPr="00F22B27">
              <w:rPr>
                <w:rFonts w:ascii="Arial" w:hAnsi="Arial"/>
                <w:lang w:val="fr-CA"/>
              </w:rPr>
              <w:t>, le cas échéant</w:t>
            </w:r>
          </w:p>
          <w:p w:rsidR="00402E28" w:rsidRPr="00F22B27" w:rsidRDefault="00005825" w:rsidP="00F41B6C">
            <w:pPr>
              <w:ind w:left="2045" w:hanging="2045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ab/>
            </w:r>
          </w:p>
          <w:p w:rsidR="00005825" w:rsidRPr="00F22B27" w:rsidRDefault="00005825" w:rsidP="00005825">
            <w:pPr>
              <w:pStyle w:val="BodyText"/>
              <w:ind w:left="2045" w:hanging="2045"/>
              <w:rPr>
                <w:b w:val="0"/>
                <w:bCs/>
                <w:kern w:val="24"/>
                <w:lang w:val="fr-CA"/>
              </w:rPr>
            </w:pPr>
          </w:p>
          <w:p w:rsidR="00402E28" w:rsidRPr="00F22B27" w:rsidRDefault="00005825" w:rsidP="00005825">
            <w:pPr>
              <w:pStyle w:val="BodyText"/>
              <w:ind w:left="2045" w:hanging="2045"/>
              <w:rPr>
                <w:b w:val="0"/>
                <w:bCs/>
                <w:lang w:val="fr-CA"/>
              </w:rPr>
            </w:pPr>
            <w:r w:rsidRPr="00241462">
              <w:rPr>
                <w:bCs/>
                <w:kern w:val="24"/>
                <w:lang w:val="fr-CA"/>
              </w:rPr>
              <w:t>Fournitures</w:t>
            </w:r>
            <w:r w:rsidRPr="00F22B27">
              <w:rPr>
                <w:b w:val="0"/>
                <w:bCs/>
                <w:kern w:val="24"/>
                <w:lang w:val="fr-CA"/>
              </w:rPr>
              <w:t xml:space="preserve"> : </w:t>
            </w:r>
            <w:r w:rsidRPr="00F22B27">
              <w:rPr>
                <w:b w:val="0"/>
                <w:bCs/>
                <w:kern w:val="24"/>
                <w:lang w:val="fr-CA"/>
              </w:rPr>
              <w:tab/>
            </w:r>
            <w:r w:rsidR="00C405F1" w:rsidRPr="00F22B27">
              <w:rPr>
                <w:b w:val="0"/>
                <w:bCs/>
                <w:kern w:val="24"/>
                <w:lang w:val="fr-CA"/>
              </w:rPr>
              <w:t xml:space="preserve">produits de plaquettes </w:t>
            </w:r>
          </w:p>
          <w:p w:rsidR="00402E28" w:rsidRPr="00F22B27" w:rsidRDefault="00402E28" w:rsidP="00005825">
            <w:pPr>
              <w:ind w:left="2045" w:hanging="2045"/>
              <w:rPr>
                <w:rFonts w:ascii="Arial" w:hAnsi="Arial"/>
                <w:highlight w:val="yellow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  <w:trHeight w:val="234"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35" w:type="dxa"/>
            <w:gridSpan w:val="2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9288" w:type="dxa"/>
            <w:gridSpan w:val="8"/>
          </w:tcPr>
          <w:p w:rsidR="00402E28" w:rsidRPr="00F22B27" w:rsidRDefault="004D474F" w:rsidP="000C1E01">
            <w:pPr>
              <w:pStyle w:val="Heading1"/>
            </w:pPr>
            <w:r w:rsidRPr="00F22B27">
              <w:t>Contrôle de la qualité</w:t>
            </w:r>
          </w:p>
        </w:tc>
      </w:tr>
      <w:tr w:rsidR="00402E28" w:rsidRPr="00F22B27" w:rsidTr="00C405F1">
        <w:trPr>
          <w:gridAfter w:val="3"/>
          <w:wAfter w:w="5725" w:type="dxa"/>
          <w:cantSplit/>
        </w:trPr>
        <w:tc>
          <w:tcPr>
            <w:tcW w:w="828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8" w:type="dxa"/>
            <w:gridSpan w:val="2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5.1</w:t>
            </w:r>
          </w:p>
        </w:tc>
        <w:tc>
          <w:tcPr>
            <w:tcW w:w="7762" w:type="dxa"/>
            <w:gridSpan w:val="5"/>
          </w:tcPr>
          <w:p w:rsidR="00402E28" w:rsidRPr="00F22B27" w:rsidRDefault="004D474F" w:rsidP="004D474F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Entreposage et durée de conservation :</w:t>
            </w:r>
          </w:p>
        </w:tc>
      </w:tr>
      <w:tr w:rsidR="00402E28" w:rsidRPr="00F22B27" w:rsidTr="00C405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7789" w:type="dxa"/>
          <w:cantSplit/>
          <w:trHeight w:val="408"/>
          <w:jc w:val="center"/>
        </w:trPr>
        <w:tc>
          <w:tcPr>
            <w:tcW w:w="3120" w:type="dxa"/>
            <w:gridSpan w:val="3"/>
          </w:tcPr>
          <w:p w:rsidR="00402E28" w:rsidRPr="00F22B27" w:rsidRDefault="00C405F1" w:rsidP="004D474F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Composant</w:t>
            </w:r>
            <w:r w:rsidR="00402E28" w:rsidRPr="00F22B27">
              <w:rPr>
                <w:rFonts w:ascii="Arial" w:hAnsi="Arial"/>
                <w:sz w:val="24"/>
                <w:lang w:val="fr-CA"/>
              </w:rPr>
              <w:t xml:space="preserve"> </w:t>
            </w:r>
          </w:p>
          <w:p w:rsidR="00402E28" w:rsidRPr="00F22B27" w:rsidRDefault="00402E28">
            <w:pPr>
              <w:pStyle w:val="PlainText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4104" w:type="dxa"/>
          </w:tcPr>
          <w:p w:rsidR="00402E28" w:rsidRPr="00F22B27" w:rsidRDefault="00C405F1" w:rsidP="00C405F1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Durée de conservation en circuit fermé</w:t>
            </w:r>
          </w:p>
        </w:tc>
      </w:tr>
      <w:tr w:rsidR="00402E28" w:rsidRPr="00F22B27" w:rsidTr="00C405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7789" w:type="dxa"/>
          <w:cantSplit/>
          <w:trHeight w:val="461"/>
          <w:jc w:val="center"/>
        </w:trPr>
        <w:tc>
          <w:tcPr>
            <w:tcW w:w="3120" w:type="dxa"/>
            <w:gridSpan w:val="3"/>
          </w:tcPr>
          <w:p w:rsidR="00C405F1" w:rsidRPr="00F22B27" w:rsidRDefault="00C405F1" w:rsidP="004D474F">
            <w:pPr>
              <w:pStyle w:val="PlainText"/>
              <w:rPr>
                <w:rFonts w:ascii="Arial" w:hAnsi="Arial"/>
                <w:sz w:val="24"/>
                <w:szCs w:val="24"/>
                <w:lang w:val="fr-CA"/>
              </w:rPr>
            </w:pPr>
            <w:r w:rsidRPr="00F22B27">
              <w:rPr>
                <w:rFonts w:ascii="Arial" w:hAnsi="Arial"/>
                <w:sz w:val="24"/>
                <w:szCs w:val="24"/>
                <w:lang w:val="fr-CA"/>
              </w:rPr>
              <w:t xml:space="preserve">Plaquettes </w:t>
            </w:r>
            <w:r w:rsidR="002F220B">
              <w:rPr>
                <w:rFonts w:ascii="Arial" w:hAnsi="Arial"/>
                <w:sz w:val="24"/>
                <w:szCs w:val="24"/>
                <w:lang w:val="fr-CA"/>
              </w:rPr>
              <w:t>mélangées</w:t>
            </w:r>
            <w:r w:rsidRPr="00F22B27">
              <w:rPr>
                <w:rFonts w:ascii="Arial" w:hAnsi="Arial"/>
                <w:sz w:val="24"/>
                <w:szCs w:val="24"/>
                <w:lang w:val="fr-CA"/>
              </w:rPr>
              <w:t xml:space="preserve"> déleucocytées </w:t>
            </w:r>
            <w:proofErr w:type="gramStart"/>
            <w:r w:rsidRPr="00F22B27">
              <w:rPr>
                <w:rFonts w:ascii="Arial" w:hAnsi="Arial"/>
                <w:sz w:val="24"/>
                <w:szCs w:val="24"/>
                <w:lang w:val="fr-CA"/>
              </w:rPr>
              <w:t>OU</w:t>
            </w:r>
            <w:proofErr w:type="gramEnd"/>
          </w:p>
          <w:p w:rsidR="00402E28" w:rsidRPr="00F22B27" w:rsidRDefault="00C405F1" w:rsidP="00C405F1">
            <w:pPr>
              <w:pStyle w:val="PlainText"/>
              <w:rPr>
                <w:rFonts w:ascii="Arial" w:hAnsi="Arial"/>
                <w:sz w:val="24"/>
                <w:szCs w:val="24"/>
                <w:lang w:val="fr-CA"/>
              </w:rPr>
            </w:pPr>
            <w:r w:rsidRPr="00F22B27">
              <w:rPr>
                <w:rFonts w:ascii="Arial" w:hAnsi="Arial"/>
                <w:sz w:val="24"/>
                <w:szCs w:val="24"/>
                <w:lang w:val="fr-CA"/>
              </w:rPr>
              <w:t>Plaquettes d’aphérèse</w:t>
            </w:r>
          </w:p>
        </w:tc>
        <w:tc>
          <w:tcPr>
            <w:tcW w:w="4104" w:type="dxa"/>
          </w:tcPr>
          <w:p w:rsidR="00402E28" w:rsidRPr="00F22B27" w:rsidRDefault="00C405F1" w:rsidP="00C405F1">
            <w:pPr>
              <w:rPr>
                <w:rFonts w:ascii="Arial" w:hAnsi="Arial"/>
                <w:szCs w:val="24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5 jours à compter de la date de leur collecte à 20 à 24 </w:t>
            </w:r>
            <w:proofErr w:type="spellStart"/>
            <w:r w:rsidRPr="00F22B27">
              <w:rPr>
                <w:rFonts w:ascii="Arial" w:hAnsi="Arial"/>
                <w:vertAlign w:val="superscript"/>
                <w:lang w:val="fr-CA"/>
              </w:rPr>
              <w:t>o</w:t>
            </w:r>
            <w:r w:rsidRPr="00F22B27">
              <w:rPr>
                <w:rFonts w:ascii="Arial" w:hAnsi="Arial"/>
                <w:lang w:val="fr-CA"/>
              </w:rPr>
              <w:t>C</w:t>
            </w:r>
            <w:proofErr w:type="spellEnd"/>
            <w:r w:rsidRPr="00F22B27">
              <w:rPr>
                <w:rFonts w:ascii="Arial" w:hAnsi="Arial"/>
                <w:lang w:val="fr-CA"/>
              </w:rPr>
              <w:t xml:space="preserve"> dans un appareil qui les agite doucement</w:t>
            </w:r>
          </w:p>
        </w:tc>
      </w:tr>
      <w:tr w:rsidR="00402E28" w:rsidRPr="00F22B27" w:rsidTr="00C405F1">
        <w:trPr>
          <w:gridAfter w:val="3"/>
          <w:wAfter w:w="5725" w:type="dxa"/>
          <w:cantSplit/>
          <w:trHeight w:hRule="exact" w:val="288"/>
        </w:trPr>
        <w:tc>
          <w:tcPr>
            <w:tcW w:w="828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60" w:type="dxa"/>
            <w:gridSpan w:val="7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  <w:p w:rsidR="00B711C3" w:rsidRPr="00F22B27" w:rsidRDefault="00B711C3">
            <w:pPr>
              <w:rPr>
                <w:rFonts w:ascii="Arial" w:hAnsi="Arial"/>
                <w:lang w:val="fr-CA"/>
              </w:rPr>
            </w:pPr>
          </w:p>
          <w:p w:rsidR="00B711C3" w:rsidRPr="00F22B27" w:rsidRDefault="00B711C3">
            <w:pPr>
              <w:rPr>
                <w:rFonts w:ascii="Arial" w:hAnsi="Arial"/>
                <w:lang w:val="fr-CA"/>
              </w:rPr>
            </w:pPr>
          </w:p>
          <w:p w:rsidR="00B711C3" w:rsidRPr="00F22B27" w:rsidRDefault="00B711C3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28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8" w:type="dxa"/>
            <w:gridSpan w:val="2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5.2</w:t>
            </w:r>
          </w:p>
        </w:tc>
        <w:tc>
          <w:tcPr>
            <w:tcW w:w="7796" w:type="dxa"/>
            <w:gridSpan w:val="6"/>
          </w:tcPr>
          <w:p w:rsidR="00402E28" w:rsidRPr="00F22B27" w:rsidRDefault="0092709E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Avant leur mise en circulation, il faut inspecter les plaquettes à la recherche de décoloration ou d’agglutination</w:t>
            </w:r>
            <w:r w:rsidR="00E56E8B">
              <w:rPr>
                <w:rFonts w:ascii="Arial" w:hAnsi="Arial"/>
                <w:lang w:val="fr-CA"/>
              </w:rPr>
              <w:t> </w:t>
            </w:r>
            <w:r w:rsidRPr="00F22B27">
              <w:rPr>
                <w:rFonts w:ascii="Arial" w:hAnsi="Arial"/>
                <w:lang w:val="fr-CA"/>
              </w:rPr>
              <w:t>excessive</w:t>
            </w:r>
            <w:r w:rsidR="00C405F1" w:rsidRPr="00F22B27">
              <w:rPr>
                <w:rFonts w:ascii="Arial" w:hAnsi="Arial"/>
                <w:vertAlign w:val="superscript"/>
                <w:lang w:val="fr-CA"/>
              </w:rPr>
              <w:t>9.2</w:t>
            </w:r>
            <w:r w:rsidR="00402E28" w:rsidRPr="00F22B27">
              <w:rPr>
                <w:rFonts w:ascii="Arial" w:hAnsi="Arial"/>
                <w:lang w:val="fr-CA"/>
              </w:rPr>
              <w:t xml:space="preserve">. 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28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8" w:type="dxa"/>
            <w:gridSpan w:val="2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5.3</w:t>
            </w:r>
          </w:p>
        </w:tc>
        <w:tc>
          <w:tcPr>
            <w:tcW w:w="7796" w:type="dxa"/>
            <w:gridSpan w:val="6"/>
          </w:tcPr>
          <w:p w:rsidR="00402E28" w:rsidRPr="00F22B27" w:rsidRDefault="00C405F1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De 10 minutes à 1 heure après la fin de la transfusion, il faut prélever un échantillon pour procéder à une numération plaquettaire</w:t>
            </w:r>
            <w:r w:rsidR="00E56E8B">
              <w:rPr>
                <w:rFonts w:ascii="Arial" w:hAnsi="Arial"/>
                <w:lang w:val="fr-CA"/>
              </w:rPr>
              <w:t> </w:t>
            </w:r>
            <w:r w:rsidRPr="00F22B27">
              <w:rPr>
                <w:rFonts w:ascii="Arial" w:hAnsi="Arial"/>
                <w:lang w:val="fr-CA"/>
              </w:rPr>
              <w:t>post-transfusionnelle</w:t>
            </w:r>
            <w:r w:rsidRPr="00F22B27">
              <w:rPr>
                <w:rFonts w:ascii="Arial" w:hAnsi="Arial"/>
                <w:vertAlign w:val="superscript"/>
                <w:lang w:val="fr-CA"/>
              </w:rPr>
              <w:t>9.3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C405F1">
        <w:trPr>
          <w:gridAfter w:val="2"/>
          <w:wAfter w:w="5691" w:type="dxa"/>
          <w:cantSplit/>
        </w:trPr>
        <w:tc>
          <w:tcPr>
            <w:tcW w:w="828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8" w:type="dxa"/>
            <w:gridSpan w:val="2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1012" w:type="dxa"/>
          </w:tcPr>
          <w:p w:rsidR="00402E28" w:rsidRPr="00F22B27" w:rsidRDefault="00402E28" w:rsidP="00C405F1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5.</w:t>
            </w:r>
            <w:r w:rsidR="00C405F1" w:rsidRPr="00F22B27">
              <w:rPr>
                <w:rFonts w:ascii="Arial" w:hAnsi="Arial"/>
                <w:lang w:val="fr-CA"/>
              </w:rPr>
              <w:t>3</w:t>
            </w:r>
            <w:r w:rsidRPr="00F22B27">
              <w:rPr>
                <w:rFonts w:ascii="Arial" w:hAnsi="Arial"/>
                <w:lang w:val="fr-CA"/>
              </w:rPr>
              <w:t>.1</w:t>
            </w:r>
          </w:p>
        </w:tc>
        <w:tc>
          <w:tcPr>
            <w:tcW w:w="6784" w:type="dxa"/>
            <w:gridSpan w:val="5"/>
          </w:tcPr>
          <w:p w:rsidR="00402E28" w:rsidRPr="00F22B27" w:rsidRDefault="0031514B" w:rsidP="00C405F1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La réponse attendue à la </w:t>
            </w:r>
            <w:r w:rsidR="00402E28" w:rsidRPr="00F22B27">
              <w:rPr>
                <w:rFonts w:ascii="Arial" w:hAnsi="Arial"/>
                <w:lang w:val="fr-CA"/>
              </w:rPr>
              <w:t xml:space="preserve">transfusion </w:t>
            </w:r>
            <w:r w:rsidRPr="00F22B27">
              <w:rPr>
                <w:rFonts w:ascii="Arial" w:hAnsi="Arial"/>
                <w:lang w:val="fr-CA"/>
              </w:rPr>
              <w:t>dépend du nombre de plaquettes transfusées, du poids du patient et de son état</w:t>
            </w:r>
            <w:r w:rsidR="00402E28" w:rsidRPr="00F22B27">
              <w:rPr>
                <w:rFonts w:ascii="Arial" w:hAnsi="Arial"/>
                <w:lang w:val="fr-CA"/>
              </w:rPr>
              <w:t>.</w:t>
            </w:r>
            <w:r w:rsidR="008C0A67" w:rsidRPr="00F22B27">
              <w:rPr>
                <w:rFonts w:ascii="Arial" w:hAnsi="Arial"/>
                <w:lang w:val="fr-CA"/>
              </w:rPr>
              <w:t xml:space="preserve"> </w:t>
            </w:r>
            <w:r w:rsidRPr="00F22B27">
              <w:rPr>
                <w:rFonts w:ascii="Arial" w:hAnsi="Arial"/>
                <w:lang w:val="fr-CA"/>
              </w:rPr>
              <w:t>E</w:t>
            </w:r>
            <w:r w:rsidR="00402E28" w:rsidRPr="00F22B27">
              <w:rPr>
                <w:rFonts w:ascii="Arial" w:hAnsi="Arial"/>
                <w:lang w:val="fr-CA"/>
              </w:rPr>
              <w:t>n g</w:t>
            </w:r>
            <w:r w:rsidRPr="00F22B27">
              <w:rPr>
                <w:rFonts w:ascii="Arial" w:hAnsi="Arial"/>
                <w:lang w:val="fr-CA"/>
              </w:rPr>
              <w:t>éné</w:t>
            </w:r>
            <w:r w:rsidR="00402E28" w:rsidRPr="00F22B27">
              <w:rPr>
                <w:rFonts w:ascii="Arial" w:hAnsi="Arial"/>
                <w:lang w:val="fr-CA"/>
              </w:rPr>
              <w:t xml:space="preserve">ral, </w:t>
            </w:r>
            <w:r w:rsidRPr="00F22B27">
              <w:rPr>
                <w:rFonts w:ascii="Arial" w:hAnsi="Arial"/>
                <w:lang w:val="fr-CA"/>
              </w:rPr>
              <w:t xml:space="preserve">une unité augmente le nombre de plaquettes chez l’adulte de </w:t>
            </w:r>
            <w:r w:rsidR="00402E28" w:rsidRPr="00F22B27">
              <w:rPr>
                <w:rFonts w:ascii="Arial" w:hAnsi="Arial"/>
                <w:lang w:val="fr-CA"/>
              </w:rPr>
              <w:t>5</w:t>
            </w:r>
            <w:r w:rsidRPr="00F22B27">
              <w:rPr>
                <w:rFonts w:ascii="Arial" w:hAnsi="Arial"/>
                <w:lang w:val="fr-CA"/>
              </w:rPr>
              <w:t xml:space="preserve"> à 1</w:t>
            </w:r>
            <w:r w:rsidR="00402E28" w:rsidRPr="00F22B27">
              <w:rPr>
                <w:rFonts w:ascii="Arial" w:hAnsi="Arial"/>
                <w:lang w:val="fr-CA"/>
              </w:rPr>
              <w:t>0 x</w:t>
            </w:r>
            <w:r w:rsidR="00E56E8B">
              <w:rPr>
                <w:rFonts w:ascii="Arial" w:hAnsi="Arial"/>
                <w:lang w:val="fr-CA"/>
              </w:rPr>
              <w:t> </w:t>
            </w:r>
            <w:r w:rsidR="00402E28" w:rsidRPr="00F22B27">
              <w:rPr>
                <w:rFonts w:ascii="Arial" w:hAnsi="Arial"/>
                <w:lang w:val="fr-CA"/>
              </w:rPr>
              <w:t>10</w:t>
            </w:r>
            <w:r w:rsidR="00402E28" w:rsidRPr="00F22B27">
              <w:rPr>
                <w:rFonts w:ascii="Arial" w:hAnsi="Arial"/>
                <w:vertAlign w:val="superscript"/>
                <w:lang w:val="fr-CA"/>
              </w:rPr>
              <w:t>9</w:t>
            </w:r>
            <w:r w:rsidR="00402E28" w:rsidRPr="00F22B27">
              <w:rPr>
                <w:rFonts w:ascii="Arial" w:hAnsi="Arial"/>
                <w:lang w:val="fr-CA"/>
              </w:rPr>
              <w:t xml:space="preserve">/L </w:t>
            </w:r>
            <w:r w:rsidRPr="00F22B27">
              <w:rPr>
                <w:rFonts w:ascii="Arial" w:hAnsi="Arial"/>
                <w:lang w:val="fr-CA"/>
              </w:rPr>
              <w:t xml:space="preserve">lorsque la quantité est mesurée </w:t>
            </w:r>
            <w:r w:rsidR="00F005BC" w:rsidRPr="00F22B27">
              <w:rPr>
                <w:rFonts w:ascii="Arial" w:hAnsi="Arial"/>
                <w:lang w:val="fr-CA"/>
              </w:rPr>
              <w:t>10</w:t>
            </w:r>
            <w:r w:rsidR="00E56E8B">
              <w:rPr>
                <w:rFonts w:ascii="Arial" w:hAnsi="Arial"/>
                <w:lang w:val="fr-CA"/>
              </w:rPr>
              <w:t> </w:t>
            </w:r>
            <w:r w:rsidRPr="00F22B27">
              <w:rPr>
                <w:rFonts w:ascii="Arial" w:hAnsi="Arial"/>
                <w:lang w:val="fr-CA"/>
              </w:rPr>
              <w:t xml:space="preserve">minutes à </w:t>
            </w:r>
            <w:r w:rsidR="00F005BC" w:rsidRPr="00F22B27">
              <w:rPr>
                <w:rFonts w:ascii="Arial" w:hAnsi="Arial"/>
                <w:lang w:val="fr-CA"/>
              </w:rPr>
              <w:t>1</w:t>
            </w:r>
            <w:r w:rsidRPr="00F22B27">
              <w:rPr>
                <w:rFonts w:ascii="Arial" w:hAnsi="Arial"/>
                <w:lang w:val="fr-CA"/>
              </w:rPr>
              <w:t xml:space="preserve"> heure après la fin de la </w:t>
            </w:r>
            <w:r w:rsidR="00402E28" w:rsidRPr="00F22B27">
              <w:rPr>
                <w:rFonts w:ascii="Arial" w:hAnsi="Arial"/>
                <w:lang w:val="fr-CA"/>
              </w:rPr>
              <w:t>transfusion</w:t>
            </w:r>
            <w:r w:rsidR="00C405F1" w:rsidRPr="00F22B27">
              <w:rPr>
                <w:rFonts w:ascii="Arial" w:hAnsi="Arial"/>
                <w:vertAlign w:val="superscript"/>
                <w:lang w:val="fr-CA"/>
              </w:rPr>
              <w:t>9.3</w:t>
            </w:r>
            <w:r w:rsidR="00402E28" w:rsidRPr="00F22B27">
              <w:rPr>
                <w:rFonts w:ascii="Arial" w:hAnsi="Arial"/>
                <w:lang w:val="fr-CA"/>
              </w:rPr>
              <w:t>.</w:t>
            </w:r>
          </w:p>
        </w:tc>
      </w:tr>
    </w:tbl>
    <w:p w:rsidR="00402E28" w:rsidRPr="00F22B27" w:rsidRDefault="00402E28">
      <w:pPr>
        <w:rPr>
          <w:lang w:val="fr-C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35"/>
        <w:gridCol w:w="803"/>
        <w:gridCol w:w="32"/>
        <w:gridCol w:w="6815"/>
        <w:gridCol w:w="803"/>
        <w:gridCol w:w="236"/>
        <w:gridCol w:w="82"/>
      </w:tblGrid>
      <w:tr w:rsidR="00402E28" w:rsidRPr="00F22B27" w:rsidTr="00234082">
        <w:trPr>
          <w:gridAfter w:val="2"/>
          <w:wAfter w:w="318" w:type="dxa"/>
          <w:cantSplit/>
        </w:trPr>
        <w:tc>
          <w:tcPr>
            <w:tcW w:w="9288" w:type="dxa"/>
            <w:gridSpan w:val="5"/>
          </w:tcPr>
          <w:p w:rsidR="00402E28" w:rsidRPr="00F22B27" w:rsidRDefault="004D474F" w:rsidP="000C1E01">
            <w:pPr>
              <w:pStyle w:val="Heading1"/>
            </w:pPr>
            <w:r w:rsidRPr="00F22B27">
              <w:t>Procédure</w:t>
            </w: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6.1</w:t>
            </w:r>
          </w:p>
        </w:tc>
        <w:tc>
          <w:tcPr>
            <w:tcW w:w="7650" w:type="dxa"/>
            <w:gridSpan w:val="3"/>
          </w:tcPr>
          <w:p w:rsidR="00402E28" w:rsidRPr="00F22B27" w:rsidRDefault="00903A27" w:rsidP="004D47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Choisir des plaquettes de groupe sanguin et de facteur Rh appropriés de l’agitateur à plaquettes ou les commander à la SCS. Voir Portée et politiques connexes</w:t>
            </w:r>
            <w:r w:rsidR="00E56E8B">
              <w:rPr>
                <w:rFonts w:ascii="Arial" w:hAnsi="Arial"/>
                <w:lang w:val="fr-CA"/>
              </w:rPr>
              <w:t> </w:t>
            </w:r>
            <w:r w:rsidRPr="00F22B27">
              <w:rPr>
                <w:rFonts w:ascii="Arial" w:hAnsi="Arial"/>
                <w:lang w:val="fr-CA"/>
              </w:rPr>
              <w:t>2.4.</w:t>
            </w:r>
          </w:p>
          <w:p w:rsidR="00903A27" w:rsidRPr="00F22B27" w:rsidRDefault="00903A27" w:rsidP="004D47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  <w:p w:rsidR="00903A27" w:rsidRPr="00F22B27" w:rsidRDefault="00903A27" w:rsidP="004D47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Si elles viennent de la SCS, les plaquettes </w:t>
            </w:r>
            <w:r w:rsidR="002F220B">
              <w:rPr>
                <w:rFonts w:ascii="Arial" w:hAnsi="Arial"/>
                <w:lang w:val="fr-CA"/>
              </w:rPr>
              <w:t>mélangées</w:t>
            </w:r>
            <w:r w:rsidRPr="00F22B27">
              <w:rPr>
                <w:rFonts w:ascii="Arial" w:hAnsi="Arial"/>
                <w:lang w:val="fr-CA"/>
              </w:rPr>
              <w:t xml:space="preserve"> ou d’aphérèse doivent être mises dans un agitateur/incubateur jusqu’à leur mise en circulation.</w:t>
            </w:r>
          </w:p>
          <w:p w:rsidR="00402E28" w:rsidRPr="00F22B27" w:rsidRDefault="00402E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6.2</w:t>
            </w:r>
          </w:p>
        </w:tc>
        <w:tc>
          <w:tcPr>
            <w:tcW w:w="7650" w:type="dxa"/>
            <w:gridSpan w:val="3"/>
          </w:tcPr>
          <w:p w:rsidR="00402E28" w:rsidRPr="00F22B27" w:rsidRDefault="00903A27" w:rsidP="00903A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  <w:r w:rsidRPr="00F22B27">
              <w:rPr>
                <w:rFonts w:ascii="Arial" w:hAnsi="Arial" w:cs="Arial"/>
                <w:lang w:val="fr-CA"/>
              </w:rPr>
              <w:t xml:space="preserve">Faire une inspection visuelle de chaque unité de plaquettes </w:t>
            </w:r>
            <w:r w:rsidR="002F220B">
              <w:rPr>
                <w:rFonts w:ascii="Arial" w:hAnsi="Arial" w:cs="Arial"/>
                <w:lang w:val="fr-CA"/>
              </w:rPr>
              <w:t xml:space="preserve">mélangées </w:t>
            </w:r>
            <w:r w:rsidRPr="00F22B27">
              <w:rPr>
                <w:rFonts w:ascii="Arial" w:hAnsi="Arial" w:cs="Arial"/>
                <w:lang w:val="fr-CA"/>
              </w:rPr>
              <w:t>ou d’aphérèse. Voir GI.003 - Inspection visuelle du sang, des composants sanguins et des produits de fractionnement.</w:t>
            </w:r>
          </w:p>
          <w:p w:rsidR="00903A27" w:rsidRPr="00F22B27" w:rsidRDefault="00903A27" w:rsidP="00903A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6.3</w:t>
            </w:r>
          </w:p>
        </w:tc>
        <w:tc>
          <w:tcPr>
            <w:tcW w:w="7650" w:type="dxa"/>
            <w:gridSpan w:val="3"/>
          </w:tcPr>
          <w:p w:rsidR="00402E28" w:rsidRPr="00F22B27" w:rsidRDefault="00903A27" w:rsidP="00903A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Étiqueter le produit </w:t>
            </w: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7650" w:type="dxa"/>
            <w:gridSpan w:val="3"/>
          </w:tcPr>
          <w:p w:rsidR="00402E28" w:rsidRPr="00F22B27" w:rsidRDefault="00903A27">
            <w:pPr>
              <w:pStyle w:val="PlainText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 xml:space="preserve">6.3.1 </w:t>
            </w:r>
            <w:r w:rsidRPr="00F22B27">
              <w:rPr>
                <w:rFonts w:ascii="Arial" w:hAnsi="Arial"/>
                <w:sz w:val="24"/>
                <w:lang w:val="fr-CA"/>
              </w:rPr>
              <w:tab/>
              <w:t>L’étiquette doit comprendre l</w:t>
            </w:r>
            <w:r w:rsidR="0018510C" w:rsidRPr="00F22B27">
              <w:rPr>
                <w:rFonts w:ascii="Arial" w:hAnsi="Arial"/>
                <w:sz w:val="24"/>
                <w:lang w:val="fr-CA"/>
              </w:rPr>
              <w:t>es données</w:t>
            </w:r>
            <w:r w:rsidR="00E56E8B">
              <w:rPr>
                <w:rFonts w:ascii="Arial" w:hAnsi="Arial"/>
                <w:sz w:val="24"/>
                <w:lang w:val="fr-CA"/>
              </w:rPr>
              <w:t> </w:t>
            </w:r>
            <w:r w:rsidR="0018510C" w:rsidRPr="00F22B27">
              <w:rPr>
                <w:rFonts w:ascii="Arial" w:hAnsi="Arial"/>
                <w:sz w:val="24"/>
                <w:lang w:val="fr-CA"/>
              </w:rPr>
              <w:t>suivantes</w:t>
            </w:r>
            <w:r w:rsidRPr="00F22B27">
              <w:rPr>
                <w:rFonts w:ascii="Arial" w:hAnsi="Arial"/>
                <w:sz w:val="24"/>
                <w:vertAlign w:val="superscript"/>
                <w:lang w:val="fr-CA"/>
              </w:rPr>
              <w:t>9.2</w:t>
            </w:r>
            <w:r w:rsidR="0018510C" w:rsidRPr="00F22B27">
              <w:rPr>
                <w:rFonts w:ascii="Arial" w:hAnsi="Arial"/>
                <w:sz w:val="24"/>
                <w:lang w:val="fr-CA"/>
              </w:rPr>
              <w:t xml:space="preserve"> : </w:t>
            </w:r>
          </w:p>
          <w:p w:rsidR="00903A27" w:rsidRPr="00F22B27" w:rsidRDefault="00903A27" w:rsidP="00903A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nom</w:t>
            </w:r>
            <w:proofErr w:type="gramEnd"/>
            <w:r w:rsidRPr="00F22B27">
              <w:rPr>
                <w:rFonts w:ascii="Arial" w:hAnsi="Arial"/>
                <w:sz w:val="24"/>
                <w:lang w:val="fr-CA"/>
              </w:rPr>
              <w:t xml:space="preserve"> de famille et prénom(s) du receveur</w:t>
            </w:r>
          </w:p>
          <w:p w:rsidR="00903A27" w:rsidRPr="00F22B27" w:rsidRDefault="004D474F" w:rsidP="00903A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n</w:t>
            </w:r>
            <w:r w:rsidR="00903A27" w:rsidRPr="00F22B27">
              <w:rPr>
                <w:rFonts w:ascii="Arial" w:hAnsi="Arial"/>
                <w:sz w:val="24"/>
                <w:lang w:val="fr-CA"/>
              </w:rPr>
              <w:t>uméro</w:t>
            </w:r>
            <w:proofErr w:type="gramEnd"/>
            <w:r w:rsidR="00903A27" w:rsidRPr="00F22B27">
              <w:rPr>
                <w:rFonts w:ascii="Arial" w:hAnsi="Arial"/>
                <w:sz w:val="24"/>
                <w:lang w:val="fr-CA"/>
              </w:rPr>
              <w:t xml:space="preserve"> d’identification du receveur</w:t>
            </w:r>
          </w:p>
          <w:p w:rsidR="00903A27" w:rsidRPr="00F22B27" w:rsidRDefault="00903A27" w:rsidP="00903A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groupe</w:t>
            </w:r>
            <w:proofErr w:type="gramEnd"/>
            <w:r w:rsidRPr="00F22B27">
              <w:rPr>
                <w:rFonts w:ascii="Arial" w:hAnsi="Arial"/>
                <w:sz w:val="24"/>
                <w:lang w:val="fr-CA"/>
              </w:rPr>
              <w:t xml:space="preserve"> ABO/Rh du receveur</w:t>
            </w:r>
          </w:p>
          <w:p w:rsidR="00903A27" w:rsidRPr="00F22B27" w:rsidRDefault="00903A27" w:rsidP="005810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groupe</w:t>
            </w:r>
            <w:proofErr w:type="gramEnd"/>
            <w:r w:rsidRPr="00F22B27">
              <w:rPr>
                <w:rFonts w:ascii="Arial" w:hAnsi="Arial"/>
                <w:sz w:val="24"/>
                <w:lang w:val="fr-CA"/>
              </w:rPr>
              <w:t xml:space="preserve"> ABO/Rh des unités de plaquettes m</w:t>
            </w:r>
            <w:r w:rsidR="002F220B">
              <w:rPr>
                <w:rFonts w:ascii="Arial" w:hAnsi="Arial"/>
                <w:sz w:val="24"/>
                <w:lang w:val="fr-CA"/>
              </w:rPr>
              <w:t>élangées</w:t>
            </w:r>
            <w:r w:rsidRPr="00F22B27">
              <w:rPr>
                <w:rFonts w:ascii="Arial" w:hAnsi="Arial"/>
                <w:sz w:val="24"/>
                <w:lang w:val="fr-CA"/>
              </w:rPr>
              <w:t xml:space="preserve"> ou d’aphérèse</w:t>
            </w:r>
          </w:p>
          <w:p w:rsidR="00402E28" w:rsidRPr="00F22B27" w:rsidRDefault="00903A27" w:rsidP="005810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numéro</w:t>
            </w:r>
            <w:proofErr w:type="gramEnd"/>
            <w:r w:rsidRPr="00F22B27">
              <w:rPr>
                <w:rFonts w:ascii="Arial" w:hAnsi="Arial"/>
                <w:sz w:val="24"/>
                <w:lang w:val="fr-CA"/>
              </w:rPr>
              <w:t xml:space="preserve"> d’identification des plaquettes </w:t>
            </w:r>
            <w:r w:rsidR="002F220B">
              <w:rPr>
                <w:rFonts w:ascii="Arial" w:hAnsi="Arial"/>
                <w:sz w:val="24"/>
                <w:lang w:val="fr-CA"/>
              </w:rPr>
              <w:t>mélangées</w:t>
            </w:r>
            <w:r w:rsidRPr="00F22B27">
              <w:rPr>
                <w:rFonts w:ascii="Arial" w:hAnsi="Arial"/>
                <w:sz w:val="24"/>
                <w:lang w:val="fr-CA"/>
              </w:rPr>
              <w:t xml:space="preserve"> ou d’aphérèse</w:t>
            </w:r>
          </w:p>
          <w:p w:rsidR="00613DA8" w:rsidRPr="00F22B27" w:rsidRDefault="00903A27" w:rsidP="00613DA8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proofErr w:type="gramStart"/>
            <w:r w:rsidRPr="00F22B27">
              <w:rPr>
                <w:rFonts w:ascii="Arial" w:hAnsi="Arial"/>
                <w:sz w:val="24"/>
                <w:lang w:val="fr-CA"/>
              </w:rPr>
              <w:t>nom</w:t>
            </w:r>
            <w:proofErr w:type="gramEnd"/>
            <w:r w:rsidRPr="00F22B27">
              <w:rPr>
                <w:rFonts w:ascii="Arial" w:hAnsi="Arial"/>
                <w:sz w:val="24"/>
                <w:lang w:val="fr-CA"/>
              </w:rPr>
              <w:t xml:space="preserve"> du produit (</w:t>
            </w:r>
            <w:r w:rsidR="00613DA8" w:rsidRPr="00F22B27">
              <w:rPr>
                <w:rFonts w:ascii="Arial" w:hAnsi="Arial"/>
                <w:sz w:val="24"/>
                <w:lang w:val="fr-CA"/>
              </w:rPr>
              <w:t>plaquettes m</w:t>
            </w:r>
            <w:r w:rsidR="002F220B">
              <w:rPr>
                <w:rFonts w:ascii="Arial" w:hAnsi="Arial"/>
                <w:sz w:val="24"/>
                <w:lang w:val="fr-CA"/>
              </w:rPr>
              <w:t>élangées</w:t>
            </w:r>
            <w:r w:rsidR="00613DA8" w:rsidRPr="00F22B27">
              <w:rPr>
                <w:rFonts w:ascii="Arial" w:hAnsi="Arial"/>
                <w:sz w:val="24"/>
                <w:lang w:val="fr-CA"/>
              </w:rPr>
              <w:t xml:space="preserve"> ou plaquettes d’aphérèse)</w:t>
            </w:r>
          </w:p>
          <w:p w:rsidR="00402E28" w:rsidRPr="00F22B27" w:rsidRDefault="00613DA8" w:rsidP="00903A27">
            <w:pPr>
              <w:pStyle w:val="PlainText"/>
              <w:numPr>
                <w:ilvl w:val="0"/>
                <w:numId w:val="27"/>
              </w:numPr>
              <w:tabs>
                <w:tab w:val="clear" w:pos="360"/>
                <w:tab w:val="num" w:pos="420"/>
              </w:tabs>
              <w:ind w:left="780"/>
              <w:rPr>
                <w:rFonts w:ascii="Arial" w:hAnsi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H</w:t>
            </w:r>
            <w:r w:rsidR="0018510C" w:rsidRPr="00F22B27">
              <w:rPr>
                <w:rFonts w:ascii="Arial" w:hAnsi="Arial"/>
                <w:sz w:val="24"/>
                <w:lang w:val="fr-CA"/>
              </w:rPr>
              <w:t xml:space="preserve">eure et date de </w:t>
            </w:r>
            <w:r w:rsidRPr="00F22B27">
              <w:rPr>
                <w:rFonts w:ascii="Arial" w:hAnsi="Arial"/>
                <w:sz w:val="24"/>
                <w:lang w:val="fr-CA"/>
              </w:rPr>
              <w:t>mise en circulation</w:t>
            </w:r>
          </w:p>
          <w:p w:rsidR="00613DA8" w:rsidRPr="00F22B27" w:rsidRDefault="00613DA8" w:rsidP="00613DA8">
            <w:pPr>
              <w:pStyle w:val="PlainText"/>
              <w:ind w:left="780"/>
              <w:rPr>
                <w:rFonts w:ascii="Arial" w:hAnsi="Arial"/>
                <w:sz w:val="24"/>
                <w:lang w:val="fr-CA"/>
              </w:rPr>
            </w:pPr>
          </w:p>
          <w:p w:rsidR="00402E28" w:rsidRPr="00F22B27" w:rsidRDefault="00903A27" w:rsidP="00613DA8">
            <w:pPr>
              <w:pStyle w:val="PlainText"/>
              <w:rPr>
                <w:rFonts w:ascii="Arial" w:hAnsi="Arial" w:cs="Arial"/>
                <w:sz w:val="24"/>
                <w:lang w:val="fr-CA"/>
              </w:rPr>
            </w:pPr>
            <w:r w:rsidRPr="00F22B27">
              <w:rPr>
                <w:rFonts w:ascii="Arial" w:hAnsi="Arial"/>
                <w:sz w:val="24"/>
                <w:lang w:val="fr-CA"/>
              </w:rPr>
              <w:t>6.3.2</w:t>
            </w:r>
            <w:r w:rsidRPr="00F22B27">
              <w:rPr>
                <w:rFonts w:ascii="Arial" w:hAnsi="Arial"/>
                <w:sz w:val="24"/>
                <w:lang w:val="fr-CA"/>
              </w:rPr>
              <w:tab/>
            </w:r>
            <w:r w:rsidR="00613DA8" w:rsidRPr="00F22B27">
              <w:rPr>
                <w:rFonts w:ascii="Arial" w:hAnsi="Arial"/>
                <w:sz w:val="24"/>
                <w:lang w:val="fr-CA"/>
              </w:rPr>
              <w:t xml:space="preserve">Attacher l’étiquette de compatibilité. </w:t>
            </w:r>
            <w:r w:rsidR="004D474F" w:rsidRPr="00F22B27">
              <w:rPr>
                <w:rFonts w:ascii="Arial" w:hAnsi="Arial"/>
                <w:sz w:val="24"/>
                <w:lang w:val="fr-CA"/>
              </w:rPr>
              <w:t>Voir la Remarque</w:t>
            </w:r>
            <w:r w:rsidR="00E56E8B">
              <w:rPr>
                <w:rFonts w:ascii="Arial" w:hAnsi="Arial"/>
                <w:sz w:val="24"/>
                <w:lang w:val="fr-CA"/>
              </w:rPr>
              <w:t> </w:t>
            </w:r>
            <w:r w:rsidR="004D474F" w:rsidRPr="00F22B27">
              <w:rPr>
                <w:rFonts w:ascii="Arial" w:hAnsi="Arial"/>
                <w:sz w:val="24"/>
                <w:lang w:val="fr-CA"/>
              </w:rPr>
              <w:t>8.</w:t>
            </w:r>
            <w:r w:rsidR="00613DA8" w:rsidRPr="00F22B27">
              <w:rPr>
                <w:rFonts w:ascii="Arial" w:hAnsi="Arial"/>
                <w:sz w:val="24"/>
                <w:lang w:val="fr-CA"/>
              </w:rPr>
              <w:t>1</w:t>
            </w:r>
            <w:r w:rsidR="004D474F" w:rsidRPr="00F22B27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402E28" w:rsidRPr="00F22B27" w:rsidTr="00234082">
        <w:trPr>
          <w:gridAfter w:val="3"/>
          <w:wAfter w:w="1121" w:type="dxa"/>
          <w:cantSplit/>
          <w:trHeight w:hRule="exact" w:val="288"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650" w:type="dxa"/>
            <w:gridSpan w:val="3"/>
          </w:tcPr>
          <w:p w:rsidR="00402E28" w:rsidRPr="00F22B27" w:rsidRDefault="00402E28">
            <w:pPr>
              <w:pStyle w:val="PlainText"/>
              <w:rPr>
                <w:rFonts w:ascii="Arial" w:hAnsi="Arial"/>
                <w:sz w:val="24"/>
                <w:lang w:val="fr-CA"/>
              </w:rPr>
            </w:pPr>
          </w:p>
          <w:p w:rsidR="00402E28" w:rsidRPr="00F22B27" w:rsidRDefault="00402E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  <w:p w:rsidR="00402E28" w:rsidRPr="00F22B27" w:rsidRDefault="00402E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 w:rsidP="00613DA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</w:t>
            </w:r>
            <w:r w:rsidR="00613DA8" w:rsidRPr="00F22B27"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7650" w:type="dxa"/>
            <w:gridSpan w:val="3"/>
          </w:tcPr>
          <w:p w:rsidR="00402E28" w:rsidRPr="00F22B27" w:rsidRDefault="00613DA8" w:rsidP="00613DA8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Mettre sur un agitateur à plaquettes les plaquettes </w:t>
            </w:r>
            <w:r w:rsidR="002F220B">
              <w:rPr>
                <w:rFonts w:ascii="Arial" w:hAnsi="Arial"/>
                <w:lang w:val="fr-CA"/>
              </w:rPr>
              <w:t>mélangées</w:t>
            </w:r>
            <w:r w:rsidRPr="00F22B27">
              <w:rPr>
                <w:rFonts w:ascii="Arial" w:hAnsi="Arial"/>
                <w:lang w:val="fr-CA"/>
              </w:rPr>
              <w:t xml:space="preserve"> étiquetées et prêtes à être mises en circulation.</w:t>
            </w:r>
          </w:p>
          <w:p w:rsidR="00613DA8" w:rsidRPr="00F22B27" w:rsidRDefault="00613DA8" w:rsidP="00613DA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 w:rsidP="00613DA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</w:t>
            </w:r>
            <w:r w:rsidR="00613DA8" w:rsidRPr="00F22B27"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7650" w:type="dxa"/>
            <w:gridSpan w:val="3"/>
          </w:tcPr>
          <w:p w:rsidR="00613DA8" w:rsidRPr="00F22B27" w:rsidRDefault="00402E28" w:rsidP="00613DA8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 xml:space="preserve"> </w:t>
            </w:r>
            <w:r w:rsidR="00613DA8" w:rsidRPr="00F22B27">
              <w:rPr>
                <w:rFonts w:ascii="Arial" w:hAnsi="Arial"/>
                <w:lang w:val="fr-CA"/>
              </w:rPr>
              <w:t xml:space="preserve">Aviser l’unité de soins du patient que les plaquettes sont prêtes et, au besoin, avertir le service de transport. </w:t>
            </w:r>
          </w:p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03" w:type="dxa"/>
          </w:tcPr>
          <w:p w:rsidR="00402E28" w:rsidRPr="00F22B27" w:rsidRDefault="00402E28" w:rsidP="00613DA8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6.</w:t>
            </w:r>
            <w:r w:rsidR="00613DA8" w:rsidRPr="00F22B27"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7650" w:type="dxa"/>
            <w:gridSpan w:val="3"/>
          </w:tcPr>
          <w:p w:rsidR="00402E28" w:rsidRPr="00F22B27" w:rsidRDefault="00613DA8" w:rsidP="00613DA8">
            <w:pPr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Mettre le produit en circulation. S’il n’y a pas de système informatisé de mise en circulation des composants sanguins, inscrire les données du patient et de toutes les unités de produit dans le registre de mise en circulation / de transfusion. Voir GI.004 – Mise en circulation manuelle de sang, de composants sanguins et d’autres produits connexes en se servant du registre de mise en circulation /de transfusion de produit</w:t>
            </w:r>
            <w:r w:rsidR="00E56E8B">
              <w:rPr>
                <w:rFonts w:ascii="Arial" w:hAnsi="Arial"/>
                <w:lang w:val="fr-CA"/>
              </w:rPr>
              <w:t>s</w:t>
            </w:r>
            <w:r w:rsidRPr="00F22B27">
              <w:rPr>
                <w:rFonts w:ascii="Arial" w:hAnsi="Arial"/>
                <w:lang w:val="fr-CA"/>
              </w:rPr>
              <w:t xml:space="preserve"> sanguin</w:t>
            </w:r>
            <w:r w:rsidR="00E56E8B">
              <w:rPr>
                <w:rFonts w:ascii="Arial" w:hAnsi="Arial"/>
                <w:lang w:val="fr-CA"/>
              </w:rPr>
              <w:t>s</w:t>
            </w:r>
            <w:r w:rsidRPr="00F22B27">
              <w:rPr>
                <w:rFonts w:ascii="Arial" w:hAnsi="Arial"/>
                <w:lang w:val="fr-CA"/>
              </w:rPr>
              <w:t>.</w:t>
            </w:r>
          </w:p>
          <w:p w:rsidR="00613DA8" w:rsidRPr="00F22B27" w:rsidRDefault="00613DA8" w:rsidP="00613DA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9288" w:type="dxa"/>
            <w:gridSpan w:val="5"/>
          </w:tcPr>
          <w:p w:rsidR="00402E28" w:rsidRPr="00F22B27" w:rsidRDefault="00BC4893" w:rsidP="000C1E01">
            <w:pPr>
              <w:pStyle w:val="Heading1"/>
            </w:pPr>
            <w:r w:rsidRPr="00F22B27">
              <w:t>Documentation</w:t>
            </w:r>
            <w:r w:rsidR="00234082" w:rsidRPr="00F22B27">
              <w:t xml:space="preserve"> – S.O.</w:t>
            </w: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9288" w:type="dxa"/>
            <w:gridSpan w:val="5"/>
          </w:tcPr>
          <w:p w:rsidR="00402E28" w:rsidRPr="00F22B27" w:rsidRDefault="00BC4893" w:rsidP="000C1E01">
            <w:pPr>
              <w:pStyle w:val="Heading1"/>
            </w:pPr>
            <w:r w:rsidRPr="00F22B27">
              <w:t>Remarques</w:t>
            </w:r>
          </w:p>
        </w:tc>
      </w:tr>
      <w:tr w:rsidR="00402E28" w:rsidRPr="00F22B27" w:rsidTr="00234082">
        <w:trPr>
          <w:gridAfter w:val="1"/>
          <w:wAfter w:w="82" w:type="dxa"/>
        </w:trPr>
        <w:tc>
          <w:tcPr>
            <w:tcW w:w="835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402E28" w:rsidRPr="00F22B27" w:rsidRDefault="00402E28" w:rsidP="00234082">
            <w:pPr>
              <w:pStyle w:val="Heading2"/>
              <w:numPr>
                <w:ilvl w:val="0"/>
                <w:numId w:val="0"/>
              </w:numPr>
              <w:spacing w:line="228" w:lineRule="auto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8.</w:t>
            </w:r>
            <w:r w:rsidR="00234082" w:rsidRPr="00F22B27"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7618" w:type="dxa"/>
            <w:gridSpan w:val="2"/>
          </w:tcPr>
          <w:p w:rsidR="00402E28" w:rsidRPr="00F22B27" w:rsidRDefault="00BC4893" w:rsidP="00BC4893">
            <w:pPr>
              <w:spacing w:line="228" w:lineRule="auto"/>
              <w:rPr>
                <w:rFonts w:ascii="Arial" w:hAnsi="Arial"/>
                <w:lang w:val="fr-CA"/>
              </w:rPr>
            </w:pPr>
            <w:r w:rsidRPr="00F22B27">
              <w:rPr>
                <w:rFonts w:ascii="Arial" w:hAnsi="Arial"/>
                <w:lang w:val="fr-CA"/>
              </w:rPr>
              <w:t>Au moment de l’étiquetage des unités, respecter les règles suivantes :</w:t>
            </w:r>
          </w:p>
          <w:p w:rsidR="00402E28" w:rsidRPr="00F22B27" w:rsidRDefault="00402E28">
            <w:pPr>
              <w:spacing w:line="228" w:lineRule="auto"/>
              <w:rPr>
                <w:rFonts w:ascii="Arial" w:hAnsi="Arial"/>
                <w:lang w:val="fr-CA"/>
              </w:rPr>
            </w:pPr>
          </w:p>
          <w:p w:rsidR="00402E28" w:rsidRPr="00F22B27" w:rsidRDefault="000C1E01">
            <w:pPr>
              <w:numPr>
                <w:ilvl w:val="0"/>
                <w:numId w:val="30"/>
              </w:numPr>
              <w:spacing w:line="228" w:lineRule="auto"/>
              <w:rPr>
                <w:rFonts w:ascii="Arial" w:hAnsi="Arial"/>
                <w:lang w:val="fr-CA"/>
              </w:rPr>
            </w:pPr>
            <w:proofErr w:type="gramStart"/>
            <w:r w:rsidRPr="00F22B27">
              <w:rPr>
                <w:rFonts w:ascii="Arial" w:hAnsi="Arial"/>
                <w:lang w:val="fr-CA"/>
              </w:rPr>
              <w:t>dans</w:t>
            </w:r>
            <w:proofErr w:type="gramEnd"/>
            <w:r w:rsidRPr="00F22B27">
              <w:rPr>
                <w:rFonts w:ascii="Arial" w:hAnsi="Arial"/>
                <w:lang w:val="fr-CA"/>
              </w:rPr>
              <w:t xml:space="preserve"> la mesure du possible, placer l’étiquette sur l’étiquette du </w:t>
            </w:r>
            <w:r w:rsidR="00234082" w:rsidRPr="00F22B27">
              <w:rPr>
                <w:rFonts w:ascii="Arial" w:hAnsi="Arial"/>
                <w:lang w:val="fr-CA"/>
              </w:rPr>
              <w:t xml:space="preserve">fournisseur et non sur le </w:t>
            </w:r>
            <w:r w:rsidRPr="00F22B27">
              <w:rPr>
                <w:rFonts w:ascii="Arial" w:hAnsi="Arial"/>
                <w:lang w:val="fr-CA"/>
              </w:rPr>
              <w:t xml:space="preserve">sac de </w:t>
            </w:r>
            <w:r w:rsidR="00234082" w:rsidRPr="00F22B27">
              <w:rPr>
                <w:rFonts w:ascii="Arial" w:hAnsi="Arial"/>
                <w:lang w:val="fr-CA"/>
              </w:rPr>
              <w:t>produit</w:t>
            </w:r>
            <w:r w:rsidR="00402E28" w:rsidRPr="00F22B27">
              <w:rPr>
                <w:rFonts w:ascii="Arial" w:hAnsi="Arial"/>
                <w:lang w:val="fr-CA"/>
              </w:rPr>
              <w:t xml:space="preserve"> </w:t>
            </w:r>
          </w:p>
          <w:p w:rsidR="00402E28" w:rsidRPr="00F22B27" w:rsidRDefault="000C1E01" w:rsidP="00581027">
            <w:pPr>
              <w:numPr>
                <w:ilvl w:val="0"/>
                <w:numId w:val="30"/>
              </w:numPr>
              <w:spacing w:line="228" w:lineRule="auto"/>
              <w:rPr>
                <w:rFonts w:ascii="Arial" w:hAnsi="Arial"/>
                <w:lang w:val="fr-CA"/>
              </w:rPr>
            </w:pPr>
            <w:proofErr w:type="gramStart"/>
            <w:r w:rsidRPr="00F22B27">
              <w:rPr>
                <w:rFonts w:ascii="Arial" w:hAnsi="Arial"/>
                <w:lang w:val="fr-CA"/>
              </w:rPr>
              <w:t>ne</w:t>
            </w:r>
            <w:proofErr w:type="gramEnd"/>
            <w:r w:rsidRPr="00F22B27">
              <w:rPr>
                <w:rFonts w:ascii="Arial" w:hAnsi="Arial"/>
                <w:lang w:val="fr-CA"/>
              </w:rPr>
              <w:t xml:space="preserve"> prendre que des étiquettes dont le produit adhésif est approuvé pour les unités de sang</w:t>
            </w:r>
            <w:r w:rsidRPr="00F22B27">
              <w:rPr>
                <w:rFonts w:ascii="Arial" w:hAnsi="Arial"/>
                <w:lang w:val="fr-CA"/>
              </w:rPr>
              <w:br/>
            </w:r>
            <w:r w:rsidR="00BC4893" w:rsidRPr="00F22B27">
              <w:rPr>
                <w:rFonts w:ascii="Arial" w:hAnsi="Arial"/>
                <w:lang w:val="fr-CA"/>
              </w:rPr>
              <w:t>ne jamais se servir de papier collant, de papier-cache ou d’autre adhésif non approuvé</w:t>
            </w:r>
          </w:p>
          <w:p w:rsidR="00402E28" w:rsidRDefault="00BC4893" w:rsidP="00234082">
            <w:pPr>
              <w:numPr>
                <w:ilvl w:val="0"/>
                <w:numId w:val="30"/>
              </w:numPr>
              <w:spacing w:line="228" w:lineRule="auto"/>
              <w:rPr>
                <w:rFonts w:ascii="Arial" w:hAnsi="Arial"/>
                <w:lang w:val="fr-CA"/>
              </w:rPr>
            </w:pPr>
            <w:proofErr w:type="gramStart"/>
            <w:r w:rsidRPr="00F22B27">
              <w:rPr>
                <w:rFonts w:ascii="Arial" w:hAnsi="Arial"/>
                <w:lang w:val="fr-CA"/>
              </w:rPr>
              <w:t>ne</w:t>
            </w:r>
            <w:proofErr w:type="gramEnd"/>
            <w:r w:rsidRPr="00F22B27">
              <w:rPr>
                <w:rFonts w:ascii="Arial" w:hAnsi="Arial"/>
                <w:lang w:val="fr-CA"/>
              </w:rPr>
              <w:t xml:space="preserve"> jamais écrire avec un crayon-feutre sur les étiquettes des sacs.</w:t>
            </w:r>
          </w:p>
          <w:p w:rsidR="00B224D5" w:rsidRPr="00F22B27" w:rsidRDefault="00B224D5" w:rsidP="00B224D5">
            <w:pPr>
              <w:spacing w:line="228" w:lineRule="auto"/>
              <w:ind w:left="360"/>
              <w:rPr>
                <w:rFonts w:ascii="Arial" w:hAnsi="Arial"/>
                <w:lang w:val="fr-CA"/>
              </w:rPr>
            </w:pPr>
          </w:p>
        </w:tc>
        <w:tc>
          <w:tcPr>
            <w:tcW w:w="236" w:type="dxa"/>
          </w:tcPr>
          <w:p w:rsidR="00402E28" w:rsidRPr="00F22B27" w:rsidRDefault="00402E28">
            <w:pPr>
              <w:rPr>
                <w:rFonts w:ascii="Arial" w:hAnsi="Arial"/>
                <w:lang w:val="fr-CA"/>
              </w:rPr>
            </w:pPr>
          </w:p>
        </w:tc>
      </w:tr>
      <w:tr w:rsidR="00402E28" w:rsidRPr="00F22B27" w:rsidTr="00234082">
        <w:trPr>
          <w:gridAfter w:val="2"/>
          <w:wAfter w:w="318" w:type="dxa"/>
          <w:cantSplit/>
        </w:trPr>
        <w:tc>
          <w:tcPr>
            <w:tcW w:w="9288" w:type="dxa"/>
            <w:gridSpan w:val="5"/>
          </w:tcPr>
          <w:p w:rsidR="00402E28" w:rsidRPr="00F22B27" w:rsidRDefault="00B224D5" w:rsidP="000C1E01">
            <w:pPr>
              <w:pStyle w:val="Heading1"/>
            </w:pPr>
            <w:r>
              <w:t>Références</w:t>
            </w:r>
          </w:p>
        </w:tc>
      </w:tr>
      <w:tr w:rsidR="00B711C3" w:rsidRPr="00F22B27" w:rsidTr="00234082">
        <w:trPr>
          <w:cantSplit/>
        </w:trPr>
        <w:tc>
          <w:tcPr>
            <w:tcW w:w="9606" w:type="dxa"/>
            <w:gridSpan w:val="7"/>
          </w:tcPr>
          <w:tbl>
            <w:tblPr>
              <w:tblW w:w="9524" w:type="dxa"/>
              <w:tblLayout w:type="fixed"/>
              <w:tblLook w:val="0000" w:firstRow="0" w:lastRow="0" w:firstColumn="0" w:lastColumn="0" w:noHBand="0" w:noVBand="0"/>
            </w:tblPr>
            <w:tblGrid>
              <w:gridCol w:w="941"/>
              <w:gridCol w:w="8583"/>
            </w:tblGrid>
            <w:tr w:rsidR="00B711C3" w:rsidRPr="00F22B27" w:rsidTr="00581027">
              <w:tc>
                <w:tcPr>
                  <w:tcW w:w="941" w:type="dxa"/>
                </w:tcPr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9.1</w:t>
                  </w:r>
                </w:p>
              </w:tc>
              <w:tc>
                <w:tcPr>
                  <w:tcW w:w="8583" w:type="dxa"/>
                </w:tcPr>
                <w:p w:rsidR="00B711C3" w:rsidRPr="00B224D5" w:rsidRDefault="00B711C3" w:rsidP="00006F0D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/>
                    </w:rPr>
                  </w:pPr>
                  <w:proofErr w:type="spellStart"/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Clinical</w:t>
                  </w:r>
                  <w:proofErr w:type="spellEnd"/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 xml:space="preserve"> Guide to Transfusion (</w:t>
                  </w:r>
                  <w:r w:rsidR="00006F0D"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Version en ligne à l’adresse </w:t>
                  </w:r>
                  <w:r w:rsidR="00E56E8B">
                    <w:rPr>
                      <w:rFonts w:ascii="Arial" w:hAnsi="Arial" w:cs="Arial"/>
                      <w:szCs w:val="24"/>
                      <w:lang w:val="fr-CA"/>
                    </w:rPr>
                    <w:t>w</w:t>
                  </w:r>
                  <w:r w:rsidR="00006F0D"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ww.transfusionmedicine.ca) </w:t>
                  </w:r>
                  <w:r w:rsidR="00006F0D" w:rsidRPr="00B224D5">
                    <w:rPr>
                      <w:rFonts w:ascii="Arial" w:hAnsi="Arial" w:cs="Arial"/>
                      <w:b/>
                      <w:bCs/>
                      <w:szCs w:val="24"/>
                      <w:lang w:val="fr-CA" w:eastAsia="en-CA"/>
                    </w:rPr>
                    <w:t>ch</w:t>
                  </w:r>
                  <w:r w:rsidRPr="00B224D5">
                    <w:rPr>
                      <w:rFonts w:ascii="Arial" w:hAnsi="Arial" w:cs="Arial"/>
                      <w:b/>
                      <w:bCs/>
                      <w:szCs w:val="24"/>
                      <w:lang w:val="fr-CA" w:eastAsia="en-CA"/>
                    </w:rPr>
                    <w:t>ap</w:t>
                  </w:r>
                  <w:r w:rsidR="00234082" w:rsidRPr="00B224D5">
                    <w:rPr>
                      <w:rFonts w:ascii="Arial" w:hAnsi="Arial" w:cs="Arial"/>
                      <w:b/>
                      <w:bCs/>
                      <w:szCs w:val="24"/>
                      <w:lang w:val="fr-CA" w:eastAsia="en-CA"/>
                    </w:rPr>
                    <w:t>itre</w:t>
                  </w:r>
                  <w:r w:rsidR="00E56E8B">
                    <w:rPr>
                      <w:rFonts w:ascii="Arial" w:hAnsi="Arial" w:cs="Arial"/>
                      <w:b/>
                      <w:bCs/>
                      <w:szCs w:val="24"/>
                      <w:lang w:val="fr-CA" w:eastAsia="en-CA"/>
                    </w:rPr>
                    <w:t> </w:t>
                  </w:r>
                  <w:r w:rsidRPr="00B224D5">
                    <w:rPr>
                      <w:rFonts w:ascii="Arial" w:hAnsi="Arial" w:cs="Arial"/>
                      <w:b/>
                      <w:bCs/>
                      <w:szCs w:val="24"/>
                      <w:lang w:val="fr-CA" w:eastAsia="en-CA"/>
                    </w:rPr>
                    <w:t xml:space="preserve">2 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(</w:t>
                  </w:r>
                  <w:r w:rsidR="00234082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mis à jour en mars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 xml:space="preserve"> 2013</w:t>
                  </w:r>
                  <w:r w:rsidR="00234082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) : p.</w:t>
                  </w:r>
                  <w:r w:rsidR="00E56E8B">
                    <w:rPr>
                      <w:rFonts w:ascii="Arial" w:hAnsi="Arial" w:cs="Arial"/>
                      <w:szCs w:val="24"/>
                      <w:lang w:val="fr-CA" w:eastAsia="en-CA"/>
                    </w:rPr>
                    <w:t> 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 xml:space="preserve">5-6 </w:t>
                  </w:r>
                  <w:r w:rsidR="00234082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de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 xml:space="preserve"> 16</w:t>
                  </w:r>
                </w:p>
              </w:tc>
            </w:tr>
            <w:tr w:rsidR="00B711C3" w:rsidRPr="00F22B27" w:rsidTr="00581027">
              <w:tc>
                <w:tcPr>
                  <w:tcW w:w="941" w:type="dxa"/>
                </w:tcPr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</w:p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9.2</w:t>
                  </w:r>
                </w:p>
              </w:tc>
              <w:tc>
                <w:tcPr>
                  <w:tcW w:w="8583" w:type="dxa"/>
                </w:tcPr>
                <w:p w:rsidR="00B711C3" w:rsidRPr="00B224D5" w:rsidRDefault="00B711C3" w:rsidP="00581027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 w:eastAsia="en-CA"/>
                    </w:rPr>
                  </w:pPr>
                </w:p>
                <w:p w:rsidR="00B711C3" w:rsidRPr="00B224D5" w:rsidRDefault="00006F0D" w:rsidP="00006F0D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 w:eastAsia="en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Standards for Hospital Transfusion Services, version</w:t>
                  </w:r>
                  <w:r w:rsidR="00E56E8B">
                    <w:rPr>
                      <w:rFonts w:ascii="Arial" w:hAnsi="Arial" w:cs="Arial"/>
                      <w:szCs w:val="24"/>
                      <w:lang w:val="fr-CA"/>
                    </w:rPr>
                    <w:t> </w:t>
                  </w: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3, février 2011, Société canadienne de médecine transfusionnelle,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 xml:space="preserve"> 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/>
                    </w:rPr>
                    <w:t>5.7.3.1, 5.6.1.8, 5.4.3.3, 5.4.5.7, 5.7.31, 5.7.2.1, 5.7.2.3</w:t>
                  </w:r>
                </w:p>
              </w:tc>
            </w:tr>
            <w:tr w:rsidR="00B711C3" w:rsidRPr="00F22B27" w:rsidTr="00581027">
              <w:tc>
                <w:tcPr>
                  <w:tcW w:w="941" w:type="dxa"/>
                </w:tcPr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</w:p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9.3</w:t>
                  </w:r>
                </w:p>
              </w:tc>
              <w:tc>
                <w:tcPr>
                  <w:tcW w:w="8583" w:type="dxa"/>
                </w:tcPr>
                <w:p w:rsidR="00B711C3" w:rsidRPr="00B224D5" w:rsidRDefault="00B711C3" w:rsidP="00581027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 w:eastAsia="en-CA"/>
                    </w:rPr>
                  </w:pPr>
                </w:p>
                <w:p w:rsidR="00B711C3" w:rsidRPr="00B224D5" w:rsidRDefault="00006F0D" w:rsidP="00006F0D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 w:eastAsia="en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CALLUM J et coll. </w:t>
                  </w:r>
                  <w:proofErr w:type="spellStart"/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Sang</w:t>
                  </w:r>
                  <w:proofErr w:type="spellEnd"/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 difficulté : transfusions sanguines, alternatives et réactions transfusionnelles : guide de médecine transfusionnelle, traduit de l’anglais par Côme Rousseau, 3</w:t>
                  </w:r>
                  <w:r w:rsidRPr="00B224D5">
                    <w:rPr>
                      <w:rFonts w:ascii="Arial" w:hAnsi="Arial" w:cs="Arial"/>
                      <w:szCs w:val="24"/>
                      <w:vertAlign w:val="superscript"/>
                      <w:lang w:val="fr-CA"/>
                    </w:rPr>
                    <w:t>e</w:t>
                  </w: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 éd., </w:t>
                  </w:r>
                  <w:proofErr w:type="spellStart"/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RRoCS</w:t>
                  </w:r>
                  <w:proofErr w:type="spellEnd"/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 xml:space="preserve"> (2011</w:t>
                  </w:r>
                  <w:proofErr w:type="gramStart"/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)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:p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.</w:t>
                  </w:r>
                  <w:proofErr w:type="gramEnd"/>
                  <w:r w:rsidR="00E56E8B">
                    <w:rPr>
                      <w:rFonts w:ascii="Arial" w:hAnsi="Arial" w:cs="Arial"/>
                      <w:szCs w:val="24"/>
                      <w:lang w:val="fr-CA" w:eastAsia="en-CA"/>
                    </w:rPr>
                    <w:t> 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22-24.</w:t>
                  </w:r>
                </w:p>
              </w:tc>
            </w:tr>
            <w:tr w:rsidR="00B711C3" w:rsidRPr="00F22B27" w:rsidTr="00581027">
              <w:tc>
                <w:tcPr>
                  <w:tcW w:w="941" w:type="dxa"/>
                </w:tcPr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</w:p>
                <w:p w:rsidR="00B711C3" w:rsidRPr="00B224D5" w:rsidRDefault="00B711C3" w:rsidP="00581027">
                  <w:pPr>
                    <w:pStyle w:val="Heading2"/>
                    <w:numPr>
                      <w:ilvl w:val="0"/>
                      <w:numId w:val="0"/>
                    </w:numPr>
                    <w:spacing w:after="0"/>
                    <w:rPr>
                      <w:rFonts w:ascii="Arial" w:hAnsi="Arial" w:cs="Arial"/>
                      <w:szCs w:val="24"/>
                      <w:lang w:val="fr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9.4</w:t>
                  </w:r>
                </w:p>
              </w:tc>
              <w:tc>
                <w:tcPr>
                  <w:tcW w:w="8583" w:type="dxa"/>
                </w:tcPr>
                <w:p w:rsidR="00B711C3" w:rsidRPr="00B224D5" w:rsidRDefault="00B711C3" w:rsidP="00581027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/>
                    </w:rPr>
                  </w:pPr>
                </w:p>
                <w:p w:rsidR="00B711C3" w:rsidRPr="00B224D5" w:rsidRDefault="00234082" w:rsidP="00581027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/>
                    </w:rPr>
                  </w:pP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t>Guide d’inspection visuelle de la Société canadienne du sang</w:t>
                  </w:r>
                  <w:r w:rsidR="00E56E8B">
                    <w:rPr>
                      <w:rFonts w:ascii="Arial" w:hAnsi="Arial" w:cs="Arial"/>
                      <w:szCs w:val="24"/>
                      <w:lang w:val="fr-CA"/>
                    </w:rPr>
                    <w:t> 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T05 021 JAN</w:t>
                  </w:r>
                  <w:r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VIER</w:t>
                  </w:r>
                  <w:r w:rsidR="00E56E8B">
                    <w:rPr>
                      <w:rFonts w:ascii="Arial" w:hAnsi="Arial" w:cs="Arial"/>
                      <w:szCs w:val="24"/>
                      <w:lang w:val="fr-CA" w:eastAsia="en-CA"/>
                    </w:rPr>
                    <w:t> 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 w:eastAsia="en-CA"/>
                    </w:rPr>
                    <w:t>2009</w:t>
                  </w:r>
                  <w:r w:rsidR="00E56E8B">
                    <w:rPr>
                      <w:rFonts w:ascii="Arial" w:hAnsi="Arial" w:cs="Arial"/>
                      <w:szCs w:val="24"/>
                      <w:lang w:val="fr-CA"/>
                    </w:rPr>
                    <w:t> </w:t>
                  </w:r>
                  <w:r w:rsidR="00B711C3" w:rsidRPr="00B224D5">
                    <w:rPr>
                      <w:rFonts w:ascii="Arial" w:hAnsi="Arial" w:cs="Arial"/>
                      <w:szCs w:val="24"/>
                      <w:lang w:val="fr-CA"/>
                    </w:rPr>
                    <w:t>p13-18</w:t>
                  </w:r>
                  <w:r w:rsidRPr="00B224D5">
                    <w:rPr>
                      <w:rFonts w:ascii="Arial" w:hAnsi="Arial" w:cs="Arial"/>
                      <w:szCs w:val="24"/>
                      <w:lang w:val="fr-CA"/>
                    </w:rPr>
                    <w:br/>
                  </w:r>
                </w:p>
                <w:p w:rsidR="00B711C3" w:rsidRPr="00B224D5" w:rsidRDefault="00B711C3" w:rsidP="00581027">
                  <w:pPr>
                    <w:spacing w:line="228" w:lineRule="auto"/>
                    <w:rPr>
                      <w:rFonts w:ascii="Arial" w:hAnsi="Arial" w:cs="Arial"/>
                      <w:szCs w:val="24"/>
                      <w:lang w:val="fr-CA"/>
                    </w:rPr>
                  </w:pPr>
                </w:p>
              </w:tc>
            </w:tr>
          </w:tbl>
          <w:p w:rsidR="00B711C3" w:rsidRPr="00F22B27" w:rsidRDefault="00B711C3" w:rsidP="0058102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F22B27" w:rsidRPr="00F22B27" w:rsidRDefault="00F22B27" w:rsidP="00F22B27">
      <w:pPr>
        <w:pStyle w:val="Heading1"/>
        <w:numPr>
          <w:ilvl w:val="0"/>
          <w:numId w:val="0"/>
        </w:numPr>
        <w:rPr>
          <w:highlight w:val="lightGray"/>
        </w:rPr>
      </w:pPr>
    </w:p>
    <w:p w:rsidR="00402E28" w:rsidRPr="00F22B27" w:rsidRDefault="00F22B27" w:rsidP="00402E28">
      <w:pPr>
        <w:rPr>
          <w:rFonts w:ascii="Verdana" w:hAnsi="Verdana"/>
          <w:sz w:val="8"/>
          <w:lang w:val="fr-CA"/>
        </w:rPr>
      </w:pPr>
      <w:r w:rsidRPr="00F22B27">
        <w:rPr>
          <w:highlight w:val="lightGray"/>
          <w:lang w:val="fr-CA"/>
        </w:rPr>
        <w:br w:type="page"/>
      </w:r>
      <w:r w:rsidRPr="00F22B27">
        <w:rPr>
          <w:rFonts w:ascii="Arial" w:hAnsi="Arial" w:cs="Arial"/>
          <w:lang w:val="fr-CA"/>
        </w:rPr>
        <w:t xml:space="preserve"> </w:t>
      </w:r>
    </w:p>
    <w:p w:rsidR="00006F0D" w:rsidRDefault="00006F0D" w:rsidP="00B11C2B">
      <w:pPr>
        <w:pStyle w:val="Heading1"/>
      </w:pPr>
      <w:r w:rsidRPr="00F22B27">
        <w:t>Suivi des révisions</w:t>
      </w:r>
    </w:p>
    <w:p w:rsidR="00B11C2B" w:rsidRPr="00F22B27" w:rsidRDefault="00B11C2B" w:rsidP="00006F0D">
      <w:pPr>
        <w:rPr>
          <w:rFonts w:ascii="Arial" w:hAnsi="Arial" w:cs="Arial"/>
          <w:b/>
          <w:sz w:val="28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760"/>
      </w:tblGrid>
      <w:tr w:rsidR="00006F0D" w:rsidRPr="00F22B27" w:rsidTr="00581027">
        <w:tc>
          <w:tcPr>
            <w:tcW w:w="2943" w:type="dxa"/>
            <w:shd w:val="clear" w:color="auto" w:fill="F2F2F2"/>
          </w:tcPr>
          <w:p w:rsidR="00006F0D" w:rsidRPr="00F22B27" w:rsidRDefault="00006F0D" w:rsidP="0058102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F22B27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006F0D" w:rsidRPr="00F22B27" w:rsidRDefault="00006F0D" w:rsidP="0058102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F22B27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006F0D" w:rsidRPr="00F22B27" w:rsidTr="00581027">
        <w:trPr>
          <w:trHeight w:val="1622"/>
        </w:trPr>
        <w:tc>
          <w:tcPr>
            <w:tcW w:w="2943" w:type="dxa"/>
            <w:shd w:val="clear" w:color="auto" w:fill="auto"/>
          </w:tcPr>
          <w:p w:rsidR="00006F0D" w:rsidRPr="00F22B27" w:rsidRDefault="00006F0D" w:rsidP="00581027">
            <w:pPr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>1</w:t>
            </w:r>
            <w:r w:rsidRPr="00F22B27">
              <w:rPr>
                <w:rFonts w:ascii="Arial" w:hAnsi="Arial" w:cs="Arial"/>
                <w:szCs w:val="24"/>
                <w:vertAlign w:val="superscript"/>
                <w:lang w:val="fr-CA"/>
              </w:rPr>
              <w:t xml:space="preserve">er </w:t>
            </w:r>
            <w:r w:rsidRPr="00F22B27">
              <w:rPr>
                <w:rFonts w:ascii="Arial" w:hAnsi="Arial" w:cs="Arial"/>
                <w:szCs w:val="24"/>
                <w:lang w:val="fr-CA"/>
              </w:rPr>
              <w:t>septembre 2014</w:t>
            </w:r>
          </w:p>
        </w:tc>
        <w:tc>
          <w:tcPr>
            <w:tcW w:w="5913" w:type="dxa"/>
            <w:shd w:val="clear" w:color="auto" w:fill="auto"/>
          </w:tcPr>
          <w:p w:rsidR="00006F0D" w:rsidRPr="00F22B27" w:rsidRDefault="00006F0D" w:rsidP="00006F0D">
            <w:pPr>
              <w:numPr>
                <w:ilvl w:val="0"/>
                <w:numId w:val="37"/>
              </w:numPr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>Changement du nom du manuel</w:t>
            </w:r>
          </w:p>
          <w:p w:rsidR="00F22B27" w:rsidRPr="00F22B27" w:rsidRDefault="00006F0D" w:rsidP="00006F0D">
            <w:pPr>
              <w:numPr>
                <w:ilvl w:val="0"/>
                <w:numId w:val="37"/>
              </w:numPr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 xml:space="preserve">Retrait de 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>ré</w:t>
            </w:r>
            <w:r w:rsidRPr="00F22B27">
              <w:rPr>
                <w:rFonts w:ascii="Arial" w:hAnsi="Arial" w:cs="Arial"/>
                <w:szCs w:val="24"/>
                <w:lang w:val="fr-CA"/>
              </w:rPr>
              <w:t>f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>é</w:t>
            </w:r>
            <w:r w:rsidRPr="00F22B27">
              <w:rPr>
                <w:rFonts w:ascii="Arial" w:hAnsi="Arial" w:cs="Arial"/>
                <w:szCs w:val="24"/>
                <w:lang w:val="fr-CA"/>
              </w:rPr>
              <w:t>rence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>s</w:t>
            </w:r>
            <w:r w:rsidRPr="00F22B27">
              <w:rPr>
                <w:rFonts w:ascii="Arial" w:hAnsi="Arial" w:cs="Arial"/>
                <w:szCs w:val="24"/>
                <w:lang w:val="fr-CA"/>
              </w:rPr>
              <w:t xml:space="preserve"> aux plaquettes de donneurs 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 xml:space="preserve">aléatoires </w:t>
            </w:r>
            <w:r w:rsidRPr="00F22B27">
              <w:rPr>
                <w:rFonts w:ascii="Arial" w:hAnsi="Arial" w:cs="Arial"/>
                <w:szCs w:val="24"/>
                <w:lang w:val="fr-CA"/>
              </w:rPr>
              <w:t>et à la mise en pool de plaquettes</w:t>
            </w:r>
          </w:p>
          <w:p w:rsidR="00006F0D" w:rsidRPr="00F22B27" w:rsidRDefault="00006F0D" w:rsidP="00006F0D">
            <w:pPr>
              <w:numPr>
                <w:ilvl w:val="0"/>
                <w:numId w:val="37"/>
              </w:numPr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 xml:space="preserve">Ajout 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 xml:space="preserve">en </w:t>
            </w:r>
            <w:r w:rsidRPr="00F22B27">
              <w:rPr>
                <w:rFonts w:ascii="Arial" w:hAnsi="Arial" w:cs="Arial"/>
                <w:szCs w:val="24"/>
                <w:lang w:val="fr-CA"/>
              </w:rPr>
              <w:t>2.1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 xml:space="preserve"> d’une mention de la pro</w:t>
            </w:r>
            <w:r w:rsidR="00B224D5">
              <w:rPr>
                <w:rFonts w:ascii="Arial" w:hAnsi="Arial" w:cs="Arial"/>
                <w:szCs w:val="24"/>
                <w:lang w:val="fr-CA"/>
              </w:rPr>
              <w:t>cé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>dure</w:t>
            </w:r>
            <w:r w:rsidR="00E56E8B">
              <w:rPr>
                <w:rFonts w:ascii="Arial" w:hAnsi="Arial" w:cs="Arial"/>
                <w:szCs w:val="24"/>
                <w:lang w:val="fr-CA"/>
              </w:rPr>
              <w:t> </w:t>
            </w:r>
            <w:r w:rsidR="00F22B27" w:rsidRPr="00F22B27">
              <w:rPr>
                <w:rFonts w:ascii="Arial" w:hAnsi="Arial" w:cs="Arial"/>
                <w:szCs w:val="24"/>
                <w:lang w:val="fr-CA"/>
              </w:rPr>
              <w:t>CAQ.020</w:t>
            </w:r>
          </w:p>
          <w:p w:rsidR="00006F0D" w:rsidRPr="00F22B27" w:rsidRDefault="00F22B27" w:rsidP="00006F0D">
            <w:pPr>
              <w:numPr>
                <w:ilvl w:val="0"/>
                <w:numId w:val="37"/>
              </w:numPr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>Changement de la dose d’</w:t>
            </w:r>
            <w:proofErr w:type="spellStart"/>
            <w:r w:rsidRPr="00F22B27">
              <w:rPr>
                <w:rFonts w:ascii="Arial" w:hAnsi="Arial" w:cs="Arial"/>
                <w:szCs w:val="24"/>
                <w:lang w:val="fr-CA"/>
              </w:rPr>
              <w:t>IgRh</w:t>
            </w:r>
            <w:proofErr w:type="spellEnd"/>
            <w:r w:rsidRPr="00F22B27">
              <w:rPr>
                <w:rFonts w:ascii="Arial" w:hAnsi="Arial" w:cs="Arial"/>
                <w:szCs w:val="24"/>
                <w:lang w:val="fr-CA"/>
              </w:rPr>
              <w:t xml:space="preserve"> en 2.6.2</w:t>
            </w:r>
          </w:p>
          <w:p w:rsidR="00006F0D" w:rsidRPr="00F22B27" w:rsidRDefault="00006F0D" w:rsidP="00006F0D">
            <w:pPr>
              <w:numPr>
                <w:ilvl w:val="0"/>
                <w:numId w:val="37"/>
              </w:numPr>
              <w:ind w:left="176" w:hanging="142"/>
              <w:rPr>
                <w:rFonts w:ascii="Arial" w:hAnsi="Arial" w:cs="Arial"/>
                <w:szCs w:val="24"/>
                <w:lang w:val="fr-CA"/>
              </w:rPr>
            </w:pPr>
            <w:r w:rsidRPr="00F22B27">
              <w:rPr>
                <w:rFonts w:ascii="Arial" w:hAnsi="Arial" w:cs="Arial"/>
                <w:szCs w:val="24"/>
                <w:lang w:val="fr-CA"/>
              </w:rPr>
              <w:t>Mise à jour de toutes les références</w:t>
            </w:r>
          </w:p>
        </w:tc>
      </w:tr>
    </w:tbl>
    <w:p w:rsidR="00E56E8B" w:rsidRDefault="00E56E8B" w:rsidP="00C405F1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Pr="00E56E8B" w:rsidRDefault="00E56E8B" w:rsidP="00E56E8B">
      <w:pPr>
        <w:rPr>
          <w:lang w:val="fr-CA"/>
        </w:rPr>
      </w:pPr>
    </w:p>
    <w:p w:rsidR="00E56E8B" w:rsidRDefault="00E56E8B" w:rsidP="00E56E8B">
      <w:pPr>
        <w:rPr>
          <w:lang w:val="fr-CA"/>
        </w:rPr>
      </w:pPr>
    </w:p>
    <w:p w:rsidR="00E56E8B" w:rsidRDefault="00E56E8B" w:rsidP="00E56E8B">
      <w:pPr>
        <w:rPr>
          <w:lang w:val="fr-CA"/>
        </w:rPr>
      </w:pPr>
    </w:p>
    <w:p w:rsidR="00E56E8B" w:rsidRDefault="00E56E8B" w:rsidP="00E56E8B">
      <w:pPr>
        <w:rPr>
          <w:lang w:val="fr-CA"/>
        </w:rPr>
      </w:pPr>
    </w:p>
    <w:p w:rsidR="00C405F1" w:rsidRPr="00E56E8B" w:rsidRDefault="00E56E8B" w:rsidP="00E56E8B">
      <w:pPr>
        <w:tabs>
          <w:tab w:val="left" w:pos="2724"/>
        </w:tabs>
        <w:rPr>
          <w:lang w:val="fr-CA"/>
        </w:rPr>
      </w:pPr>
      <w:r>
        <w:rPr>
          <w:lang w:val="fr-CA"/>
        </w:rPr>
        <w:tab/>
      </w:r>
    </w:p>
    <w:sectPr w:rsidR="00C405F1" w:rsidRPr="00E56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2" w:rsidRDefault="004430F2">
      <w:r>
        <w:separator/>
      </w:r>
    </w:p>
  </w:endnote>
  <w:endnote w:type="continuationSeparator" w:id="0">
    <w:p w:rsidR="004430F2" w:rsidRDefault="004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8B" w:rsidRDefault="00E56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2A655B">
      <w:trPr>
        <w:trHeight w:val="707"/>
        <w:jc w:val="center"/>
      </w:trPr>
      <w:tc>
        <w:tcPr>
          <w:tcW w:w="1512" w:type="dxa"/>
        </w:tcPr>
        <w:p w:rsidR="002A655B" w:rsidRDefault="002A655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A655B" w:rsidRDefault="006C6D64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61975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FA360A" w:rsidRPr="00E56E8B" w:rsidRDefault="002A655B" w:rsidP="00FA360A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E56E8B">
            <w:rPr>
              <w:rFonts w:ascii="Arial" w:hAnsi="Arial"/>
              <w:sz w:val="18"/>
              <w:lang w:val="fr-CA"/>
            </w:rPr>
            <w:br/>
          </w:r>
          <w:r w:rsidR="00FA360A" w:rsidRPr="00E56E8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FA360A" w:rsidRPr="00E56E8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2A655B" w:rsidRPr="00E56E8B" w:rsidRDefault="002A655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2A655B" w:rsidRPr="00E56E8B" w:rsidRDefault="002A655B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A655B" w:rsidRPr="00E56E8B" w:rsidRDefault="002A655B" w:rsidP="00FA360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E56E8B">
            <w:rPr>
              <w:rFonts w:ascii="Arial" w:hAnsi="Arial"/>
              <w:sz w:val="18"/>
              <w:lang w:val="fr-CA"/>
            </w:rPr>
            <w:t>CCP.004</w:t>
          </w:r>
          <w:r w:rsidRPr="00E56E8B">
            <w:rPr>
              <w:rFonts w:ascii="Arial" w:hAnsi="Arial"/>
              <w:sz w:val="18"/>
              <w:lang w:val="fr-CA"/>
            </w:rPr>
            <w:br/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="00E56E8B" w:rsidRPr="00E56E8B">
            <w:rPr>
              <w:rFonts w:ascii="Arial" w:hAnsi="Arial"/>
              <w:snapToGrid w:val="0"/>
              <w:sz w:val="18"/>
              <w:lang w:val="fr-CA"/>
            </w:rPr>
            <w:t> </w: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241462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241462">
            <w:rPr>
              <w:rFonts w:ascii="Arial" w:hAnsi="Arial"/>
              <w:noProof/>
              <w:snapToGrid w:val="0"/>
              <w:sz w:val="18"/>
              <w:lang w:val="fr-CA"/>
            </w:rPr>
            <w:t>6</w:t>
          </w:r>
          <w:r w:rsidRPr="00E56E8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2A655B" w:rsidRDefault="002A655B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2A655B">
      <w:trPr>
        <w:trHeight w:val="707"/>
        <w:jc w:val="center"/>
      </w:trPr>
      <w:tc>
        <w:tcPr>
          <w:tcW w:w="1512" w:type="dxa"/>
        </w:tcPr>
        <w:p w:rsidR="002A655B" w:rsidRDefault="002A655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A655B" w:rsidRDefault="006C6D64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61975"/>
                <wp:effectExtent l="0" t="0" r="0" b="0"/>
                <wp:docPr id="4" name="Picture 4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FA360A" w:rsidRPr="002F220B" w:rsidRDefault="002A655B" w:rsidP="00FA360A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2F220B">
            <w:rPr>
              <w:rFonts w:ascii="Arial" w:hAnsi="Arial"/>
              <w:sz w:val="18"/>
              <w:lang w:val="fr-CA"/>
            </w:rPr>
            <w:br/>
          </w:r>
          <w:r w:rsidR="00FA360A"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FA360A" w:rsidRPr="002F220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2A655B" w:rsidRPr="002F220B" w:rsidRDefault="002A655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2A655B" w:rsidRPr="002F220B" w:rsidRDefault="002A655B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A655B" w:rsidRPr="002F220B" w:rsidRDefault="002A655B" w:rsidP="00FA360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2F220B">
            <w:rPr>
              <w:rFonts w:ascii="Arial" w:hAnsi="Arial"/>
              <w:sz w:val="18"/>
              <w:lang w:val="fr-CA"/>
            </w:rPr>
            <w:t>CCP.004</w:t>
          </w:r>
          <w:r w:rsidRPr="002F220B">
            <w:rPr>
              <w:rFonts w:ascii="Arial" w:hAnsi="Arial"/>
              <w:sz w:val="18"/>
              <w:lang w:val="fr-CA"/>
            </w:rPr>
            <w:br/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="00E56E8B" w:rsidRPr="002F220B">
            <w:rPr>
              <w:rFonts w:ascii="Arial" w:hAnsi="Arial"/>
              <w:snapToGrid w:val="0"/>
              <w:sz w:val="18"/>
              <w:lang w:val="fr-CA"/>
            </w:rPr>
            <w:t> </w: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241462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241462">
            <w:rPr>
              <w:rFonts w:ascii="Arial" w:hAnsi="Arial"/>
              <w:noProof/>
              <w:snapToGrid w:val="0"/>
              <w:sz w:val="18"/>
              <w:lang w:val="fr-CA"/>
            </w:rPr>
            <w:t>6</w:t>
          </w:r>
          <w:r w:rsidRPr="002F220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2A655B" w:rsidRDefault="002A6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2" w:rsidRDefault="004430F2">
      <w:r>
        <w:separator/>
      </w:r>
    </w:p>
  </w:footnote>
  <w:footnote w:type="continuationSeparator" w:id="0">
    <w:p w:rsidR="004430F2" w:rsidRDefault="0044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8B" w:rsidRDefault="00E56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9288"/>
    </w:tblGrid>
    <w:tr w:rsidR="002A655B">
      <w:trPr>
        <w:jc w:val="center"/>
      </w:trPr>
      <w:tc>
        <w:tcPr>
          <w:tcW w:w="9288" w:type="dxa"/>
        </w:tcPr>
        <w:p w:rsidR="002A655B" w:rsidRPr="00CA2B8F" w:rsidRDefault="00E56E8B" w:rsidP="00E56E8B">
          <w:pPr>
            <w:pStyle w:val="Header"/>
            <w:jc w:val="center"/>
            <w:rPr>
              <w:rFonts w:ascii="Arial" w:hAnsi="Arial"/>
              <w:b/>
              <w:sz w:val="28"/>
              <w:highlight w:val="red"/>
              <w:lang w:val="fr-CA"/>
            </w:rPr>
          </w:pPr>
          <w:r>
            <w:rPr>
              <w:rFonts w:ascii="Arial" w:hAnsi="Arial"/>
              <w:b/>
              <w:sz w:val="28"/>
              <w:lang w:val="fr-CA"/>
            </w:rPr>
            <w:t xml:space="preserve">Préparation de produits de </w:t>
          </w:r>
          <w:r w:rsidR="002A655B" w:rsidRPr="00CA2B8F">
            <w:rPr>
              <w:rFonts w:ascii="Arial" w:hAnsi="Arial"/>
              <w:b/>
              <w:sz w:val="28"/>
              <w:lang w:val="fr-CA"/>
            </w:rPr>
            <w:t>plaquettes</w:t>
          </w:r>
        </w:p>
      </w:tc>
    </w:tr>
    <w:tr w:rsidR="002A655B">
      <w:trPr>
        <w:trHeight w:val="315"/>
        <w:jc w:val="center"/>
      </w:trPr>
      <w:tc>
        <w:tcPr>
          <w:tcW w:w="9288" w:type="dxa"/>
        </w:tcPr>
        <w:p w:rsidR="002A655B" w:rsidRPr="00CA2B8F" w:rsidRDefault="002A655B">
          <w:pPr>
            <w:pStyle w:val="Header"/>
            <w:jc w:val="center"/>
            <w:rPr>
              <w:rFonts w:ascii="Arial" w:hAnsi="Arial"/>
              <w:lang w:val="fr-CA"/>
            </w:rPr>
          </w:pPr>
        </w:p>
      </w:tc>
    </w:tr>
  </w:tbl>
  <w:p w:rsidR="002A655B" w:rsidRDefault="002A655B">
    <w:pPr>
      <w:pStyle w:val="Header"/>
      <w:spacing w:line="14" w:lineRule="exac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0A" w:rsidRPr="00311FAC" w:rsidRDefault="006C6D64" w:rsidP="00FA360A">
    <w:pPr>
      <w:pStyle w:val="Header"/>
      <w:rPr>
        <w:rFonts w:ascii="Arial" w:hAnsi="Arial" w:cs="Arial"/>
        <w:b/>
        <w:bCs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3" name="Picture 3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0A" w:rsidRPr="000C64D0" w:rsidRDefault="00FA360A" w:rsidP="00FA360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0C64D0">
      <w:rPr>
        <w:rFonts w:ascii="Arial" w:hAnsi="Arial" w:cs="Arial"/>
        <w:b/>
        <w:bCs/>
        <w:sz w:val="28"/>
        <w:szCs w:val="28"/>
      </w:rPr>
      <w:t>Réseau</w:t>
    </w:r>
    <w:proofErr w:type="spellEnd"/>
    <w:r w:rsidRPr="000C64D0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0C64D0">
      <w:rPr>
        <w:rFonts w:ascii="Arial" w:hAnsi="Arial" w:cs="Arial"/>
        <w:b/>
        <w:bCs/>
        <w:sz w:val="28"/>
        <w:szCs w:val="28"/>
      </w:rPr>
      <w:t>régional</w:t>
    </w:r>
    <w:proofErr w:type="spellEnd"/>
    <w:r w:rsidRPr="000C64D0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0C64D0">
      <w:rPr>
        <w:rFonts w:ascii="Arial" w:hAnsi="Arial" w:cs="Arial"/>
        <w:b/>
        <w:bCs/>
        <w:sz w:val="28"/>
        <w:szCs w:val="28"/>
      </w:rPr>
      <w:t>ontarien</w:t>
    </w:r>
    <w:proofErr w:type="spellEnd"/>
    <w:r w:rsidRPr="000C64D0">
      <w:rPr>
        <w:rFonts w:ascii="Arial" w:hAnsi="Arial" w:cs="Arial"/>
        <w:b/>
        <w:bCs/>
        <w:sz w:val="28"/>
        <w:szCs w:val="28"/>
      </w:rPr>
      <w:t xml:space="preserve"> de coordination du sang</w:t>
    </w:r>
  </w:p>
  <w:p w:rsidR="00FA360A" w:rsidRPr="000C64D0" w:rsidRDefault="00FA360A" w:rsidP="00FA360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0C64D0">
      <w:rPr>
        <w:rFonts w:ascii="Arial" w:hAnsi="Arial" w:cs="Arial"/>
        <w:b/>
        <w:bCs/>
        <w:sz w:val="28"/>
        <w:szCs w:val="28"/>
      </w:rPr>
      <w:t xml:space="preserve">Manuel de </w:t>
    </w:r>
    <w:proofErr w:type="spellStart"/>
    <w:r w:rsidRPr="000C64D0">
      <w:rPr>
        <w:rFonts w:ascii="Arial" w:hAnsi="Arial" w:cs="Arial"/>
        <w:b/>
        <w:bCs/>
        <w:sz w:val="28"/>
        <w:szCs w:val="28"/>
      </w:rPr>
      <w:t>ressources</w:t>
    </w:r>
    <w:proofErr w:type="spellEnd"/>
    <w:r w:rsidRPr="000C64D0">
      <w:rPr>
        <w:rFonts w:ascii="Arial" w:hAnsi="Arial" w:cs="Arial"/>
        <w:b/>
        <w:bCs/>
        <w:sz w:val="28"/>
        <w:szCs w:val="28"/>
      </w:rPr>
      <w:t xml:space="preserve"> techniques </w:t>
    </w:r>
    <w:proofErr w:type="spellStart"/>
    <w:r w:rsidRPr="000C64D0">
      <w:rPr>
        <w:rFonts w:ascii="Arial" w:hAnsi="Arial" w:cs="Arial"/>
        <w:b/>
        <w:bCs/>
        <w:sz w:val="28"/>
        <w:szCs w:val="28"/>
      </w:rPr>
      <w:t>en</w:t>
    </w:r>
    <w:proofErr w:type="spellEnd"/>
    <w:r w:rsidRPr="000C64D0">
      <w:rPr>
        <w:rFonts w:ascii="Arial" w:hAnsi="Arial" w:cs="Arial"/>
        <w:b/>
        <w:bCs/>
        <w:sz w:val="28"/>
        <w:szCs w:val="28"/>
      </w:rPr>
      <w:t xml:space="preserve"> transfusion de </w:t>
    </w:r>
    <w:proofErr w:type="spellStart"/>
    <w:r w:rsidRPr="000C64D0">
      <w:rPr>
        <w:rFonts w:ascii="Arial" w:hAnsi="Arial" w:cs="Arial"/>
        <w:b/>
        <w:bCs/>
        <w:sz w:val="28"/>
        <w:szCs w:val="28"/>
      </w:rPr>
      <w:t>l’Ontario</w:t>
    </w:r>
    <w:proofErr w:type="spellEnd"/>
  </w:p>
  <w:p w:rsidR="002A655B" w:rsidRPr="00402E28" w:rsidRDefault="002A655B">
    <w:pPr>
      <w:pStyle w:val="Header"/>
      <w:jc w:val="center"/>
      <w:rPr>
        <w:rFonts w:ascii="Arial" w:hAnsi="Arial" w:cs="Arial"/>
        <w:b/>
        <w:bCs/>
        <w:lang w:val="fr-CA"/>
      </w:rPr>
    </w:pPr>
  </w:p>
  <w:p w:rsidR="002A655B" w:rsidRPr="00402E28" w:rsidRDefault="00B10A87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sz w:val="28"/>
        <w:lang w:val="fr-CA"/>
      </w:rPr>
      <w:t xml:space="preserve">Préparation de </w:t>
    </w:r>
    <w:r w:rsidR="002A655B" w:rsidRPr="00402E28">
      <w:rPr>
        <w:rFonts w:ascii="Arial" w:hAnsi="Arial"/>
        <w:b/>
        <w:sz w:val="28"/>
        <w:lang w:val="fr-CA"/>
      </w:rPr>
      <w:t>plaquettes</w:t>
    </w:r>
  </w:p>
  <w:p w:rsidR="002A655B" w:rsidRPr="00402E28" w:rsidRDefault="002A655B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</w:p>
  <w:p w:rsidR="002A655B" w:rsidRPr="00402E28" w:rsidRDefault="002A655B">
    <w:pPr>
      <w:pStyle w:val="Header"/>
      <w:tabs>
        <w:tab w:val="left" w:pos="6617"/>
      </w:tabs>
      <w:jc w:val="center"/>
      <w:rPr>
        <w:rFonts w:ascii="Arial" w:hAnsi="Arial" w:cs="Arial"/>
        <w:b/>
        <w:bCs/>
        <w:lang w:val="fr-CA"/>
      </w:rPr>
    </w:pPr>
    <w:r w:rsidRPr="00402E28">
      <w:rPr>
        <w:rFonts w:ascii="Arial" w:hAnsi="Arial" w:cs="Arial"/>
        <w:b/>
        <w:bCs/>
        <w:lang w:val="fr-CA"/>
      </w:rPr>
      <w:tab/>
    </w:r>
    <w:r w:rsidR="006C6D64" w:rsidRPr="00402E28"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D872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8838" w:type="dxa"/>
      <w:tblLook w:val="0000" w:firstRow="0" w:lastRow="0" w:firstColumn="0" w:lastColumn="0" w:noHBand="0" w:noVBand="0"/>
    </w:tblPr>
    <w:tblGrid>
      <w:gridCol w:w="4248"/>
      <w:gridCol w:w="4590"/>
    </w:tblGrid>
    <w:tr w:rsidR="002A655B" w:rsidRPr="00402E28">
      <w:tc>
        <w:tcPr>
          <w:tcW w:w="4248" w:type="dxa"/>
        </w:tcPr>
        <w:p w:rsidR="002A655B" w:rsidRPr="00402E28" w:rsidRDefault="002A655B" w:rsidP="00402E28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>Approbation :</w:t>
          </w:r>
        </w:p>
      </w:tc>
      <w:tc>
        <w:tcPr>
          <w:tcW w:w="4590" w:type="dxa"/>
        </w:tcPr>
        <w:p w:rsidR="002A655B" w:rsidRPr="00402E28" w:rsidRDefault="002A655B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>Document n</w:t>
          </w:r>
          <w:r w:rsidRPr="00402E28">
            <w:rPr>
              <w:rFonts w:ascii="Arial" w:hAnsi="Arial" w:cs="Arial"/>
              <w:sz w:val="20"/>
              <w:vertAlign w:val="superscript"/>
              <w:lang w:val="fr-CA"/>
            </w:rPr>
            <w:t>o</w:t>
          </w:r>
          <w:r w:rsidRPr="00402E28">
            <w:rPr>
              <w:rFonts w:ascii="Arial" w:hAnsi="Arial" w:cs="Arial"/>
              <w:sz w:val="20"/>
              <w:lang w:val="fr-CA"/>
            </w:rPr>
            <w:t xml:space="preserve"> : CCP.004</w:t>
          </w:r>
        </w:p>
      </w:tc>
    </w:tr>
    <w:tr w:rsidR="002A655B" w:rsidRPr="00402E28">
      <w:tc>
        <w:tcPr>
          <w:tcW w:w="4248" w:type="dxa"/>
        </w:tcPr>
        <w:p w:rsidR="002A655B" w:rsidRPr="00402E28" w:rsidRDefault="002A655B" w:rsidP="00402E28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>Date de publication : 2006/08/01</w:t>
          </w:r>
        </w:p>
      </w:tc>
      <w:tc>
        <w:tcPr>
          <w:tcW w:w="4590" w:type="dxa"/>
        </w:tcPr>
        <w:p w:rsidR="002A655B" w:rsidRPr="00402E28" w:rsidRDefault="002A655B" w:rsidP="00402E28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>Catégorie : Choix des composants et préparation</w:t>
          </w:r>
        </w:p>
      </w:tc>
    </w:tr>
    <w:tr w:rsidR="002A655B" w:rsidRPr="00402E28">
      <w:tc>
        <w:tcPr>
          <w:tcW w:w="4248" w:type="dxa"/>
        </w:tcPr>
        <w:p w:rsidR="002A655B" w:rsidRPr="00402E28" w:rsidRDefault="002A655B" w:rsidP="00B711C3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>Date de révision :</w:t>
          </w:r>
          <w:r w:rsidR="00B711C3">
            <w:rPr>
              <w:rFonts w:ascii="Arial" w:hAnsi="Arial" w:cs="Arial"/>
              <w:sz w:val="20"/>
              <w:lang w:val="fr-CA"/>
            </w:rPr>
            <w:t xml:space="preserve"> 2009/09/01; 2014/09/01</w:t>
          </w:r>
        </w:p>
      </w:tc>
      <w:tc>
        <w:tcPr>
          <w:tcW w:w="4590" w:type="dxa"/>
        </w:tcPr>
        <w:p w:rsidR="002A655B" w:rsidRPr="00402E28" w:rsidRDefault="002A655B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402E28">
            <w:rPr>
              <w:rFonts w:ascii="Arial" w:hAnsi="Arial" w:cs="Arial"/>
              <w:sz w:val="20"/>
              <w:lang w:val="fr-CA"/>
            </w:rPr>
            <w:t xml:space="preserve">Pages : </w:t>
          </w:r>
          <w:r w:rsidRPr="00402E28">
            <w:rPr>
              <w:rFonts w:ascii="Arial" w:hAnsi="Arial" w:cs="Arial"/>
              <w:sz w:val="20"/>
              <w:lang w:val="fr-CA"/>
            </w:rPr>
            <w:fldChar w:fldCharType="begin"/>
          </w:r>
          <w:r w:rsidRPr="00402E28">
            <w:rPr>
              <w:rFonts w:ascii="Arial" w:hAnsi="Arial" w:cs="Arial"/>
              <w:sz w:val="20"/>
              <w:lang w:val="fr-CA"/>
            </w:rPr>
            <w:instrText xml:space="preserve"> NUMPAGES </w:instrText>
          </w:r>
          <w:r w:rsidRPr="00402E28">
            <w:rPr>
              <w:rFonts w:ascii="Arial" w:hAnsi="Arial" w:cs="Arial"/>
              <w:sz w:val="20"/>
              <w:lang w:val="fr-CA"/>
            </w:rPr>
            <w:fldChar w:fldCharType="separate"/>
          </w:r>
          <w:r w:rsidR="00241462">
            <w:rPr>
              <w:rFonts w:ascii="Arial" w:hAnsi="Arial" w:cs="Arial"/>
              <w:noProof/>
              <w:sz w:val="20"/>
              <w:lang w:val="fr-CA"/>
            </w:rPr>
            <w:t>6</w:t>
          </w:r>
          <w:r w:rsidRPr="00402E28">
            <w:rPr>
              <w:rFonts w:ascii="Arial" w:hAnsi="Arial" w:cs="Arial"/>
              <w:sz w:val="20"/>
              <w:lang w:val="fr-CA"/>
            </w:rPr>
            <w:fldChar w:fldCharType="end"/>
          </w:r>
        </w:p>
      </w:tc>
    </w:tr>
  </w:tbl>
  <w:p w:rsidR="002A655B" w:rsidRPr="00402E28" w:rsidRDefault="006C6D64">
    <w:pPr>
      <w:pStyle w:val="Header"/>
      <w:tabs>
        <w:tab w:val="clear" w:pos="8640"/>
      </w:tabs>
      <w:rPr>
        <w:rFonts w:ascii="Arial" w:hAnsi="Arial" w:cs="Arial"/>
        <w:sz w:val="20"/>
      </w:rPr>
    </w:pPr>
    <w:r w:rsidRPr="00402E28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0F1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K30bs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A655B" w:rsidRPr="00402E28">
      <w:rPr>
        <w:rFonts w:ascii="Arial" w:hAnsi="Arial" w:cs="Arial"/>
        <w:sz w:val="20"/>
      </w:rPr>
      <w:tab/>
    </w:r>
  </w:p>
  <w:p w:rsidR="002A655B" w:rsidRPr="00402E28" w:rsidRDefault="002A6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45D0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66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F6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BD66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F87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66C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850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441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F71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44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047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3B0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905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B1120"/>
    <w:multiLevelType w:val="hybridMultilevel"/>
    <w:tmpl w:val="63BA5876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1461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4D09CB"/>
    <w:multiLevelType w:val="multilevel"/>
    <w:tmpl w:val="706C81D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43777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457F8"/>
    <w:multiLevelType w:val="hybridMultilevel"/>
    <w:tmpl w:val="2C066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8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712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C11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A77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5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6" w15:restartNumberingAfterBreak="0">
    <w:nsid w:val="6C500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57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BE1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021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1" w15:restartNumberingAfterBreak="0">
    <w:nsid w:val="76EF7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C24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4" w15:restartNumberingAfterBreak="0">
    <w:nsid w:val="7E931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05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24"/>
  </w:num>
  <w:num w:numId="5">
    <w:abstractNumId w:val="33"/>
  </w:num>
  <w:num w:numId="6">
    <w:abstractNumId w:val="16"/>
  </w:num>
  <w:num w:numId="7">
    <w:abstractNumId w:val="16"/>
  </w:num>
  <w:num w:numId="8">
    <w:abstractNumId w:val="28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23"/>
  </w:num>
  <w:num w:numId="15">
    <w:abstractNumId w:val="5"/>
  </w:num>
  <w:num w:numId="16">
    <w:abstractNumId w:val="29"/>
  </w:num>
  <w:num w:numId="17">
    <w:abstractNumId w:val="7"/>
  </w:num>
  <w:num w:numId="18">
    <w:abstractNumId w:val="22"/>
  </w:num>
  <w:num w:numId="19">
    <w:abstractNumId w:val="12"/>
  </w:num>
  <w:num w:numId="20">
    <w:abstractNumId w:val="31"/>
  </w:num>
  <w:num w:numId="21">
    <w:abstractNumId w:val="1"/>
  </w:num>
  <w:num w:numId="22">
    <w:abstractNumId w:val="2"/>
  </w:num>
  <w:num w:numId="23">
    <w:abstractNumId w:val="26"/>
  </w:num>
  <w:num w:numId="24">
    <w:abstractNumId w:val="4"/>
  </w:num>
  <w:num w:numId="25">
    <w:abstractNumId w:val="27"/>
  </w:num>
  <w:num w:numId="26">
    <w:abstractNumId w:val="21"/>
  </w:num>
  <w:num w:numId="27">
    <w:abstractNumId w:val="34"/>
  </w:num>
  <w:num w:numId="28">
    <w:abstractNumId w:val="32"/>
  </w:num>
  <w:num w:numId="29">
    <w:abstractNumId w:val="35"/>
  </w:num>
  <w:num w:numId="30">
    <w:abstractNumId w:val="20"/>
  </w:num>
  <w:num w:numId="31">
    <w:abstractNumId w:val="9"/>
  </w:num>
  <w:num w:numId="32">
    <w:abstractNumId w:val="17"/>
  </w:num>
  <w:num w:numId="33">
    <w:abstractNumId w:val="15"/>
  </w:num>
  <w:num w:numId="34">
    <w:abstractNumId w:val="3"/>
  </w:num>
  <w:num w:numId="35">
    <w:abstractNumId w:val="18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4F"/>
    <w:rsid w:val="00005825"/>
    <w:rsid w:val="00006F0D"/>
    <w:rsid w:val="00015B3E"/>
    <w:rsid w:val="000B0A42"/>
    <w:rsid w:val="000C1E01"/>
    <w:rsid w:val="001826C5"/>
    <w:rsid w:val="0018510C"/>
    <w:rsid w:val="001A24F6"/>
    <w:rsid w:val="001E532C"/>
    <w:rsid w:val="00234082"/>
    <w:rsid w:val="00236842"/>
    <w:rsid w:val="00241462"/>
    <w:rsid w:val="00257AD1"/>
    <w:rsid w:val="002A655B"/>
    <w:rsid w:val="002F220B"/>
    <w:rsid w:val="0031514B"/>
    <w:rsid w:val="00327595"/>
    <w:rsid w:val="00400806"/>
    <w:rsid w:val="00402E28"/>
    <w:rsid w:val="004430F2"/>
    <w:rsid w:val="00446CEE"/>
    <w:rsid w:val="00481A0B"/>
    <w:rsid w:val="00493557"/>
    <w:rsid w:val="004D474F"/>
    <w:rsid w:val="00581027"/>
    <w:rsid w:val="005D3902"/>
    <w:rsid w:val="00613DA8"/>
    <w:rsid w:val="0066659F"/>
    <w:rsid w:val="006C6D64"/>
    <w:rsid w:val="006E03A2"/>
    <w:rsid w:val="006E5F72"/>
    <w:rsid w:val="007C1065"/>
    <w:rsid w:val="00884CBF"/>
    <w:rsid w:val="008A34D3"/>
    <w:rsid w:val="008C0A67"/>
    <w:rsid w:val="008E5CBA"/>
    <w:rsid w:val="00903A27"/>
    <w:rsid w:val="0090632A"/>
    <w:rsid w:val="0092709E"/>
    <w:rsid w:val="009464D9"/>
    <w:rsid w:val="00974E48"/>
    <w:rsid w:val="009A233F"/>
    <w:rsid w:val="009B0A1C"/>
    <w:rsid w:val="00A24FA6"/>
    <w:rsid w:val="00AA5EAB"/>
    <w:rsid w:val="00AC677A"/>
    <w:rsid w:val="00AD5583"/>
    <w:rsid w:val="00AF6B0E"/>
    <w:rsid w:val="00B10A87"/>
    <w:rsid w:val="00B11C2B"/>
    <w:rsid w:val="00B224D5"/>
    <w:rsid w:val="00B412B2"/>
    <w:rsid w:val="00B711C3"/>
    <w:rsid w:val="00B8325A"/>
    <w:rsid w:val="00BC4893"/>
    <w:rsid w:val="00C405F1"/>
    <w:rsid w:val="00C41C03"/>
    <w:rsid w:val="00CA2B8F"/>
    <w:rsid w:val="00D0017F"/>
    <w:rsid w:val="00D3470D"/>
    <w:rsid w:val="00D50675"/>
    <w:rsid w:val="00DD5E92"/>
    <w:rsid w:val="00DF26AE"/>
    <w:rsid w:val="00E14D64"/>
    <w:rsid w:val="00E16C5C"/>
    <w:rsid w:val="00E56E8B"/>
    <w:rsid w:val="00ED22BD"/>
    <w:rsid w:val="00F005BC"/>
    <w:rsid w:val="00F22B27"/>
    <w:rsid w:val="00F41B6C"/>
    <w:rsid w:val="00F76605"/>
    <w:rsid w:val="00FA360A"/>
    <w:rsid w:val="00FB4B0D"/>
    <w:rsid w:val="00FB758B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01465-6568-4F86-86A7-CDC8D0E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2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C1E01"/>
    <w:pPr>
      <w:keepNext/>
      <w:numPr>
        <w:numId w:val="7"/>
      </w:numPr>
      <w:spacing w:after="240"/>
      <w:outlineLvl w:val="0"/>
    </w:pPr>
    <w:rPr>
      <w:rFonts w:ascii="Arial" w:hAnsi="Arial"/>
      <w:b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  <w:rsid w:val="00ED22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22BD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HTML">
    <w:name w:val="HTML"/>
    <w:basedOn w:val="Normal"/>
    <w:rPr>
      <w:strike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4D474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6B0E"/>
    <w:rPr>
      <w:sz w:val="16"/>
      <w:szCs w:val="16"/>
    </w:rPr>
  </w:style>
  <w:style w:type="paragraph" w:styleId="CommentText">
    <w:name w:val="annotation text"/>
    <w:basedOn w:val="Normal"/>
    <w:semiHidden/>
    <w:rsid w:val="00AF6B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AF6B0E"/>
    <w:rPr>
      <w:b/>
      <w:bCs/>
    </w:rPr>
  </w:style>
  <w:style w:type="paragraph" w:styleId="ListParagraph">
    <w:name w:val="List Paragraph"/>
    <w:basedOn w:val="Normal"/>
    <w:uiPriority w:val="34"/>
    <w:qFormat/>
    <w:rsid w:val="00B711C3"/>
    <w:pPr>
      <w:ind w:left="720"/>
    </w:pPr>
  </w:style>
  <w:style w:type="character" w:customStyle="1" w:styleId="HeaderChar">
    <w:name w:val="Header Char"/>
    <w:link w:val="Header"/>
    <w:uiPriority w:val="99"/>
    <w:rsid w:val="00FA360A"/>
    <w:rPr>
      <w:rFonts w:ascii="Georgia" w:hAnsi="Georgia"/>
      <w:kern w:val="24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1171</Words>
  <Characters>6676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CSP.004 Pooling Platelets</vt:lpstr>
      <vt:lpstr/>
      <vt:lpstr>Suivi des révisions</vt:lpstr>
      <vt:lpstr>CSP.004 Pooling Platelets</vt:lpstr>
    </vt:vector>
  </TitlesOfParts>
  <Company>The Ottawa Hospital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CSP.004 Pooling Platelets</dc:title>
  <dc:subject/>
  <dc:creator>Transfusion Ontario Program Office</dc:creator>
  <cp:keywords/>
  <cp:lastModifiedBy>Nesrallah, Heather</cp:lastModifiedBy>
  <cp:revision>2</cp:revision>
  <cp:lastPrinted>2004-03-28T18:06:00Z</cp:lastPrinted>
  <dcterms:created xsi:type="dcterms:W3CDTF">2020-08-11T21:01:00Z</dcterms:created>
  <dcterms:modified xsi:type="dcterms:W3CDTF">2020-08-11T21:01:00Z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2065</vt:i4>
  </property>
  <property fmtid="{D5CDD505-2E9C-101B-9397-08002B2CF9AE}" pid="3" name="Translated Words">
    <vt:i4>494</vt:i4>
  </property>
  <property fmtid="{D5CDD505-2E9C-101B-9397-08002B2CF9AE}" pid="4" name="Not Translated Words">
    <vt:i4>1571</vt:i4>
  </property>
</Properties>
</file>