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37" w:rsidRDefault="008E7637">
      <w:pPr>
        <w:numPr>
          <w:ilvl w:val="0"/>
          <w:numId w:val="1"/>
        </w:numPr>
        <w:rPr>
          <w:rFonts w:ascii="Arial" w:hAnsi="Arial"/>
          <w:b/>
          <w:color w:val="000000"/>
          <w:sz w:val="28"/>
          <w:lang w:val="fr-CA"/>
        </w:rPr>
      </w:pPr>
      <w:bookmarkStart w:id="0" w:name="_GoBack"/>
      <w:bookmarkEnd w:id="0"/>
      <w:r>
        <w:rPr>
          <w:rFonts w:ascii="Arial" w:hAnsi="Arial"/>
          <w:b/>
          <w:color w:val="000000"/>
          <w:sz w:val="28"/>
          <w:lang w:val="fr-CA"/>
        </w:rPr>
        <w:t>Principe</w:t>
      </w:r>
    </w:p>
    <w:p w:rsidR="008E7637" w:rsidRDefault="008E7637">
      <w:pPr>
        <w:rPr>
          <w:rFonts w:ascii="Arial" w:hAnsi="Arial"/>
          <w:color w:val="000000"/>
          <w:sz w:val="24"/>
          <w:lang w:val="fr-CA"/>
        </w:rPr>
      </w:pPr>
    </w:p>
    <w:p w:rsidR="008E7637" w:rsidRDefault="008E7637">
      <w:pPr>
        <w:ind w:left="720"/>
        <w:rPr>
          <w:rFonts w:ascii="Arial" w:hAnsi="Arial"/>
          <w:color w:val="000000"/>
          <w:sz w:val="24"/>
          <w:lang w:val="fr-CA"/>
        </w:rPr>
      </w:pPr>
      <w:r>
        <w:rPr>
          <w:rFonts w:ascii="Arial" w:hAnsi="Arial"/>
          <w:color w:val="000000"/>
          <w:sz w:val="24"/>
          <w:lang w:val="fr-CA"/>
        </w:rPr>
        <w:t>Pour confirmer les soupçons de présence d’anticorps anti-A</w:t>
      </w:r>
      <w:r w:rsidR="005C6FBD">
        <w:rPr>
          <w:rFonts w:ascii="Arial" w:hAnsi="Arial"/>
          <w:color w:val="000000"/>
          <w:sz w:val="24"/>
          <w:lang w:val="fr-CA"/>
        </w:rPr>
        <w:t xml:space="preserve"> </w:t>
      </w:r>
      <w:r>
        <w:rPr>
          <w:rFonts w:ascii="Arial" w:hAnsi="Arial"/>
          <w:color w:val="000000"/>
          <w:sz w:val="24"/>
          <w:lang w:val="fr-CA"/>
        </w:rPr>
        <w:t>ou</w:t>
      </w:r>
      <w:r w:rsidR="00144B31">
        <w:rPr>
          <w:rFonts w:ascii="Arial" w:hAnsi="Arial"/>
          <w:color w:val="000000"/>
          <w:sz w:val="24"/>
          <w:lang w:val="fr-CA"/>
        </w:rPr>
        <w:t>-</w:t>
      </w:r>
      <w:r>
        <w:rPr>
          <w:rFonts w:ascii="Arial" w:hAnsi="Arial"/>
          <w:color w:val="000000"/>
          <w:sz w:val="24"/>
          <w:lang w:val="fr-CA"/>
        </w:rPr>
        <w:t xml:space="preserve">B immuns </w:t>
      </w:r>
      <w:r w:rsidR="00AB566C">
        <w:rPr>
          <w:rFonts w:ascii="Arial" w:hAnsi="Arial"/>
          <w:color w:val="000000"/>
          <w:sz w:val="24"/>
          <w:lang w:val="fr-CA"/>
        </w:rPr>
        <w:t xml:space="preserve">acquis de façon passive et </w:t>
      </w:r>
      <w:r>
        <w:rPr>
          <w:rFonts w:ascii="Arial" w:hAnsi="Arial"/>
          <w:color w:val="000000"/>
          <w:sz w:val="24"/>
          <w:lang w:val="fr-CA"/>
        </w:rPr>
        <w:t>cliniquement significatifs.</w:t>
      </w:r>
    </w:p>
    <w:p w:rsidR="008E7637" w:rsidRDefault="008E7637">
      <w:pPr>
        <w:ind w:left="720"/>
        <w:rPr>
          <w:rFonts w:ascii="Arial" w:hAnsi="Arial"/>
          <w:color w:val="000000"/>
          <w:sz w:val="24"/>
          <w:lang w:val="fr-CA"/>
        </w:rPr>
      </w:pPr>
    </w:p>
    <w:p w:rsidR="008E7637" w:rsidRDefault="008E7637">
      <w:pPr>
        <w:ind w:left="720"/>
        <w:rPr>
          <w:rFonts w:ascii="Arial" w:hAnsi="Arial"/>
          <w:color w:val="000000"/>
          <w:sz w:val="24"/>
          <w:lang w:val="fr-CA"/>
        </w:rPr>
      </w:pPr>
      <w:r>
        <w:rPr>
          <w:rFonts w:ascii="Arial" w:hAnsi="Arial"/>
          <w:color w:val="000000"/>
          <w:sz w:val="24"/>
          <w:lang w:val="fr-CA"/>
        </w:rPr>
        <w:t>Le dépistage d'anticorps suppose la comparaison du plasma du patient à des globules rouges de groupe A et B.</w:t>
      </w:r>
    </w:p>
    <w:p w:rsidR="008E7637" w:rsidRDefault="008E7637">
      <w:pPr>
        <w:ind w:left="720"/>
        <w:rPr>
          <w:rFonts w:ascii="Arial" w:hAnsi="Arial"/>
          <w:color w:val="000000"/>
          <w:sz w:val="24"/>
          <w:lang w:val="fr-CA"/>
        </w:rPr>
      </w:pPr>
    </w:p>
    <w:p w:rsidR="008E7637" w:rsidRDefault="008E7637">
      <w:pPr>
        <w:ind w:left="720"/>
        <w:rPr>
          <w:rFonts w:ascii="Arial" w:hAnsi="Arial"/>
          <w:color w:val="000000"/>
          <w:sz w:val="24"/>
          <w:lang w:val="fr-CA"/>
        </w:rPr>
      </w:pPr>
      <w:r>
        <w:rPr>
          <w:rFonts w:ascii="Arial" w:hAnsi="Arial"/>
          <w:color w:val="000000"/>
          <w:sz w:val="24"/>
          <w:lang w:val="fr-CA"/>
        </w:rPr>
        <w:t>Les anticorps immuns peuvent entraîner l'agglutination directe ou la lyse à 37 ºC des globules rouges, ou recouvrir les globules rouges de globuline (c'est-à-dire IgG).</w:t>
      </w:r>
      <w:r w:rsidR="005C6FBD">
        <w:rPr>
          <w:rFonts w:ascii="Arial" w:hAnsi="Arial"/>
          <w:color w:val="000000"/>
          <w:sz w:val="24"/>
          <w:lang w:val="fr-CA"/>
        </w:rPr>
        <w:t xml:space="preserve"> </w:t>
      </w:r>
      <w:r>
        <w:rPr>
          <w:rFonts w:ascii="Arial" w:hAnsi="Arial"/>
          <w:color w:val="000000"/>
          <w:sz w:val="24"/>
          <w:lang w:val="fr-CA"/>
        </w:rPr>
        <w:t>On incube les cellules de dépistage avec le plasma du patient à 37 ºC.</w:t>
      </w:r>
      <w:r w:rsidR="005C6FBD">
        <w:rPr>
          <w:rFonts w:ascii="Arial" w:hAnsi="Arial"/>
          <w:color w:val="000000"/>
          <w:sz w:val="24"/>
          <w:lang w:val="fr-CA"/>
        </w:rPr>
        <w:t xml:space="preserve"> </w:t>
      </w:r>
      <w:r>
        <w:rPr>
          <w:rFonts w:ascii="Arial" w:hAnsi="Arial"/>
          <w:color w:val="000000"/>
          <w:sz w:val="24"/>
          <w:lang w:val="fr-CA"/>
        </w:rPr>
        <w:t xml:space="preserve">Après incubation, on examine les globules rouges pour détecter une agglutination directe </w:t>
      </w:r>
      <w:r w:rsidR="004B2E79">
        <w:rPr>
          <w:rFonts w:ascii="Arial" w:hAnsi="Arial"/>
          <w:color w:val="000000"/>
          <w:sz w:val="24"/>
          <w:lang w:val="fr-CA"/>
        </w:rPr>
        <w:t>et/</w:t>
      </w:r>
      <w:r>
        <w:rPr>
          <w:rFonts w:ascii="Arial" w:hAnsi="Arial"/>
          <w:color w:val="000000"/>
          <w:sz w:val="24"/>
          <w:lang w:val="fr-CA"/>
        </w:rPr>
        <w:t>ou une hémolyse, on les lave pour éliminer les globulines non fixées et on les soumet à de la globuline anti-humaine (GAH).</w:t>
      </w:r>
    </w:p>
    <w:p w:rsidR="008E7637" w:rsidRDefault="008E7637">
      <w:pPr>
        <w:ind w:left="720"/>
        <w:rPr>
          <w:rFonts w:ascii="Arial" w:hAnsi="Arial"/>
          <w:color w:val="000000"/>
          <w:sz w:val="24"/>
          <w:lang w:val="fr-CA"/>
        </w:rPr>
      </w:pPr>
    </w:p>
    <w:p w:rsidR="008E7637" w:rsidRDefault="008E7637">
      <w:pPr>
        <w:ind w:left="720"/>
        <w:rPr>
          <w:rFonts w:ascii="Arial" w:hAnsi="Arial"/>
          <w:color w:val="000000"/>
          <w:sz w:val="24"/>
          <w:lang w:val="fr-CA"/>
        </w:rPr>
      </w:pPr>
      <w:r>
        <w:rPr>
          <w:rFonts w:ascii="Arial" w:hAnsi="Arial"/>
          <w:color w:val="000000"/>
          <w:sz w:val="24"/>
          <w:lang w:val="fr-CA"/>
        </w:rPr>
        <w:t>L'agglutination directe, l’hémolyse ou l’agglutination en présence de GAH (indiquant que les cellules de dépistage ont été recouvertes de globuline) confirme la présence d’anticorps anti-A et</w:t>
      </w:r>
      <w:r w:rsidR="004B2E79">
        <w:rPr>
          <w:rFonts w:ascii="Arial" w:hAnsi="Arial"/>
          <w:color w:val="000000"/>
          <w:sz w:val="24"/>
          <w:lang w:val="fr-CA"/>
        </w:rPr>
        <w:t>/</w:t>
      </w:r>
      <w:r>
        <w:rPr>
          <w:rFonts w:ascii="Arial" w:hAnsi="Arial"/>
          <w:color w:val="000000"/>
          <w:sz w:val="24"/>
          <w:lang w:val="fr-CA"/>
        </w:rPr>
        <w:t>ou</w:t>
      </w:r>
      <w:r w:rsidR="00144B31">
        <w:rPr>
          <w:rFonts w:ascii="Arial" w:hAnsi="Arial"/>
          <w:color w:val="000000"/>
          <w:sz w:val="24"/>
          <w:lang w:val="fr-CA"/>
        </w:rPr>
        <w:t xml:space="preserve"> -</w:t>
      </w:r>
      <w:r>
        <w:rPr>
          <w:rFonts w:ascii="Arial" w:hAnsi="Arial"/>
          <w:color w:val="000000"/>
          <w:sz w:val="24"/>
          <w:lang w:val="fr-CA"/>
        </w:rPr>
        <w:t>B immuns</w:t>
      </w:r>
      <w:r w:rsidR="00144B31">
        <w:rPr>
          <w:rFonts w:ascii="Arial" w:hAnsi="Arial"/>
          <w:color w:val="000000"/>
          <w:sz w:val="24"/>
          <w:lang w:val="fr-CA"/>
        </w:rPr>
        <w:t>.</w:t>
      </w:r>
    </w:p>
    <w:p w:rsidR="008E7637" w:rsidRDefault="008E7637">
      <w:pPr>
        <w:ind w:left="720"/>
        <w:rPr>
          <w:rFonts w:ascii="Arial" w:hAnsi="Arial"/>
          <w:color w:val="000000"/>
          <w:sz w:val="24"/>
          <w:lang w:val="fr-CA"/>
        </w:rPr>
      </w:pPr>
    </w:p>
    <w:p w:rsidR="008E7637" w:rsidRDefault="008E7637">
      <w:pPr>
        <w:numPr>
          <w:ilvl w:val="0"/>
          <w:numId w:val="1"/>
        </w:numPr>
        <w:rPr>
          <w:rFonts w:ascii="Arial" w:hAnsi="Arial"/>
          <w:b/>
          <w:color w:val="000000"/>
          <w:sz w:val="28"/>
          <w:lang w:val="fr-CA"/>
        </w:rPr>
      </w:pPr>
      <w:r>
        <w:rPr>
          <w:rFonts w:ascii="Arial" w:hAnsi="Arial"/>
          <w:b/>
          <w:color w:val="000000"/>
          <w:sz w:val="28"/>
          <w:lang w:val="fr-CA"/>
        </w:rPr>
        <w:t>Portée et politiques connexes</w:t>
      </w:r>
    </w:p>
    <w:p w:rsidR="008E7637" w:rsidRDefault="008E7637">
      <w:pPr>
        <w:rPr>
          <w:rFonts w:ascii="Arial" w:hAnsi="Arial"/>
          <w:color w:val="000000"/>
          <w:sz w:val="24"/>
          <w:lang w:val="fr-CA"/>
        </w:rPr>
      </w:pPr>
    </w:p>
    <w:p w:rsidR="008E7637" w:rsidRDefault="008E7637">
      <w:pPr>
        <w:numPr>
          <w:ilvl w:val="1"/>
          <w:numId w:val="1"/>
        </w:numPr>
        <w:rPr>
          <w:rFonts w:ascii="Arial" w:hAnsi="Arial"/>
          <w:color w:val="000000"/>
          <w:sz w:val="24"/>
          <w:lang w:val="fr-CA"/>
        </w:rPr>
      </w:pPr>
      <w:r>
        <w:rPr>
          <w:rFonts w:ascii="Arial" w:hAnsi="Arial"/>
          <w:color w:val="000000"/>
          <w:sz w:val="24"/>
          <w:lang w:val="fr-CA"/>
        </w:rPr>
        <w:t>Le dépistage d'anticorps doit se faire à 37 °C et comprendre un test indirect à l'antiglobuline dont la sensibilité est reconnue.</w:t>
      </w:r>
      <w:r w:rsidR="005C6FBD">
        <w:rPr>
          <w:rFonts w:ascii="Arial" w:hAnsi="Arial"/>
          <w:color w:val="000000"/>
          <w:sz w:val="24"/>
          <w:lang w:val="fr-CA"/>
        </w:rPr>
        <w:t xml:space="preserve"> </w:t>
      </w:r>
      <w:r>
        <w:rPr>
          <w:rFonts w:ascii="Arial" w:hAnsi="Arial"/>
          <w:color w:val="000000"/>
          <w:sz w:val="24"/>
          <w:lang w:val="fr-CA"/>
        </w:rPr>
        <w:t xml:space="preserve">On peut recourir à d'autres méthodes </w:t>
      </w:r>
      <w:r w:rsidR="00144B31">
        <w:rPr>
          <w:rFonts w:ascii="Arial" w:hAnsi="Arial"/>
          <w:color w:val="000000"/>
          <w:sz w:val="24"/>
          <w:lang w:val="fr-CA"/>
        </w:rPr>
        <w:t>pourvu</w:t>
      </w:r>
      <w:r>
        <w:rPr>
          <w:rFonts w:ascii="Arial" w:hAnsi="Arial"/>
          <w:color w:val="000000"/>
          <w:sz w:val="24"/>
          <w:lang w:val="fr-CA"/>
        </w:rPr>
        <w:t xml:space="preserve"> que leur sensibilité soit documentée et que l'on respecte les instructions du fournisseur.</w:t>
      </w:r>
      <w:r w:rsidR="005C6FBD">
        <w:rPr>
          <w:rFonts w:ascii="Arial" w:hAnsi="Arial"/>
          <w:color w:val="000000"/>
          <w:sz w:val="24"/>
          <w:lang w:val="fr-CA"/>
        </w:rPr>
        <w:t xml:space="preserve"> </w:t>
      </w:r>
      <w:r>
        <w:rPr>
          <w:rFonts w:ascii="Arial" w:hAnsi="Arial"/>
          <w:color w:val="000000"/>
          <w:sz w:val="24"/>
          <w:lang w:val="fr-CA"/>
        </w:rPr>
        <w:t>L’utilisation d’un réactif d’antiglobuline composé uniquement d’</w:t>
      </w:r>
      <w:r w:rsidR="00144B31">
        <w:rPr>
          <w:rFonts w:ascii="Arial" w:hAnsi="Arial"/>
          <w:color w:val="000000"/>
          <w:sz w:val="24"/>
          <w:lang w:val="fr-CA"/>
        </w:rPr>
        <w:t>anti-</w:t>
      </w:r>
      <w:r>
        <w:rPr>
          <w:rFonts w:ascii="Arial" w:hAnsi="Arial"/>
          <w:color w:val="000000"/>
          <w:sz w:val="24"/>
          <w:lang w:val="fr-CA"/>
        </w:rPr>
        <w:t>IgG est acceptable pour un dépistage d’anticorps</w:t>
      </w:r>
      <w:r>
        <w:rPr>
          <w:rFonts w:ascii="Arial" w:hAnsi="Arial"/>
          <w:color w:val="000000"/>
          <w:sz w:val="24"/>
          <w:vertAlign w:val="superscript"/>
          <w:lang w:val="fr-CA"/>
        </w:rPr>
        <w:t>9.1</w:t>
      </w:r>
      <w:r>
        <w:rPr>
          <w:rFonts w:ascii="Arial" w:hAnsi="Arial"/>
          <w:color w:val="000000"/>
          <w:sz w:val="24"/>
          <w:lang w:val="fr-CA"/>
        </w:rPr>
        <w:t>.</w:t>
      </w:r>
    </w:p>
    <w:p w:rsidR="008E7637" w:rsidRDefault="008E7637">
      <w:pPr>
        <w:ind w:left="720"/>
        <w:rPr>
          <w:rFonts w:ascii="Arial" w:hAnsi="Arial"/>
          <w:color w:val="000000"/>
          <w:sz w:val="24"/>
          <w:lang w:val="fr-CA"/>
        </w:rPr>
      </w:pPr>
    </w:p>
    <w:p w:rsidR="008E7637" w:rsidRDefault="008E7637">
      <w:pPr>
        <w:numPr>
          <w:ilvl w:val="2"/>
          <w:numId w:val="1"/>
        </w:numPr>
        <w:rPr>
          <w:rFonts w:ascii="Arial" w:hAnsi="Arial"/>
          <w:color w:val="000000"/>
          <w:sz w:val="24"/>
          <w:lang w:val="fr-CA"/>
        </w:rPr>
      </w:pPr>
      <w:r>
        <w:rPr>
          <w:rFonts w:ascii="Arial" w:hAnsi="Arial"/>
          <w:color w:val="000000"/>
          <w:sz w:val="24"/>
          <w:lang w:val="fr-CA"/>
        </w:rPr>
        <w:t>Il faut utiliser un système témoin composé de globules rouges sensibilisés par IgG pour chaque test à l'antiglobuline dont l'interprétation est négative</w:t>
      </w:r>
      <w:r>
        <w:rPr>
          <w:rFonts w:ascii="Arial" w:hAnsi="Arial"/>
          <w:color w:val="000000"/>
          <w:sz w:val="24"/>
          <w:vertAlign w:val="superscript"/>
          <w:lang w:val="fr-CA"/>
        </w:rPr>
        <w:t>9.</w:t>
      </w:r>
      <w:r w:rsidR="00144B31">
        <w:rPr>
          <w:rFonts w:ascii="Arial" w:hAnsi="Arial"/>
          <w:color w:val="000000"/>
          <w:sz w:val="24"/>
          <w:vertAlign w:val="superscript"/>
          <w:lang w:val="fr-CA"/>
        </w:rPr>
        <w:t>1</w:t>
      </w:r>
      <w:r>
        <w:rPr>
          <w:rFonts w:ascii="Arial" w:hAnsi="Arial"/>
          <w:color w:val="000000"/>
          <w:sz w:val="24"/>
          <w:lang w:val="fr-CA"/>
        </w:rPr>
        <w:t>.</w:t>
      </w:r>
    </w:p>
    <w:p w:rsidR="008E7637" w:rsidRDefault="008E7637">
      <w:pPr>
        <w:ind w:left="1440"/>
        <w:rPr>
          <w:rFonts w:ascii="Arial" w:hAnsi="Arial"/>
          <w:color w:val="000000"/>
          <w:sz w:val="24"/>
          <w:lang w:val="fr-CA"/>
        </w:rPr>
      </w:pPr>
    </w:p>
    <w:p w:rsidR="008E7637" w:rsidRDefault="008E7637">
      <w:pPr>
        <w:numPr>
          <w:ilvl w:val="1"/>
          <w:numId w:val="1"/>
        </w:numPr>
        <w:rPr>
          <w:rFonts w:ascii="Arial" w:hAnsi="Arial"/>
          <w:color w:val="000000"/>
          <w:sz w:val="24"/>
          <w:lang w:val="fr-CA"/>
        </w:rPr>
      </w:pPr>
      <w:r>
        <w:rPr>
          <w:rFonts w:ascii="Arial" w:hAnsi="Arial"/>
          <w:color w:val="000000"/>
          <w:sz w:val="24"/>
          <w:lang w:val="fr-CA"/>
        </w:rPr>
        <w:lastRenderedPageBreak/>
        <w:t>On peut se servir des cellules (A et B) d’épreuve sérique ou de cellules de donneur connu. Les cellules de groupe O seront inclu</w:t>
      </w:r>
      <w:r w:rsidR="00FA4F30">
        <w:rPr>
          <w:rFonts w:ascii="Arial" w:hAnsi="Arial"/>
          <w:color w:val="000000"/>
          <w:sz w:val="24"/>
          <w:lang w:val="fr-CA"/>
        </w:rPr>
        <w:t>s</w:t>
      </w:r>
      <w:r>
        <w:rPr>
          <w:rFonts w:ascii="Arial" w:hAnsi="Arial"/>
          <w:color w:val="000000"/>
          <w:sz w:val="24"/>
          <w:lang w:val="fr-CA"/>
        </w:rPr>
        <w:t>es comme témoin.</w:t>
      </w:r>
    </w:p>
    <w:p w:rsidR="008E7637" w:rsidRDefault="008E7637">
      <w:pPr>
        <w:ind w:left="720"/>
        <w:rPr>
          <w:rFonts w:ascii="Arial" w:hAnsi="Arial"/>
          <w:color w:val="000000"/>
          <w:sz w:val="24"/>
          <w:lang w:val="fr-CA"/>
        </w:rPr>
      </w:pPr>
    </w:p>
    <w:p w:rsidR="008E7637" w:rsidRDefault="008E7637">
      <w:pPr>
        <w:numPr>
          <w:ilvl w:val="1"/>
          <w:numId w:val="1"/>
        </w:numPr>
        <w:rPr>
          <w:rFonts w:ascii="Arial" w:hAnsi="Arial"/>
          <w:color w:val="000000"/>
          <w:sz w:val="24"/>
          <w:lang w:val="fr-CA"/>
        </w:rPr>
      </w:pPr>
      <w:r>
        <w:rPr>
          <w:rFonts w:ascii="Arial" w:hAnsi="Arial"/>
          <w:color w:val="000000"/>
          <w:sz w:val="24"/>
          <w:lang w:val="fr-CA"/>
        </w:rPr>
        <w:t>Dépistage d’anticorps anti-A ou anti-B immuns</w:t>
      </w:r>
      <w:r w:rsidR="00FA4F30">
        <w:rPr>
          <w:rFonts w:ascii="Arial" w:hAnsi="Arial"/>
          <w:color w:val="000000"/>
          <w:sz w:val="24"/>
          <w:lang w:val="fr-CA"/>
        </w:rPr>
        <w:t xml:space="preserve"> </w:t>
      </w:r>
      <w:r>
        <w:rPr>
          <w:rFonts w:ascii="Arial" w:hAnsi="Arial"/>
          <w:color w:val="000000"/>
          <w:sz w:val="24"/>
          <w:lang w:val="fr-CA"/>
        </w:rPr>
        <w:t>:</w:t>
      </w:r>
    </w:p>
    <w:p w:rsidR="00940C2F" w:rsidRDefault="008E7637" w:rsidP="00940C2F">
      <w:pPr>
        <w:numPr>
          <w:ilvl w:val="2"/>
          <w:numId w:val="1"/>
        </w:numPr>
        <w:rPr>
          <w:rFonts w:ascii="Arial" w:hAnsi="Arial"/>
          <w:color w:val="000000"/>
          <w:sz w:val="24"/>
          <w:lang w:val="fr-CA"/>
        </w:rPr>
      </w:pPr>
      <w:r w:rsidRPr="00940C2F">
        <w:rPr>
          <w:rFonts w:ascii="Arial" w:hAnsi="Arial"/>
          <w:color w:val="000000"/>
          <w:sz w:val="24"/>
          <w:lang w:val="fr-CA"/>
        </w:rPr>
        <w:t xml:space="preserve">Les épreuves peuvent être faites sur des échantillons de sang veineux, capillaire ou de cordon. </w:t>
      </w:r>
    </w:p>
    <w:p w:rsidR="00940C2F" w:rsidRDefault="00EC13AB" w:rsidP="00940C2F">
      <w:pPr>
        <w:numPr>
          <w:ilvl w:val="2"/>
          <w:numId w:val="1"/>
        </w:numPr>
        <w:rPr>
          <w:rFonts w:ascii="Arial" w:hAnsi="Arial"/>
          <w:color w:val="000000"/>
          <w:sz w:val="24"/>
          <w:lang w:val="fr-CA"/>
        </w:rPr>
      </w:pPr>
      <w:r w:rsidRPr="00940C2F">
        <w:rPr>
          <w:rFonts w:ascii="Arial" w:hAnsi="Arial"/>
          <w:color w:val="000000"/>
          <w:sz w:val="24"/>
          <w:lang w:val="fr-CA"/>
        </w:rPr>
        <w:t>Vérifier la présence d’anticorps responsable</w:t>
      </w:r>
      <w:r w:rsidR="00144B31" w:rsidRPr="00940C2F">
        <w:rPr>
          <w:rFonts w:ascii="Arial" w:hAnsi="Arial"/>
          <w:color w:val="000000"/>
          <w:sz w:val="24"/>
          <w:lang w:val="fr-CA"/>
        </w:rPr>
        <w:t>s</w:t>
      </w:r>
      <w:r w:rsidRPr="00940C2F">
        <w:rPr>
          <w:rFonts w:ascii="Arial" w:hAnsi="Arial"/>
          <w:color w:val="000000"/>
          <w:sz w:val="24"/>
          <w:lang w:val="fr-CA"/>
        </w:rPr>
        <w:t xml:space="preserve"> de la divergence de groupe ABO entre la mère et le nouveau-né.</w:t>
      </w:r>
    </w:p>
    <w:p w:rsidR="00EC13AB" w:rsidRDefault="00EC13AB">
      <w:pPr>
        <w:numPr>
          <w:ilvl w:val="2"/>
          <w:numId w:val="1"/>
        </w:numPr>
        <w:rPr>
          <w:rFonts w:ascii="Arial" w:hAnsi="Arial"/>
          <w:color w:val="000000"/>
          <w:sz w:val="24"/>
          <w:lang w:val="fr-CA"/>
        </w:rPr>
      </w:pPr>
      <w:r>
        <w:rPr>
          <w:rFonts w:ascii="Arial" w:hAnsi="Arial"/>
          <w:color w:val="000000"/>
          <w:sz w:val="24"/>
          <w:lang w:val="fr-CA"/>
        </w:rPr>
        <w:t xml:space="preserve">Si le nouveau-né reçoit des globules rouges d’un groupe autre </w:t>
      </w:r>
      <w:r w:rsidR="00144B31">
        <w:rPr>
          <w:rFonts w:ascii="Arial" w:hAnsi="Arial"/>
          <w:color w:val="000000"/>
          <w:sz w:val="24"/>
          <w:lang w:val="fr-CA"/>
        </w:rPr>
        <w:t>qu’O</w:t>
      </w:r>
      <w:r>
        <w:rPr>
          <w:rFonts w:ascii="Arial" w:hAnsi="Arial"/>
          <w:color w:val="000000"/>
          <w:sz w:val="24"/>
          <w:lang w:val="fr-CA"/>
        </w:rPr>
        <w:t>, il faut procéder au dépistage d’anticorps Anti-A et/ou anti-</w:t>
      </w:r>
      <w:r w:rsidR="00144B31">
        <w:rPr>
          <w:rFonts w:ascii="Arial" w:hAnsi="Arial"/>
          <w:color w:val="000000"/>
          <w:sz w:val="24"/>
          <w:lang w:val="fr-CA"/>
        </w:rPr>
        <w:t>B</w:t>
      </w:r>
      <w:r>
        <w:rPr>
          <w:rFonts w:ascii="Arial" w:hAnsi="Arial"/>
          <w:color w:val="000000"/>
          <w:sz w:val="24"/>
          <w:lang w:val="fr-CA"/>
        </w:rPr>
        <w:t xml:space="preserve"> par test indirect à l’antiglobuline. Il faut privilégier la transfusion d’unités exemp</w:t>
      </w:r>
      <w:r w:rsidR="00144B31">
        <w:rPr>
          <w:rFonts w:ascii="Arial" w:hAnsi="Arial"/>
          <w:color w:val="000000"/>
          <w:sz w:val="24"/>
          <w:lang w:val="fr-CA"/>
        </w:rPr>
        <w:t>t</w:t>
      </w:r>
      <w:r>
        <w:rPr>
          <w:rFonts w:ascii="Arial" w:hAnsi="Arial"/>
          <w:color w:val="000000"/>
          <w:sz w:val="24"/>
          <w:lang w:val="fr-CA"/>
        </w:rPr>
        <w:t>es de l’anticorps (si dépisté)</w:t>
      </w:r>
      <w:r w:rsidRPr="00EC13AB">
        <w:rPr>
          <w:rFonts w:ascii="Arial" w:hAnsi="Arial"/>
          <w:color w:val="000000"/>
          <w:sz w:val="24"/>
          <w:vertAlign w:val="superscript"/>
          <w:lang w:val="fr-CA"/>
        </w:rPr>
        <w:t>9.1</w:t>
      </w:r>
      <w:r>
        <w:rPr>
          <w:rFonts w:ascii="Arial" w:hAnsi="Arial"/>
          <w:color w:val="000000"/>
          <w:sz w:val="24"/>
          <w:lang w:val="fr-CA"/>
        </w:rPr>
        <w:t>.</w:t>
      </w:r>
    </w:p>
    <w:p w:rsidR="00940C2F" w:rsidRPr="00940C2F" w:rsidRDefault="00940C2F" w:rsidP="00940C2F">
      <w:pPr>
        <w:numPr>
          <w:ilvl w:val="2"/>
          <w:numId w:val="1"/>
        </w:numPr>
        <w:rPr>
          <w:rFonts w:ascii="Arial" w:hAnsi="Arial"/>
          <w:color w:val="000000"/>
          <w:sz w:val="24"/>
          <w:lang w:val="fr-CA"/>
        </w:rPr>
      </w:pPr>
      <w:r w:rsidRPr="00940C2F">
        <w:rPr>
          <w:rFonts w:ascii="Arial" w:hAnsi="Arial"/>
          <w:color w:val="000000"/>
          <w:sz w:val="24"/>
          <w:lang w:val="fr-CA"/>
        </w:rPr>
        <w:t>Faire des tests pour dépister des anti-A ou anti-B acquis de façon passive lors d’une transfusion récente de globules rouges,</w:t>
      </w:r>
      <w:r>
        <w:rPr>
          <w:rFonts w:ascii="Arial" w:hAnsi="Arial"/>
          <w:color w:val="000000"/>
          <w:sz w:val="24"/>
          <w:lang w:val="fr-CA"/>
        </w:rPr>
        <w:t xml:space="preserve"> </w:t>
      </w:r>
      <w:r w:rsidRPr="00940C2F">
        <w:rPr>
          <w:rFonts w:ascii="Arial" w:hAnsi="Arial"/>
          <w:color w:val="000000"/>
          <w:sz w:val="24"/>
          <w:lang w:val="fr-CA"/>
        </w:rPr>
        <w:t xml:space="preserve">de plaquettes, de plasma ou d’immunoglobuline intraveineuse </w:t>
      </w:r>
      <w:r>
        <w:rPr>
          <w:rFonts w:ascii="Arial" w:hAnsi="Arial"/>
          <w:color w:val="000000"/>
          <w:sz w:val="24"/>
          <w:lang w:val="fr-CA"/>
        </w:rPr>
        <w:t xml:space="preserve">(IgIV) </w:t>
      </w:r>
      <w:r w:rsidRPr="00940C2F">
        <w:rPr>
          <w:rFonts w:ascii="Arial" w:hAnsi="Arial"/>
          <w:color w:val="000000"/>
          <w:sz w:val="24"/>
          <w:lang w:val="fr-CA"/>
        </w:rPr>
        <w:t>de groupe sanguin différent de passifs</w:t>
      </w:r>
    </w:p>
    <w:p w:rsidR="008E7637" w:rsidRDefault="008E7637">
      <w:pPr>
        <w:ind w:left="1440"/>
        <w:rPr>
          <w:rFonts w:ascii="Arial" w:hAnsi="Arial"/>
          <w:color w:val="000000"/>
          <w:sz w:val="24"/>
          <w:lang w:val="fr-CA"/>
        </w:rPr>
      </w:pPr>
    </w:p>
    <w:p w:rsidR="008E7637" w:rsidRDefault="008E7637">
      <w:pPr>
        <w:numPr>
          <w:ilvl w:val="0"/>
          <w:numId w:val="1"/>
        </w:numPr>
        <w:rPr>
          <w:rFonts w:ascii="Arial" w:hAnsi="Arial"/>
          <w:b/>
          <w:color w:val="000000"/>
          <w:sz w:val="28"/>
          <w:lang w:val="fr-CA"/>
        </w:rPr>
      </w:pPr>
      <w:r>
        <w:rPr>
          <w:rFonts w:ascii="Arial" w:hAnsi="Arial"/>
          <w:b/>
          <w:color w:val="000000"/>
          <w:sz w:val="28"/>
          <w:lang w:val="fr-CA"/>
        </w:rPr>
        <w:t>Échantillons</w:t>
      </w:r>
    </w:p>
    <w:p w:rsidR="008E7637" w:rsidRDefault="008E7637">
      <w:pPr>
        <w:ind w:left="720"/>
        <w:rPr>
          <w:rFonts w:ascii="Arial" w:hAnsi="Arial"/>
          <w:color w:val="000000"/>
          <w:sz w:val="24"/>
          <w:lang w:val="fr-CA"/>
        </w:rPr>
      </w:pPr>
    </w:p>
    <w:p w:rsidR="008E7637" w:rsidRDefault="008E7637">
      <w:pPr>
        <w:ind w:left="720"/>
        <w:rPr>
          <w:rFonts w:ascii="Arial" w:hAnsi="Arial"/>
          <w:color w:val="000000"/>
          <w:sz w:val="24"/>
          <w:lang w:val="fr-CA"/>
        </w:rPr>
      </w:pPr>
      <w:r>
        <w:rPr>
          <w:rFonts w:ascii="Arial" w:hAnsi="Arial"/>
          <w:color w:val="000000"/>
          <w:sz w:val="24"/>
          <w:lang w:val="fr-CA"/>
        </w:rPr>
        <w:t>Sang total anticoagulé – tube EDTA</w:t>
      </w:r>
    </w:p>
    <w:p w:rsidR="008E7637" w:rsidRDefault="008E7637">
      <w:pPr>
        <w:ind w:left="720"/>
        <w:rPr>
          <w:rFonts w:ascii="Arial" w:hAnsi="Arial"/>
          <w:color w:val="000000"/>
          <w:sz w:val="24"/>
          <w:lang w:val="fr-CA"/>
        </w:rPr>
      </w:pPr>
      <w:r>
        <w:rPr>
          <w:rFonts w:ascii="Arial" w:hAnsi="Arial"/>
          <w:color w:val="000000"/>
          <w:sz w:val="24"/>
          <w:lang w:val="fr-CA"/>
        </w:rPr>
        <w:t>Sang de cordon</w:t>
      </w:r>
    </w:p>
    <w:p w:rsidR="008E7637" w:rsidRDefault="008E7637">
      <w:pPr>
        <w:ind w:left="720"/>
        <w:rPr>
          <w:rFonts w:ascii="Arial" w:hAnsi="Arial"/>
          <w:color w:val="000000"/>
          <w:sz w:val="24"/>
          <w:lang w:val="fr-CA"/>
        </w:rPr>
      </w:pPr>
    </w:p>
    <w:p w:rsidR="008E7637" w:rsidRDefault="008E7637">
      <w:pPr>
        <w:numPr>
          <w:ilvl w:val="0"/>
          <w:numId w:val="1"/>
        </w:numPr>
        <w:rPr>
          <w:rFonts w:ascii="Arial" w:hAnsi="Arial"/>
          <w:b/>
          <w:color w:val="000000"/>
          <w:sz w:val="28"/>
          <w:lang w:val="fr-CA"/>
        </w:rPr>
      </w:pPr>
      <w:r>
        <w:rPr>
          <w:rFonts w:ascii="Arial" w:hAnsi="Arial"/>
          <w:b/>
          <w:color w:val="000000"/>
          <w:sz w:val="28"/>
          <w:lang w:val="fr-CA"/>
        </w:rPr>
        <w:t>Matériel</w:t>
      </w:r>
    </w:p>
    <w:p w:rsidR="008E7637" w:rsidRDefault="008E7637">
      <w:pPr>
        <w:rPr>
          <w:rFonts w:ascii="Arial" w:hAnsi="Arial"/>
          <w:color w:val="000000"/>
          <w:sz w:val="24"/>
          <w:lang w:val="fr-CA"/>
        </w:rPr>
      </w:pPr>
    </w:p>
    <w:p w:rsidR="008E7637" w:rsidRDefault="00144B31">
      <w:pPr>
        <w:ind w:left="720"/>
        <w:rPr>
          <w:rFonts w:ascii="Arial" w:hAnsi="Arial"/>
          <w:color w:val="000000"/>
          <w:sz w:val="24"/>
          <w:lang w:val="fr-CA"/>
        </w:rPr>
      </w:pPr>
      <w:r>
        <w:rPr>
          <w:rFonts w:ascii="Arial" w:hAnsi="Arial"/>
          <w:b/>
          <w:color w:val="000000"/>
          <w:sz w:val="24"/>
          <w:lang w:val="fr-CA"/>
        </w:rPr>
        <w:t>Équipement </w:t>
      </w:r>
      <w:r w:rsidR="008E7637">
        <w:rPr>
          <w:rFonts w:ascii="Arial" w:hAnsi="Arial"/>
          <w:color w:val="000000"/>
          <w:sz w:val="24"/>
          <w:lang w:val="fr-CA"/>
        </w:rPr>
        <w:t>:</w:t>
      </w:r>
      <w:r w:rsidR="008E7637">
        <w:rPr>
          <w:rFonts w:ascii="Arial" w:hAnsi="Arial"/>
          <w:color w:val="000000"/>
          <w:sz w:val="24"/>
          <w:lang w:val="fr-CA"/>
        </w:rPr>
        <w:tab/>
        <w:t>centrifugeuse sérologique</w:t>
      </w:r>
    </w:p>
    <w:p w:rsidR="008E7637" w:rsidRDefault="008E7637">
      <w:pPr>
        <w:ind w:left="720"/>
        <w:rPr>
          <w:rFonts w:ascii="Arial" w:hAnsi="Arial"/>
          <w:color w:val="000000"/>
          <w:sz w:val="24"/>
          <w:lang w:val="fr-CA"/>
        </w:rPr>
      </w:pPr>
      <w:r>
        <w:rPr>
          <w:rFonts w:ascii="Arial" w:hAnsi="Arial"/>
          <w:color w:val="000000"/>
          <w:sz w:val="24"/>
          <w:lang w:val="fr-CA"/>
        </w:rPr>
        <w:tab/>
      </w:r>
      <w:r>
        <w:rPr>
          <w:rFonts w:ascii="Arial" w:hAnsi="Arial"/>
          <w:color w:val="000000"/>
          <w:sz w:val="24"/>
          <w:lang w:val="fr-CA"/>
        </w:rPr>
        <w:tab/>
      </w:r>
      <w:r>
        <w:rPr>
          <w:rFonts w:ascii="Arial" w:hAnsi="Arial"/>
          <w:color w:val="000000"/>
          <w:sz w:val="24"/>
          <w:lang w:val="fr-CA"/>
        </w:rPr>
        <w:tab/>
        <w:t>laveur de cellules</w:t>
      </w:r>
    </w:p>
    <w:p w:rsidR="008E7637" w:rsidRDefault="008E7637">
      <w:pPr>
        <w:ind w:left="720"/>
        <w:rPr>
          <w:rFonts w:ascii="Arial" w:hAnsi="Arial"/>
          <w:color w:val="000000"/>
          <w:sz w:val="24"/>
          <w:lang w:val="fr-CA"/>
        </w:rPr>
      </w:pPr>
      <w:r>
        <w:rPr>
          <w:rFonts w:ascii="Arial" w:hAnsi="Arial"/>
          <w:color w:val="000000"/>
          <w:sz w:val="24"/>
          <w:lang w:val="fr-CA"/>
        </w:rPr>
        <w:tab/>
      </w:r>
      <w:r>
        <w:rPr>
          <w:rFonts w:ascii="Arial" w:hAnsi="Arial"/>
          <w:color w:val="000000"/>
          <w:sz w:val="24"/>
          <w:lang w:val="fr-CA"/>
        </w:rPr>
        <w:tab/>
      </w:r>
      <w:r>
        <w:rPr>
          <w:rFonts w:ascii="Arial" w:hAnsi="Arial"/>
          <w:color w:val="000000"/>
          <w:sz w:val="24"/>
          <w:lang w:val="fr-CA"/>
        </w:rPr>
        <w:tab/>
        <w:t>support à tubes</w:t>
      </w:r>
    </w:p>
    <w:p w:rsidR="008E7637" w:rsidRDefault="008E7637">
      <w:pPr>
        <w:pStyle w:val="Heading1"/>
        <w:rPr>
          <w:b w:val="0"/>
          <w:color w:val="000000"/>
          <w:lang w:val="fr-CA"/>
        </w:rPr>
      </w:pPr>
      <w:r>
        <w:rPr>
          <w:color w:val="000000"/>
          <w:lang w:val="fr-CA"/>
        </w:rPr>
        <w:tab/>
      </w:r>
      <w:r>
        <w:rPr>
          <w:color w:val="000000"/>
          <w:lang w:val="fr-CA"/>
        </w:rPr>
        <w:tab/>
      </w:r>
      <w:r>
        <w:rPr>
          <w:color w:val="000000"/>
          <w:lang w:val="fr-CA"/>
        </w:rPr>
        <w:tab/>
      </w:r>
      <w:r>
        <w:rPr>
          <w:color w:val="000000"/>
          <w:lang w:val="fr-CA"/>
        </w:rPr>
        <w:tab/>
      </w:r>
      <w:r>
        <w:rPr>
          <w:b w:val="0"/>
          <w:color w:val="000000"/>
          <w:lang w:val="fr-CA"/>
        </w:rPr>
        <w:t>bain-marie/bloc chauffant à 37</w:t>
      </w:r>
      <w:r w:rsidR="00FA4F30">
        <w:rPr>
          <w:b w:val="0"/>
          <w:color w:val="000000"/>
          <w:lang w:val="fr-CA"/>
        </w:rPr>
        <w:t> </w:t>
      </w:r>
      <w:r>
        <w:rPr>
          <w:b w:val="0"/>
          <w:color w:val="000000"/>
          <w:lang w:val="fr-CA"/>
        </w:rPr>
        <w:t>°C</w:t>
      </w:r>
    </w:p>
    <w:p w:rsidR="008E7637" w:rsidRDefault="008E7637">
      <w:pPr>
        <w:ind w:left="720"/>
        <w:rPr>
          <w:rFonts w:ascii="Arial" w:hAnsi="Arial"/>
          <w:color w:val="000000"/>
          <w:sz w:val="24"/>
          <w:lang w:val="fr-CA"/>
        </w:rPr>
      </w:pPr>
      <w:r>
        <w:rPr>
          <w:rFonts w:ascii="Arial" w:hAnsi="Arial"/>
          <w:color w:val="000000"/>
          <w:sz w:val="24"/>
          <w:lang w:val="fr-CA"/>
        </w:rPr>
        <w:tab/>
      </w:r>
      <w:r>
        <w:rPr>
          <w:rFonts w:ascii="Arial" w:hAnsi="Arial"/>
          <w:color w:val="000000"/>
          <w:sz w:val="24"/>
          <w:lang w:val="fr-CA"/>
        </w:rPr>
        <w:tab/>
      </w:r>
      <w:r>
        <w:rPr>
          <w:rFonts w:ascii="Arial" w:hAnsi="Arial"/>
          <w:color w:val="000000"/>
          <w:sz w:val="24"/>
          <w:lang w:val="fr-CA"/>
        </w:rPr>
        <w:tab/>
        <w:t>microscope</w:t>
      </w:r>
    </w:p>
    <w:p w:rsidR="008E7637" w:rsidRDefault="008E7637">
      <w:pPr>
        <w:ind w:left="720"/>
        <w:rPr>
          <w:rFonts w:ascii="Arial" w:hAnsi="Arial"/>
          <w:color w:val="000000"/>
          <w:sz w:val="24"/>
          <w:lang w:val="fr-CA"/>
        </w:rPr>
      </w:pPr>
    </w:p>
    <w:p w:rsidR="008E7637" w:rsidRDefault="008E7637">
      <w:pPr>
        <w:ind w:left="720"/>
        <w:rPr>
          <w:rFonts w:ascii="Arial" w:hAnsi="Arial"/>
          <w:color w:val="000000"/>
          <w:sz w:val="24"/>
          <w:lang w:val="fr-CA"/>
        </w:rPr>
      </w:pPr>
      <w:r>
        <w:rPr>
          <w:rFonts w:ascii="Arial" w:hAnsi="Arial"/>
          <w:b/>
          <w:color w:val="000000"/>
          <w:sz w:val="24"/>
          <w:lang w:val="fr-CA"/>
        </w:rPr>
        <w:t>Fournitures</w:t>
      </w:r>
      <w:r>
        <w:rPr>
          <w:rFonts w:ascii="Arial" w:hAnsi="Arial"/>
          <w:color w:val="000000"/>
          <w:sz w:val="24"/>
          <w:lang w:val="fr-CA"/>
        </w:rPr>
        <w:t xml:space="preserve"> : </w:t>
      </w:r>
      <w:r>
        <w:rPr>
          <w:rFonts w:ascii="Arial" w:hAnsi="Arial"/>
          <w:color w:val="000000"/>
          <w:sz w:val="24"/>
          <w:lang w:val="fr-CA"/>
        </w:rPr>
        <w:tab/>
        <w:t>tubes 10 x 75 mm</w:t>
      </w:r>
    </w:p>
    <w:p w:rsidR="008E7637" w:rsidRDefault="008E7637">
      <w:pPr>
        <w:ind w:left="720"/>
        <w:rPr>
          <w:rFonts w:ascii="Arial" w:hAnsi="Arial"/>
          <w:color w:val="000000"/>
          <w:sz w:val="24"/>
          <w:lang w:val="fr-CA"/>
        </w:rPr>
      </w:pPr>
      <w:r>
        <w:rPr>
          <w:rFonts w:ascii="Arial" w:hAnsi="Arial"/>
          <w:color w:val="000000"/>
          <w:sz w:val="24"/>
          <w:lang w:val="fr-CA"/>
        </w:rPr>
        <w:tab/>
      </w:r>
      <w:r>
        <w:rPr>
          <w:rFonts w:ascii="Arial" w:hAnsi="Arial"/>
          <w:color w:val="000000"/>
          <w:sz w:val="24"/>
          <w:lang w:val="fr-CA"/>
        </w:rPr>
        <w:tab/>
      </w:r>
      <w:r>
        <w:rPr>
          <w:rFonts w:ascii="Arial" w:hAnsi="Arial"/>
          <w:color w:val="000000"/>
          <w:sz w:val="24"/>
          <w:lang w:val="fr-CA"/>
        </w:rPr>
        <w:tab/>
        <w:t>pipettes sérologiques</w:t>
      </w:r>
    </w:p>
    <w:p w:rsidR="008E7637" w:rsidRDefault="008E7637">
      <w:pPr>
        <w:ind w:left="720"/>
        <w:rPr>
          <w:rFonts w:ascii="Arial" w:hAnsi="Arial"/>
          <w:color w:val="000000"/>
          <w:sz w:val="24"/>
          <w:lang w:val="fr-CA"/>
        </w:rPr>
      </w:pPr>
    </w:p>
    <w:p w:rsidR="008E7637" w:rsidRDefault="00144B31">
      <w:pPr>
        <w:ind w:left="2880" w:hanging="2160"/>
        <w:rPr>
          <w:rFonts w:ascii="Arial" w:hAnsi="Arial"/>
          <w:color w:val="000000"/>
          <w:sz w:val="24"/>
          <w:lang w:val="fr-CA"/>
        </w:rPr>
      </w:pPr>
      <w:r>
        <w:rPr>
          <w:rFonts w:ascii="Arial" w:hAnsi="Arial"/>
          <w:b/>
          <w:color w:val="000000"/>
          <w:sz w:val="24"/>
          <w:lang w:val="fr-CA"/>
        </w:rPr>
        <w:t>Réactifs </w:t>
      </w:r>
      <w:r w:rsidR="008E7637">
        <w:rPr>
          <w:rFonts w:ascii="Arial" w:hAnsi="Arial"/>
          <w:color w:val="000000"/>
          <w:sz w:val="24"/>
          <w:lang w:val="fr-CA"/>
        </w:rPr>
        <w:t>:</w:t>
      </w:r>
      <w:r w:rsidR="008E7637">
        <w:rPr>
          <w:rFonts w:ascii="Arial" w:hAnsi="Arial"/>
          <w:color w:val="000000"/>
          <w:sz w:val="24"/>
          <w:lang w:val="fr-CA"/>
        </w:rPr>
        <w:tab/>
        <w:t xml:space="preserve">ensemble de cellules à épreuve sérique ou cellules A </w:t>
      </w:r>
      <w:r w:rsidR="00C15C70">
        <w:rPr>
          <w:rFonts w:ascii="Arial" w:hAnsi="Arial"/>
          <w:color w:val="000000"/>
          <w:sz w:val="24"/>
          <w:lang w:val="fr-CA"/>
        </w:rPr>
        <w:t xml:space="preserve">et </w:t>
      </w:r>
      <w:r w:rsidR="008E7637">
        <w:rPr>
          <w:rFonts w:ascii="Arial" w:hAnsi="Arial"/>
          <w:color w:val="000000"/>
          <w:sz w:val="24"/>
          <w:lang w:val="fr-CA"/>
        </w:rPr>
        <w:t>B de donneurs connus en suspension dans une solution saline à 3 %</w:t>
      </w:r>
    </w:p>
    <w:p w:rsidR="00940C2F" w:rsidRDefault="008E7637" w:rsidP="00940C2F">
      <w:pPr>
        <w:ind w:left="2835" w:firstLine="45"/>
        <w:rPr>
          <w:rFonts w:ascii="Arial" w:hAnsi="Arial"/>
          <w:color w:val="000000"/>
          <w:sz w:val="24"/>
          <w:lang w:val="fr-CA"/>
        </w:rPr>
      </w:pPr>
      <w:r>
        <w:rPr>
          <w:rFonts w:ascii="Arial" w:hAnsi="Arial"/>
          <w:color w:val="000000"/>
          <w:sz w:val="24"/>
          <w:lang w:val="fr-CA"/>
        </w:rPr>
        <w:t xml:space="preserve">cellules O de donneurs connus dans une solution saline à 3 % </w:t>
      </w:r>
    </w:p>
    <w:p w:rsidR="008E7637" w:rsidRDefault="008E7637" w:rsidP="00940C2F">
      <w:pPr>
        <w:ind w:left="2835" w:firstLine="45"/>
        <w:rPr>
          <w:rFonts w:ascii="Arial" w:hAnsi="Arial"/>
          <w:color w:val="000000"/>
          <w:sz w:val="24"/>
          <w:lang w:val="fr-CA"/>
        </w:rPr>
      </w:pPr>
      <w:r>
        <w:rPr>
          <w:rFonts w:ascii="Arial" w:hAnsi="Arial"/>
          <w:color w:val="000000"/>
          <w:sz w:val="24"/>
          <w:lang w:val="fr-CA"/>
        </w:rPr>
        <w:t>anti-IgG</w:t>
      </w:r>
    </w:p>
    <w:p w:rsidR="008E7637" w:rsidRDefault="008E7637">
      <w:pPr>
        <w:ind w:left="720"/>
        <w:rPr>
          <w:rFonts w:ascii="Arial" w:hAnsi="Arial"/>
          <w:color w:val="000000"/>
          <w:sz w:val="24"/>
          <w:lang w:val="fr-CA"/>
        </w:rPr>
      </w:pPr>
      <w:r>
        <w:rPr>
          <w:rFonts w:ascii="Arial" w:hAnsi="Arial"/>
          <w:color w:val="000000"/>
          <w:sz w:val="24"/>
          <w:lang w:val="fr-CA"/>
        </w:rPr>
        <w:tab/>
      </w:r>
      <w:r>
        <w:rPr>
          <w:rFonts w:ascii="Arial" w:hAnsi="Arial"/>
          <w:color w:val="000000"/>
          <w:sz w:val="24"/>
          <w:lang w:val="fr-CA"/>
        </w:rPr>
        <w:tab/>
      </w:r>
      <w:r>
        <w:rPr>
          <w:rFonts w:ascii="Arial" w:hAnsi="Arial"/>
          <w:color w:val="000000"/>
          <w:sz w:val="24"/>
          <w:lang w:val="fr-CA"/>
        </w:rPr>
        <w:tab/>
        <w:t>cellules témoins recouvertes d’IgG</w:t>
      </w:r>
    </w:p>
    <w:p w:rsidR="008E7637" w:rsidRDefault="008E7637">
      <w:pPr>
        <w:ind w:left="720"/>
        <w:rPr>
          <w:rFonts w:ascii="Arial" w:hAnsi="Arial"/>
          <w:color w:val="000000"/>
          <w:sz w:val="24"/>
          <w:lang w:val="fr-CA"/>
        </w:rPr>
      </w:pPr>
      <w:r>
        <w:rPr>
          <w:rFonts w:ascii="Arial" w:hAnsi="Arial"/>
          <w:color w:val="000000"/>
          <w:sz w:val="24"/>
          <w:lang w:val="fr-CA"/>
        </w:rPr>
        <w:tab/>
      </w:r>
      <w:r>
        <w:rPr>
          <w:rFonts w:ascii="Arial" w:hAnsi="Arial"/>
          <w:color w:val="000000"/>
          <w:sz w:val="24"/>
          <w:lang w:val="fr-CA"/>
        </w:rPr>
        <w:tab/>
      </w:r>
      <w:r>
        <w:rPr>
          <w:rFonts w:ascii="Arial" w:hAnsi="Arial"/>
          <w:color w:val="000000"/>
          <w:sz w:val="24"/>
          <w:lang w:val="fr-CA"/>
        </w:rPr>
        <w:tab/>
        <w:t>solution saline</w:t>
      </w:r>
      <w:r w:rsidR="00EC13AB">
        <w:rPr>
          <w:rFonts w:ascii="Arial" w:hAnsi="Arial"/>
          <w:color w:val="000000"/>
          <w:sz w:val="24"/>
          <w:lang w:val="fr-CA"/>
        </w:rPr>
        <w:t xml:space="preserve"> normale</w:t>
      </w:r>
    </w:p>
    <w:p w:rsidR="008E7637" w:rsidRDefault="008E7637">
      <w:pPr>
        <w:ind w:left="720"/>
        <w:rPr>
          <w:rFonts w:ascii="Arial" w:hAnsi="Arial"/>
          <w:color w:val="000000"/>
          <w:sz w:val="24"/>
          <w:lang w:val="fr-CA"/>
        </w:rPr>
      </w:pPr>
    </w:p>
    <w:p w:rsidR="00DD5226" w:rsidRDefault="00DD5226">
      <w:pPr>
        <w:ind w:left="720"/>
        <w:rPr>
          <w:rFonts w:ascii="Arial" w:hAnsi="Arial"/>
          <w:color w:val="000000"/>
          <w:sz w:val="24"/>
          <w:lang w:val="fr-CA"/>
        </w:rPr>
      </w:pPr>
    </w:p>
    <w:p w:rsidR="00DD5226" w:rsidRDefault="00DD5226">
      <w:pPr>
        <w:ind w:left="720"/>
        <w:rPr>
          <w:rFonts w:ascii="Arial" w:hAnsi="Arial"/>
          <w:color w:val="000000"/>
          <w:sz w:val="24"/>
          <w:lang w:val="fr-CA"/>
        </w:rPr>
      </w:pPr>
    </w:p>
    <w:p w:rsidR="008E7637" w:rsidRDefault="008E7637">
      <w:pPr>
        <w:numPr>
          <w:ilvl w:val="0"/>
          <w:numId w:val="1"/>
        </w:numPr>
        <w:rPr>
          <w:rFonts w:ascii="Arial" w:hAnsi="Arial"/>
          <w:b/>
          <w:color w:val="000000"/>
          <w:sz w:val="28"/>
          <w:lang w:val="fr-CA"/>
        </w:rPr>
      </w:pPr>
      <w:r>
        <w:rPr>
          <w:rFonts w:ascii="Arial" w:hAnsi="Arial"/>
          <w:b/>
          <w:color w:val="000000"/>
          <w:sz w:val="28"/>
          <w:lang w:val="fr-CA"/>
        </w:rPr>
        <w:t>Contrôle de la qualité</w:t>
      </w:r>
    </w:p>
    <w:p w:rsidR="008E7637" w:rsidRDefault="008E7637">
      <w:pPr>
        <w:rPr>
          <w:rFonts w:ascii="Arial" w:hAnsi="Arial"/>
          <w:color w:val="000000"/>
          <w:sz w:val="24"/>
          <w:lang w:val="fr-CA"/>
        </w:rPr>
      </w:pPr>
    </w:p>
    <w:p w:rsidR="008E7637" w:rsidRDefault="008E7637">
      <w:pPr>
        <w:ind w:left="720"/>
        <w:rPr>
          <w:rFonts w:ascii="Arial" w:hAnsi="Arial"/>
          <w:color w:val="000000"/>
          <w:sz w:val="24"/>
          <w:lang w:val="fr-CA"/>
        </w:rPr>
      </w:pPr>
      <w:r>
        <w:rPr>
          <w:rFonts w:ascii="Arial" w:hAnsi="Arial"/>
          <w:color w:val="000000"/>
          <w:sz w:val="24"/>
          <w:lang w:val="fr-CA"/>
        </w:rPr>
        <w:t>Voir CAQ.001 - Contrôle de la qualité des globules rouges et des antisérums commerciaux.</w:t>
      </w:r>
    </w:p>
    <w:p w:rsidR="008E7637" w:rsidRDefault="008E7637">
      <w:pPr>
        <w:ind w:left="720"/>
        <w:rPr>
          <w:rFonts w:ascii="Arial" w:hAnsi="Arial"/>
          <w:sz w:val="24"/>
          <w:lang w:val="fr-CA"/>
        </w:rPr>
      </w:pPr>
    </w:p>
    <w:p w:rsidR="008E7637" w:rsidRDefault="008E7637">
      <w:pPr>
        <w:numPr>
          <w:ilvl w:val="0"/>
          <w:numId w:val="1"/>
        </w:numPr>
        <w:rPr>
          <w:rFonts w:ascii="Arial" w:hAnsi="Arial"/>
          <w:b/>
          <w:sz w:val="28"/>
          <w:lang w:val="fr-CA"/>
        </w:rPr>
      </w:pPr>
      <w:r>
        <w:rPr>
          <w:rFonts w:ascii="Arial" w:hAnsi="Arial"/>
          <w:b/>
          <w:sz w:val="28"/>
          <w:lang w:val="fr-CA"/>
        </w:rPr>
        <w:t>Procédure</w:t>
      </w:r>
    </w:p>
    <w:p w:rsidR="008E7637" w:rsidRDefault="008E7637">
      <w:pPr>
        <w:pStyle w:val="Header"/>
        <w:tabs>
          <w:tab w:val="clear" w:pos="4320"/>
          <w:tab w:val="clear" w:pos="8640"/>
        </w:tabs>
        <w:rPr>
          <w:rFonts w:ascii="Arial" w:hAnsi="Arial"/>
          <w:lang w:val="fr-CA"/>
        </w:rPr>
      </w:pPr>
    </w:p>
    <w:p w:rsidR="00940C2F" w:rsidRDefault="008E7637">
      <w:pPr>
        <w:numPr>
          <w:ilvl w:val="1"/>
          <w:numId w:val="1"/>
        </w:numPr>
        <w:rPr>
          <w:rFonts w:ascii="Arial" w:hAnsi="Arial"/>
          <w:color w:val="000000"/>
          <w:sz w:val="24"/>
          <w:lang w:val="fr-CA"/>
        </w:rPr>
      </w:pPr>
      <w:r>
        <w:rPr>
          <w:rFonts w:ascii="Arial" w:hAnsi="Arial"/>
          <w:color w:val="000000"/>
          <w:sz w:val="24"/>
          <w:lang w:val="fr-CA"/>
        </w:rPr>
        <w:t>Vérifi</w:t>
      </w:r>
      <w:r w:rsidR="00940C2F">
        <w:rPr>
          <w:rFonts w:ascii="Arial" w:hAnsi="Arial"/>
          <w:color w:val="000000"/>
          <w:sz w:val="24"/>
          <w:lang w:val="fr-CA"/>
        </w:rPr>
        <w:t xml:space="preserve">cation de </w:t>
      </w:r>
      <w:r>
        <w:rPr>
          <w:rFonts w:ascii="Arial" w:hAnsi="Arial"/>
          <w:color w:val="000000"/>
          <w:sz w:val="24"/>
          <w:lang w:val="fr-CA"/>
        </w:rPr>
        <w:t>l’acceptabilité des échantillons</w:t>
      </w:r>
    </w:p>
    <w:p w:rsidR="008E7637" w:rsidRDefault="00940C2F" w:rsidP="00940C2F">
      <w:pPr>
        <w:numPr>
          <w:ilvl w:val="2"/>
          <w:numId w:val="1"/>
        </w:numPr>
        <w:rPr>
          <w:rFonts w:ascii="Arial" w:hAnsi="Arial"/>
          <w:color w:val="000000"/>
          <w:sz w:val="24"/>
          <w:lang w:val="fr-CA"/>
        </w:rPr>
      </w:pPr>
      <w:r>
        <w:rPr>
          <w:rFonts w:ascii="Arial" w:hAnsi="Arial"/>
          <w:color w:val="000000"/>
          <w:sz w:val="24"/>
          <w:lang w:val="fr-CA"/>
        </w:rPr>
        <w:t xml:space="preserve">S’assurer </w:t>
      </w:r>
      <w:r w:rsidR="008E7637">
        <w:rPr>
          <w:rFonts w:ascii="Arial" w:hAnsi="Arial"/>
          <w:color w:val="000000"/>
          <w:sz w:val="24"/>
          <w:lang w:val="fr-CA"/>
        </w:rPr>
        <w:t>que les renseignements sur l'étiquette de l'échantillon correspondent au formulaire de demande.</w:t>
      </w:r>
      <w:r w:rsidR="005C6FBD">
        <w:rPr>
          <w:rFonts w:ascii="Arial" w:hAnsi="Arial"/>
          <w:color w:val="000000"/>
          <w:sz w:val="24"/>
          <w:lang w:val="fr-CA"/>
        </w:rPr>
        <w:t xml:space="preserve"> </w:t>
      </w:r>
      <w:r w:rsidR="008E7637">
        <w:rPr>
          <w:rFonts w:ascii="Arial" w:hAnsi="Arial"/>
          <w:color w:val="000000"/>
          <w:sz w:val="24"/>
          <w:lang w:val="fr-CA"/>
        </w:rPr>
        <w:t>Voir PA.002 – Acceptation ou rejet des échantillons, étapes</w:t>
      </w:r>
      <w:r w:rsidR="00FA4F30">
        <w:rPr>
          <w:rFonts w:ascii="Arial" w:hAnsi="Arial"/>
          <w:color w:val="000000"/>
          <w:sz w:val="24"/>
          <w:lang w:val="fr-CA"/>
        </w:rPr>
        <w:t> </w:t>
      </w:r>
      <w:r w:rsidR="008E7637">
        <w:rPr>
          <w:rFonts w:ascii="Arial" w:hAnsi="Arial"/>
          <w:color w:val="000000"/>
          <w:sz w:val="24"/>
          <w:lang w:val="fr-CA"/>
        </w:rPr>
        <w:t>6.1 à 6.4.</w:t>
      </w:r>
    </w:p>
    <w:p w:rsidR="008E7637" w:rsidRDefault="008E7637" w:rsidP="00940C2F">
      <w:pPr>
        <w:numPr>
          <w:ilvl w:val="2"/>
          <w:numId w:val="1"/>
        </w:numPr>
        <w:rPr>
          <w:rFonts w:ascii="Arial" w:hAnsi="Arial"/>
          <w:sz w:val="24"/>
          <w:lang w:val="fr-CA"/>
        </w:rPr>
      </w:pPr>
      <w:r>
        <w:rPr>
          <w:rFonts w:ascii="Arial" w:hAnsi="Arial"/>
          <w:color w:val="000000"/>
          <w:sz w:val="24"/>
          <w:lang w:val="fr-CA"/>
        </w:rPr>
        <w:t>Centrifuger l’échantillon pendant 5 minutes à 3500 rpm ou l’équivalent.</w:t>
      </w:r>
    </w:p>
    <w:p w:rsidR="00940C2F" w:rsidRPr="00940C2F" w:rsidRDefault="00940C2F" w:rsidP="00940C2F">
      <w:pPr>
        <w:numPr>
          <w:ilvl w:val="2"/>
          <w:numId w:val="1"/>
        </w:numPr>
        <w:rPr>
          <w:rFonts w:ascii="Arial" w:hAnsi="Arial"/>
          <w:sz w:val="24"/>
          <w:lang w:val="fr-CA"/>
        </w:rPr>
      </w:pPr>
      <w:r>
        <w:rPr>
          <w:rFonts w:ascii="Arial" w:hAnsi="Arial"/>
          <w:color w:val="000000"/>
          <w:sz w:val="24"/>
          <w:lang w:val="fr-CA"/>
        </w:rPr>
        <w:t>Après la centrifugation, v</w:t>
      </w:r>
      <w:r w:rsidR="008E7637">
        <w:rPr>
          <w:rFonts w:ascii="Arial" w:hAnsi="Arial"/>
          <w:color w:val="000000"/>
          <w:sz w:val="24"/>
          <w:lang w:val="fr-CA"/>
        </w:rPr>
        <w:t xml:space="preserve">érifier </w:t>
      </w:r>
      <w:r>
        <w:rPr>
          <w:rFonts w:ascii="Arial" w:hAnsi="Arial"/>
          <w:color w:val="000000"/>
          <w:sz w:val="24"/>
          <w:lang w:val="fr-CA"/>
        </w:rPr>
        <w:t>toute anomalie de l’aspect des échantillons. Voir PA.002 – Acceptation ou rejet des échantillons, étape</w:t>
      </w:r>
      <w:r w:rsidR="00FA4F30">
        <w:rPr>
          <w:rFonts w:ascii="Arial" w:hAnsi="Arial"/>
          <w:color w:val="000000"/>
          <w:sz w:val="24"/>
          <w:lang w:val="fr-CA"/>
        </w:rPr>
        <w:t> </w:t>
      </w:r>
      <w:r>
        <w:rPr>
          <w:rFonts w:ascii="Arial" w:hAnsi="Arial"/>
          <w:color w:val="000000"/>
          <w:sz w:val="24"/>
          <w:lang w:val="fr-CA"/>
        </w:rPr>
        <w:t>6.5.</w:t>
      </w:r>
    </w:p>
    <w:p w:rsidR="00940C2F" w:rsidRPr="00940C2F" w:rsidRDefault="00940C2F" w:rsidP="00940C2F">
      <w:pPr>
        <w:ind w:left="2160"/>
        <w:rPr>
          <w:rFonts w:ascii="Arial" w:hAnsi="Arial"/>
          <w:sz w:val="24"/>
          <w:lang w:val="fr-CA"/>
        </w:rPr>
      </w:pPr>
    </w:p>
    <w:p w:rsidR="00940C2F" w:rsidRPr="00940C2F" w:rsidRDefault="00940C2F" w:rsidP="00940C2F">
      <w:pPr>
        <w:numPr>
          <w:ilvl w:val="1"/>
          <w:numId w:val="1"/>
        </w:numPr>
        <w:rPr>
          <w:rFonts w:ascii="Arial" w:hAnsi="Arial"/>
          <w:sz w:val="24"/>
          <w:lang w:val="fr-CA"/>
        </w:rPr>
      </w:pPr>
      <w:r>
        <w:rPr>
          <w:rFonts w:ascii="Arial" w:hAnsi="Arial"/>
          <w:color w:val="000000"/>
          <w:sz w:val="24"/>
          <w:lang w:val="fr-CA"/>
        </w:rPr>
        <w:t>Vérification d</w:t>
      </w:r>
      <w:r w:rsidR="008E7637">
        <w:rPr>
          <w:rFonts w:ascii="Arial" w:hAnsi="Arial"/>
          <w:color w:val="000000"/>
          <w:sz w:val="24"/>
          <w:lang w:val="fr-CA"/>
        </w:rPr>
        <w:t>es antécédents du patient</w:t>
      </w:r>
      <w:r w:rsidR="005C6FBD">
        <w:rPr>
          <w:rFonts w:ascii="Arial" w:hAnsi="Arial"/>
          <w:color w:val="000000"/>
          <w:sz w:val="24"/>
          <w:lang w:val="fr-CA"/>
        </w:rPr>
        <w:t xml:space="preserve"> </w:t>
      </w:r>
    </w:p>
    <w:p w:rsidR="008E7637" w:rsidRDefault="005C6FBD" w:rsidP="00940C2F">
      <w:pPr>
        <w:numPr>
          <w:ilvl w:val="2"/>
          <w:numId w:val="1"/>
        </w:numPr>
        <w:rPr>
          <w:rFonts w:ascii="Arial" w:hAnsi="Arial"/>
          <w:sz w:val="24"/>
          <w:lang w:val="fr-CA"/>
        </w:rPr>
      </w:pPr>
      <w:r>
        <w:rPr>
          <w:rFonts w:ascii="Arial" w:hAnsi="Arial"/>
          <w:color w:val="000000"/>
          <w:sz w:val="24"/>
          <w:lang w:val="fr-CA"/>
        </w:rPr>
        <w:t xml:space="preserve"> </w:t>
      </w:r>
      <w:r w:rsidR="008E7637">
        <w:rPr>
          <w:rFonts w:ascii="Arial" w:hAnsi="Arial"/>
          <w:color w:val="000000"/>
          <w:sz w:val="24"/>
          <w:lang w:val="fr-CA"/>
        </w:rPr>
        <w:t>Voir PA.003 - Vérification des antécédents du patient.</w:t>
      </w:r>
      <w:r w:rsidR="008E7637">
        <w:rPr>
          <w:rFonts w:ascii="Arial" w:hAnsi="Arial"/>
          <w:color w:val="000000"/>
          <w:sz w:val="24"/>
          <w:lang w:val="fr-CA"/>
        </w:rPr>
        <w:br/>
      </w:r>
    </w:p>
    <w:p w:rsidR="008E7637" w:rsidRDefault="00940C2F">
      <w:pPr>
        <w:numPr>
          <w:ilvl w:val="1"/>
          <w:numId w:val="1"/>
        </w:numPr>
        <w:rPr>
          <w:rFonts w:ascii="Arial" w:hAnsi="Arial"/>
          <w:color w:val="000000"/>
          <w:sz w:val="24"/>
          <w:lang w:val="fr-CA"/>
        </w:rPr>
      </w:pPr>
      <w:r>
        <w:rPr>
          <w:rFonts w:ascii="Arial" w:hAnsi="Arial"/>
          <w:color w:val="000000"/>
          <w:sz w:val="24"/>
          <w:lang w:val="fr-CA"/>
        </w:rPr>
        <w:t>Étiquetage des tubes</w:t>
      </w:r>
    </w:p>
    <w:p w:rsidR="00940C2F" w:rsidRDefault="008E7637" w:rsidP="00940C2F">
      <w:pPr>
        <w:numPr>
          <w:ilvl w:val="2"/>
          <w:numId w:val="1"/>
        </w:numPr>
        <w:rPr>
          <w:rFonts w:ascii="Arial" w:hAnsi="Arial"/>
          <w:sz w:val="24"/>
          <w:lang w:val="fr-CA"/>
        </w:rPr>
      </w:pPr>
      <w:r w:rsidRPr="00940C2F">
        <w:rPr>
          <w:rFonts w:ascii="Arial" w:hAnsi="Arial"/>
          <w:sz w:val="24"/>
          <w:lang w:val="fr-CA"/>
        </w:rPr>
        <w:t>C</w:t>
      </w:r>
      <w:r w:rsidRPr="00940C2F">
        <w:rPr>
          <w:rFonts w:ascii="Arial" w:hAnsi="Arial"/>
          <w:color w:val="000000"/>
          <w:sz w:val="24"/>
          <w:lang w:val="fr-CA"/>
        </w:rPr>
        <w:t>omparer le nom et le numéro d'identification du patient sur tous les échantillons avec les renseignements correspondants du formulaire de demande d'analyse ou à l'écran de l'ordinateur.</w:t>
      </w:r>
    </w:p>
    <w:p w:rsidR="008E7637" w:rsidRPr="00940C2F" w:rsidRDefault="008E7637" w:rsidP="00940C2F">
      <w:pPr>
        <w:numPr>
          <w:ilvl w:val="2"/>
          <w:numId w:val="1"/>
        </w:numPr>
        <w:rPr>
          <w:rFonts w:ascii="Arial" w:hAnsi="Arial"/>
          <w:sz w:val="24"/>
          <w:lang w:val="fr-CA"/>
        </w:rPr>
      </w:pPr>
      <w:r w:rsidRPr="00940C2F">
        <w:rPr>
          <w:rFonts w:ascii="Arial" w:hAnsi="Arial"/>
          <w:sz w:val="24"/>
          <w:lang w:val="fr-CA"/>
        </w:rPr>
        <w:t xml:space="preserve">Écrire sur </w:t>
      </w:r>
      <w:r w:rsidR="00144B31" w:rsidRPr="00940C2F">
        <w:rPr>
          <w:rFonts w:ascii="Arial" w:hAnsi="Arial"/>
          <w:sz w:val="24"/>
          <w:lang w:val="fr-CA"/>
        </w:rPr>
        <w:t>les</w:t>
      </w:r>
      <w:r w:rsidRPr="00940C2F">
        <w:rPr>
          <w:rFonts w:ascii="Arial" w:hAnsi="Arial"/>
          <w:sz w:val="24"/>
          <w:lang w:val="fr-CA"/>
        </w:rPr>
        <w:t xml:space="preserve"> tubes </w:t>
      </w:r>
      <w:r w:rsidR="00144B31" w:rsidRPr="00940C2F">
        <w:rPr>
          <w:rFonts w:ascii="Arial" w:hAnsi="Arial"/>
          <w:sz w:val="24"/>
          <w:lang w:val="fr-CA"/>
        </w:rPr>
        <w:t xml:space="preserve">appropriés </w:t>
      </w:r>
      <w:r w:rsidRPr="00940C2F">
        <w:rPr>
          <w:rFonts w:ascii="Arial" w:hAnsi="Arial"/>
          <w:sz w:val="24"/>
          <w:lang w:val="fr-CA"/>
        </w:rPr>
        <w:t>le nom du patient et les lettres A, B et O. Voir Remarque 8.1.</w:t>
      </w:r>
    </w:p>
    <w:p w:rsidR="008E7637" w:rsidRDefault="008E7637">
      <w:pPr>
        <w:rPr>
          <w:rFonts w:ascii="Arial" w:hAnsi="Arial"/>
          <w:sz w:val="24"/>
          <w:lang w:val="fr-CA"/>
        </w:rPr>
      </w:pPr>
    </w:p>
    <w:p w:rsidR="00940C2F" w:rsidRPr="00940C2F" w:rsidRDefault="00940C2F">
      <w:pPr>
        <w:numPr>
          <w:ilvl w:val="1"/>
          <w:numId w:val="1"/>
        </w:numPr>
        <w:rPr>
          <w:rFonts w:ascii="Arial" w:hAnsi="Arial"/>
          <w:sz w:val="24"/>
          <w:lang w:val="fr-CA"/>
        </w:rPr>
      </w:pPr>
      <w:r>
        <w:rPr>
          <w:rFonts w:ascii="Arial" w:hAnsi="Arial"/>
          <w:color w:val="000000"/>
          <w:sz w:val="24"/>
          <w:lang w:val="fr-CA"/>
        </w:rPr>
        <w:t>Ajout du plasma ou sérum du patient</w:t>
      </w:r>
    </w:p>
    <w:p w:rsidR="008E7637" w:rsidRPr="00940C2F" w:rsidRDefault="008E7637" w:rsidP="00940C2F">
      <w:pPr>
        <w:numPr>
          <w:ilvl w:val="2"/>
          <w:numId w:val="1"/>
        </w:numPr>
        <w:rPr>
          <w:rFonts w:ascii="Arial" w:hAnsi="Arial"/>
          <w:sz w:val="24"/>
          <w:lang w:val="fr-CA"/>
        </w:rPr>
      </w:pPr>
      <w:r w:rsidRPr="00940C2F">
        <w:rPr>
          <w:rFonts w:ascii="Arial" w:hAnsi="Arial"/>
          <w:color w:val="000000"/>
          <w:sz w:val="24"/>
          <w:lang w:val="fr-CA"/>
        </w:rPr>
        <w:t>Mettre 2 gouttes de plasma/sérum du patient dans les tubes.</w:t>
      </w:r>
      <w:r w:rsidR="005C6FBD" w:rsidRPr="00940C2F">
        <w:rPr>
          <w:rFonts w:ascii="Arial" w:hAnsi="Arial"/>
          <w:color w:val="000000"/>
          <w:sz w:val="24"/>
          <w:lang w:val="fr-CA"/>
        </w:rPr>
        <w:t xml:space="preserve"> </w:t>
      </w:r>
      <w:r w:rsidR="00940C2F">
        <w:rPr>
          <w:rFonts w:ascii="Arial" w:hAnsi="Arial"/>
          <w:color w:val="000000"/>
          <w:sz w:val="24"/>
          <w:lang w:val="fr-CA"/>
        </w:rPr>
        <w:t>Voir la remarque</w:t>
      </w:r>
      <w:r w:rsidR="00FA4F30">
        <w:rPr>
          <w:rFonts w:ascii="Arial" w:hAnsi="Arial"/>
          <w:color w:val="000000"/>
          <w:sz w:val="24"/>
          <w:lang w:val="fr-CA"/>
        </w:rPr>
        <w:t> </w:t>
      </w:r>
      <w:r w:rsidR="00940C2F">
        <w:rPr>
          <w:rFonts w:ascii="Arial" w:hAnsi="Arial"/>
          <w:color w:val="000000"/>
          <w:sz w:val="24"/>
          <w:lang w:val="fr-CA"/>
        </w:rPr>
        <w:t>8.4.</w:t>
      </w:r>
    </w:p>
    <w:p w:rsidR="00940C2F" w:rsidRPr="00940C2F" w:rsidRDefault="00940C2F" w:rsidP="00940C2F">
      <w:pPr>
        <w:ind w:left="2160"/>
        <w:rPr>
          <w:rFonts w:ascii="Arial" w:hAnsi="Arial"/>
          <w:sz w:val="24"/>
          <w:lang w:val="fr-CA"/>
        </w:rPr>
      </w:pPr>
    </w:p>
    <w:p w:rsidR="008E7637" w:rsidRPr="005C4BBA" w:rsidRDefault="008E7637" w:rsidP="005C4BBA">
      <w:pPr>
        <w:numPr>
          <w:ilvl w:val="1"/>
          <w:numId w:val="1"/>
        </w:numPr>
        <w:rPr>
          <w:rFonts w:ascii="Arial" w:hAnsi="Arial"/>
          <w:sz w:val="24"/>
          <w:lang w:val="fr-CA"/>
        </w:rPr>
      </w:pPr>
      <w:r w:rsidRPr="005C4BBA">
        <w:rPr>
          <w:rFonts w:ascii="Arial" w:hAnsi="Arial"/>
          <w:color w:val="000000"/>
          <w:sz w:val="24"/>
          <w:lang w:val="fr-CA"/>
        </w:rPr>
        <w:t>Ajout</w:t>
      </w:r>
      <w:r w:rsidR="00940C2F" w:rsidRPr="005C4BBA">
        <w:rPr>
          <w:rFonts w:ascii="Arial" w:hAnsi="Arial"/>
          <w:color w:val="000000"/>
          <w:sz w:val="24"/>
          <w:lang w:val="fr-CA"/>
        </w:rPr>
        <w:t xml:space="preserve"> de la </w:t>
      </w:r>
      <w:r w:rsidRPr="005C4BBA">
        <w:rPr>
          <w:rFonts w:ascii="Arial" w:hAnsi="Arial"/>
          <w:color w:val="000000"/>
          <w:sz w:val="24"/>
          <w:lang w:val="fr-CA"/>
        </w:rPr>
        <w:t xml:space="preserve">suspension cellulaire à 3 % appropriée </w:t>
      </w:r>
    </w:p>
    <w:p w:rsidR="008E7637" w:rsidRPr="005C4BBA" w:rsidRDefault="008E7637" w:rsidP="005C4BBA">
      <w:pPr>
        <w:numPr>
          <w:ilvl w:val="2"/>
          <w:numId w:val="1"/>
        </w:numPr>
        <w:rPr>
          <w:rFonts w:ascii="Arial" w:hAnsi="Arial"/>
          <w:sz w:val="24"/>
          <w:lang w:val="fr-CA"/>
        </w:rPr>
      </w:pPr>
      <w:r w:rsidRPr="005C4BBA">
        <w:rPr>
          <w:rFonts w:ascii="Arial" w:hAnsi="Arial"/>
          <w:color w:val="000000"/>
          <w:sz w:val="24"/>
          <w:lang w:val="fr-CA"/>
        </w:rPr>
        <w:t>1 goutte de cellules A au tube approprié</w:t>
      </w:r>
      <w:r w:rsidR="005C4BBA" w:rsidRPr="005C4BBA">
        <w:rPr>
          <w:rFonts w:ascii="Arial" w:hAnsi="Arial"/>
          <w:color w:val="000000"/>
          <w:sz w:val="24"/>
          <w:lang w:val="fr-CA"/>
        </w:rPr>
        <w:t xml:space="preserve"> ou </w:t>
      </w:r>
      <w:r w:rsidR="005C4BBA">
        <w:rPr>
          <w:rFonts w:ascii="Arial" w:hAnsi="Arial"/>
          <w:color w:val="000000"/>
          <w:sz w:val="24"/>
          <w:lang w:val="fr-CA"/>
        </w:rPr>
        <w:t>1</w:t>
      </w:r>
      <w:r w:rsidRPr="005C4BBA">
        <w:rPr>
          <w:rFonts w:ascii="Arial" w:hAnsi="Arial"/>
          <w:color w:val="000000"/>
          <w:sz w:val="24"/>
          <w:lang w:val="fr-CA"/>
        </w:rPr>
        <w:t> goutte de cellules B au tube approprié</w:t>
      </w:r>
      <w:r w:rsidRPr="005C4BBA">
        <w:rPr>
          <w:rFonts w:ascii="Arial" w:hAnsi="Arial"/>
          <w:sz w:val="24"/>
          <w:lang w:val="fr-CA"/>
        </w:rPr>
        <w:t>.</w:t>
      </w:r>
    </w:p>
    <w:p w:rsidR="008E7637" w:rsidRDefault="008E7637">
      <w:pPr>
        <w:numPr>
          <w:ilvl w:val="2"/>
          <w:numId w:val="1"/>
        </w:numPr>
        <w:rPr>
          <w:rFonts w:ascii="Arial" w:hAnsi="Arial"/>
          <w:sz w:val="24"/>
          <w:lang w:val="fr-CA"/>
        </w:rPr>
      </w:pPr>
      <w:r>
        <w:rPr>
          <w:rFonts w:ascii="Arial" w:hAnsi="Arial"/>
          <w:color w:val="000000"/>
          <w:sz w:val="24"/>
          <w:lang w:val="fr-CA"/>
        </w:rPr>
        <w:t>1 goutte de cellules O au tube approprié</w:t>
      </w:r>
      <w:r>
        <w:rPr>
          <w:rFonts w:ascii="Arial" w:hAnsi="Arial"/>
          <w:sz w:val="24"/>
          <w:lang w:val="fr-CA"/>
        </w:rPr>
        <w:t>.</w:t>
      </w:r>
    </w:p>
    <w:p w:rsidR="005C4BBA" w:rsidRDefault="005C4BBA" w:rsidP="005C4BBA">
      <w:pPr>
        <w:ind w:left="1440"/>
        <w:rPr>
          <w:rFonts w:ascii="Arial" w:hAnsi="Arial"/>
          <w:sz w:val="24"/>
          <w:lang w:val="fr-CA"/>
        </w:rPr>
      </w:pPr>
    </w:p>
    <w:p w:rsidR="005C4BBA" w:rsidRDefault="005C4BBA" w:rsidP="005C4BBA">
      <w:pPr>
        <w:ind w:left="1440"/>
        <w:rPr>
          <w:rFonts w:ascii="Arial" w:hAnsi="Arial"/>
          <w:sz w:val="24"/>
          <w:lang w:val="fr-CA"/>
        </w:rPr>
      </w:pPr>
      <w:r w:rsidRPr="005C4BBA">
        <w:rPr>
          <w:rFonts w:ascii="Arial" w:hAnsi="Arial"/>
          <w:b/>
          <w:i/>
          <w:sz w:val="24"/>
          <w:lang w:val="fr-CA"/>
        </w:rPr>
        <w:t xml:space="preserve">Remarque : </w:t>
      </w:r>
      <w:r w:rsidRPr="005C4BBA">
        <w:rPr>
          <w:rFonts w:ascii="Arial" w:hAnsi="Arial"/>
          <w:b/>
          <w:i/>
          <w:color w:val="000000"/>
          <w:sz w:val="24"/>
          <w:lang w:val="fr-CA"/>
        </w:rPr>
        <w:t>Tenir la pipette ou le compte-gouttes à la verticale lors de l'ajout de</w:t>
      </w:r>
      <w:r>
        <w:rPr>
          <w:rFonts w:ascii="Arial" w:hAnsi="Arial"/>
          <w:b/>
          <w:i/>
          <w:color w:val="000000"/>
          <w:sz w:val="24"/>
          <w:lang w:val="fr-CA"/>
        </w:rPr>
        <w:t>s cellules</w:t>
      </w:r>
      <w:r>
        <w:rPr>
          <w:rFonts w:ascii="Arial" w:hAnsi="Arial"/>
          <w:sz w:val="24"/>
          <w:lang w:val="fr-CA"/>
        </w:rPr>
        <w:t>.</w:t>
      </w:r>
    </w:p>
    <w:p w:rsidR="005C4BBA" w:rsidRDefault="005C4BBA" w:rsidP="005C4BBA">
      <w:pPr>
        <w:ind w:left="1440"/>
        <w:rPr>
          <w:rFonts w:ascii="Arial" w:hAnsi="Arial"/>
          <w:sz w:val="24"/>
          <w:lang w:val="fr-CA"/>
        </w:rPr>
      </w:pPr>
    </w:p>
    <w:p w:rsidR="008E7637" w:rsidRDefault="008E7637" w:rsidP="005C4BBA">
      <w:pPr>
        <w:numPr>
          <w:ilvl w:val="2"/>
          <w:numId w:val="1"/>
        </w:numPr>
        <w:rPr>
          <w:rFonts w:ascii="Arial" w:hAnsi="Arial"/>
          <w:sz w:val="24"/>
          <w:lang w:val="fr-CA"/>
        </w:rPr>
      </w:pPr>
      <w:r>
        <w:rPr>
          <w:rFonts w:ascii="Arial" w:hAnsi="Arial"/>
          <w:color w:val="000000"/>
          <w:sz w:val="24"/>
          <w:lang w:val="fr-CA"/>
        </w:rPr>
        <w:t>Mélanger tous les tubes.</w:t>
      </w:r>
      <w:r w:rsidR="005C6FBD">
        <w:rPr>
          <w:rFonts w:ascii="Arial" w:hAnsi="Arial"/>
          <w:color w:val="000000"/>
          <w:sz w:val="24"/>
          <w:lang w:val="fr-CA"/>
        </w:rPr>
        <w:t xml:space="preserve"> </w:t>
      </w:r>
      <w:r>
        <w:rPr>
          <w:rFonts w:ascii="Arial" w:hAnsi="Arial"/>
          <w:color w:val="000000"/>
          <w:sz w:val="24"/>
          <w:lang w:val="fr-CA"/>
        </w:rPr>
        <w:t>Examiner l'aspect et le volume de tous les tubes</w:t>
      </w:r>
      <w:r>
        <w:rPr>
          <w:rFonts w:ascii="Arial" w:hAnsi="Arial"/>
          <w:sz w:val="24"/>
          <w:lang w:val="fr-CA"/>
        </w:rPr>
        <w:t>.</w:t>
      </w:r>
      <w:r w:rsidR="005C4BBA">
        <w:rPr>
          <w:rFonts w:ascii="Arial" w:hAnsi="Arial"/>
          <w:sz w:val="24"/>
          <w:lang w:val="fr-CA"/>
        </w:rPr>
        <w:t xml:space="preserve"> </w:t>
      </w:r>
    </w:p>
    <w:p w:rsidR="008E7637" w:rsidRDefault="008E7637" w:rsidP="005C4BBA">
      <w:pPr>
        <w:ind w:left="2160"/>
        <w:rPr>
          <w:rFonts w:ascii="Arial" w:hAnsi="Arial"/>
          <w:sz w:val="24"/>
          <w:lang w:val="fr-CA"/>
        </w:rPr>
      </w:pPr>
      <w:r>
        <w:rPr>
          <w:rFonts w:ascii="Arial" w:hAnsi="Arial"/>
          <w:sz w:val="24"/>
          <w:lang w:val="fr-CA"/>
        </w:rPr>
        <w:t>Si le volume ou l'aspect semble anormal, il faut éliminer les tubes et reprendre tous les tests</w:t>
      </w:r>
      <w:r w:rsidR="00144B31">
        <w:rPr>
          <w:rFonts w:ascii="Arial" w:hAnsi="Arial"/>
          <w:sz w:val="24"/>
          <w:lang w:val="fr-CA"/>
        </w:rPr>
        <w:t>.</w:t>
      </w:r>
    </w:p>
    <w:p w:rsidR="008E7637" w:rsidRDefault="008E7637">
      <w:pPr>
        <w:ind w:left="1440"/>
        <w:rPr>
          <w:rFonts w:ascii="Arial" w:hAnsi="Arial"/>
          <w:sz w:val="24"/>
          <w:lang w:val="fr-CA"/>
        </w:rPr>
      </w:pPr>
    </w:p>
    <w:p w:rsidR="005C4BBA" w:rsidRPr="005C4BBA" w:rsidRDefault="008E7637">
      <w:pPr>
        <w:numPr>
          <w:ilvl w:val="1"/>
          <w:numId w:val="1"/>
        </w:numPr>
        <w:rPr>
          <w:rFonts w:ascii="Arial" w:hAnsi="Arial"/>
          <w:sz w:val="24"/>
          <w:lang w:val="fr-CA"/>
        </w:rPr>
      </w:pPr>
      <w:r>
        <w:rPr>
          <w:rFonts w:ascii="Arial" w:hAnsi="Arial"/>
          <w:color w:val="000000"/>
          <w:sz w:val="24"/>
          <w:lang w:val="fr-CA"/>
        </w:rPr>
        <w:t>Incub</w:t>
      </w:r>
      <w:r w:rsidR="005C4BBA">
        <w:rPr>
          <w:rFonts w:ascii="Arial" w:hAnsi="Arial"/>
          <w:color w:val="000000"/>
          <w:sz w:val="24"/>
          <w:lang w:val="fr-CA"/>
        </w:rPr>
        <w:t xml:space="preserve">ation à à 37 </w:t>
      </w:r>
      <w:r w:rsidR="005C4BBA">
        <w:rPr>
          <w:rFonts w:ascii="Arial" w:hAnsi="Arial"/>
          <w:color w:val="000000"/>
          <w:sz w:val="24"/>
          <w:vertAlign w:val="superscript"/>
          <w:lang w:val="fr-CA"/>
        </w:rPr>
        <w:t>o</w:t>
      </w:r>
      <w:r w:rsidR="005C4BBA">
        <w:rPr>
          <w:rFonts w:ascii="Arial" w:hAnsi="Arial"/>
          <w:color w:val="000000"/>
          <w:sz w:val="24"/>
          <w:lang w:val="fr-CA"/>
        </w:rPr>
        <w:t>C</w:t>
      </w:r>
    </w:p>
    <w:p w:rsidR="008E7637" w:rsidRDefault="005C4BBA" w:rsidP="005C4BBA">
      <w:pPr>
        <w:numPr>
          <w:ilvl w:val="2"/>
          <w:numId w:val="1"/>
        </w:numPr>
        <w:rPr>
          <w:rFonts w:ascii="Arial" w:hAnsi="Arial"/>
          <w:sz w:val="24"/>
          <w:lang w:val="fr-CA"/>
        </w:rPr>
      </w:pPr>
      <w:r>
        <w:rPr>
          <w:rFonts w:ascii="Arial" w:hAnsi="Arial"/>
          <w:color w:val="000000"/>
          <w:sz w:val="24"/>
          <w:lang w:val="fr-CA"/>
        </w:rPr>
        <w:t>Incuber</w:t>
      </w:r>
      <w:r w:rsidR="008E7637">
        <w:rPr>
          <w:rFonts w:ascii="Arial" w:hAnsi="Arial"/>
          <w:color w:val="000000"/>
          <w:sz w:val="24"/>
          <w:lang w:val="fr-CA"/>
        </w:rPr>
        <w:t xml:space="preserve"> les tubes pendant </w:t>
      </w:r>
      <w:r w:rsidR="00C15C70">
        <w:rPr>
          <w:rFonts w:ascii="Arial" w:hAnsi="Arial"/>
          <w:color w:val="000000"/>
          <w:sz w:val="24"/>
          <w:lang w:val="fr-CA"/>
        </w:rPr>
        <w:t>30 </w:t>
      </w:r>
      <w:r w:rsidR="008E7637">
        <w:rPr>
          <w:rFonts w:ascii="Arial" w:hAnsi="Arial"/>
          <w:color w:val="000000"/>
          <w:sz w:val="24"/>
          <w:lang w:val="fr-CA"/>
        </w:rPr>
        <w:t xml:space="preserve">minutes à 37 </w:t>
      </w:r>
      <w:r w:rsidR="008E7637">
        <w:rPr>
          <w:rFonts w:ascii="Arial" w:hAnsi="Arial"/>
          <w:color w:val="000000"/>
          <w:sz w:val="24"/>
          <w:vertAlign w:val="superscript"/>
          <w:lang w:val="fr-CA"/>
        </w:rPr>
        <w:t>o</w:t>
      </w:r>
      <w:r w:rsidR="008E7637">
        <w:rPr>
          <w:rFonts w:ascii="Arial" w:hAnsi="Arial"/>
          <w:color w:val="000000"/>
          <w:sz w:val="24"/>
          <w:lang w:val="fr-CA"/>
        </w:rPr>
        <w:t>C</w:t>
      </w:r>
      <w:r w:rsidR="008E7637">
        <w:rPr>
          <w:rFonts w:ascii="Arial" w:hAnsi="Arial"/>
          <w:sz w:val="24"/>
          <w:lang w:val="fr-CA"/>
        </w:rPr>
        <w:t>.</w:t>
      </w:r>
    </w:p>
    <w:p w:rsidR="008E7637" w:rsidRDefault="008E7637" w:rsidP="005C4BBA">
      <w:pPr>
        <w:numPr>
          <w:ilvl w:val="2"/>
          <w:numId w:val="1"/>
        </w:numPr>
        <w:rPr>
          <w:rFonts w:ascii="Arial" w:hAnsi="Arial"/>
          <w:sz w:val="24"/>
          <w:lang w:val="fr-CA"/>
        </w:rPr>
      </w:pPr>
      <w:r>
        <w:rPr>
          <w:rFonts w:ascii="Arial" w:hAnsi="Arial"/>
          <w:color w:val="000000"/>
          <w:sz w:val="24"/>
          <w:lang w:val="fr-CA"/>
        </w:rPr>
        <w:t>Vérifier et inscrire la température du bain-marie ou du bloc chauffant sur le formulaire</w:t>
      </w:r>
      <w:r w:rsidR="00FA4F30">
        <w:rPr>
          <w:rFonts w:ascii="Arial" w:hAnsi="Arial"/>
          <w:color w:val="000000"/>
          <w:sz w:val="24"/>
          <w:lang w:val="fr-CA"/>
        </w:rPr>
        <w:t> </w:t>
      </w:r>
      <w:r>
        <w:rPr>
          <w:rFonts w:ascii="Arial" w:hAnsi="Arial"/>
          <w:color w:val="000000"/>
          <w:sz w:val="24"/>
          <w:lang w:val="fr-CA"/>
        </w:rPr>
        <w:t>CAQ.006F</w:t>
      </w:r>
      <w:r>
        <w:rPr>
          <w:rFonts w:ascii="Arial" w:hAnsi="Arial"/>
          <w:sz w:val="24"/>
          <w:lang w:val="fr-CA"/>
        </w:rPr>
        <w:t>.</w:t>
      </w:r>
    </w:p>
    <w:p w:rsidR="008E7637" w:rsidRDefault="005C6FBD">
      <w:pPr>
        <w:numPr>
          <w:ilvl w:val="2"/>
          <w:numId w:val="1"/>
        </w:numPr>
        <w:rPr>
          <w:rFonts w:ascii="Arial" w:hAnsi="Arial"/>
          <w:sz w:val="24"/>
          <w:lang w:val="fr-CA"/>
        </w:rPr>
      </w:pPr>
      <w:r>
        <w:rPr>
          <w:rFonts w:ascii="Arial" w:hAnsi="Arial"/>
          <w:sz w:val="24"/>
          <w:lang w:val="fr-CA"/>
        </w:rPr>
        <w:t xml:space="preserve">  </w:t>
      </w:r>
      <w:r w:rsidR="008E7637">
        <w:rPr>
          <w:rFonts w:ascii="Arial" w:hAnsi="Arial"/>
          <w:sz w:val="24"/>
          <w:lang w:val="fr-CA"/>
        </w:rPr>
        <w:t>Retirer les tubes du bain-marie.</w:t>
      </w:r>
    </w:p>
    <w:p w:rsidR="008E7637" w:rsidRDefault="008E7637">
      <w:pPr>
        <w:numPr>
          <w:ilvl w:val="2"/>
          <w:numId w:val="1"/>
        </w:numPr>
        <w:rPr>
          <w:rFonts w:ascii="Arial" w:hAnsi="Arial"/>
          <w:sz w:val="24"/>
          <w:lang w:val="fr-CA"/>
        </w:rPr>
      </w:pPr>
      <w:r>
        <w:rPr>
          <w:rFonts w:ascii="Arial" w:hAnsi="Arial"/>
          <w:sz w:val="24"/>
          <w:lang w:val="fr-CA"/>
        </w:rPr>
        <w:t xml:space="preserve"> Centrifuger les tubes à 3400 rpm pendant 10 à 15 secondes</w:t>
      </w:r>
      <w:r w:rsidR="00144B31">
        <w:rPr>
          <w:rFonts w:ascii="Arial" w:hAnsi="Arial"/>
          <w:sz w:val="24"/>
          <w:lang w:val="fr-CA"/>
        </w:rPr>
        <w:t>.</w:t>
      </w:r>
    </w:p>
    <w:p w:rsidR="008E7637" w:rsidRDefault="005C6FBD">
      <w:pPr>
        <w:numPr>
          <w:ilvl w:val="2"/>
          <w:numId w:val="1"/>
        </w:numPr>
        <w:rPr>
          <w:rFonts w:ascii="Arial" w:hAnsi="Arial"/>
          <w:sz w:val="24"/>
          <w:lang w:val="fr-CA"/>
        </w:rPr>
      </w:pPr>
      <w:r>
        <w:rPr>
          <w:rFonts w:ascii="Arial" w:hAnsi="Arial"/>
          <w:sz w:val="24"/>
          <w:lang w:val="fr-CA"/>
        </w:rPr>
        <w:t xml:space="preserve">  </w:t>
      </w:r>
      <w:r w:rsidR="008E7637">
        <w:rPr>
          <w:rFonts w:ascii="Arial" w:hAnsi="Arial"/>
          <w:sz w:val="24"/>
          <w:lang w:val="fr-CA"/>
        </w:rPr>
        <w:t>Vérifier la présence d'hémolyse. Le cas échéant, inscrire le résultat.</w:t>
      </w:r>
      <w:r>
        <w:rPr>
          <w:rFonts w:ascii="Arial" w:hAnsi="Arial"/>
          <w:sz w:val="24"/>
          <w:lang w:val="fr-CA"/>
        </w:rPr>
        <w:t xml:space="preserve"> </w:t>
      </w:r>
      <w:bookmarkStart w:id="1" w:name="OLE_LINK1"/>
      <w:r w:rsidR="008E7637">
        <w:rPr>
          <w:rFonts w:ascii="Arial" w:hAnsi="Arial"/>
          <w:sz w:val="24"/>
          <w:lang w:val="fr-CA"/>
        </w:rPr>
        <w:t xml:space="preserve">Voir </w:t>
      </w:r>
      <w:r w:rsidR="005C4BBA">
        <w:rPr>
          <w:rFonts w:ascii="Arial" w:hAnsi="Arial"/>
          <w:sz w:val="24"/>
          <w:lang w:val="fr-CA"/>
        </w:rPr>
        <w:t>AR</w:t>
      </w:r>
      <w:r w:rsidR="008E7637">
        <w:rPr>
          <w:rFonts w:ascii="Arial" w:hAnsi="Arial"/>
          <w:sz w:val="24"/>
          <w:lang w:val="fr-CA"/>
        </w:rPr>
        <w:t>.00</w:t>
      </w:r>
      <w:r w:rsidR="005C4BBA">
        <w:rPr>
          <w:rFonts w:ascii="Arial" w:hAnsi="Arial"/>
          <w:sz w:val="24"/>
          <w:lang w:val="fr-CA"/>
        </w:rPr>
        <w:t>1</w:t>
      </w:r>
      <w:r w:rsidR="008E7637">
        <w:rPr>
          <w:rFonts w:ascii="Arial" w:hAnsi="Arial"/>
          <w:sz w:val="24"/>
          <w:lang w:val="fr-CA"/>
        </w:rPr>
        <w:t xml:space="preserve"> – Lecture et inscription des réactions d’hémagglutination</w:t>
      </w:r>
      <w:r w:rsidR="00144B31">
        <w:rPr>
          <w:rFonts w:ascii="Arial" w:hAnsi="Arial"/>
          <w:sz w:val="24"/>
          <w:lang w:val="fr-CA"/>
        </w:rPr>
        <w:t>.</w:t>
      </w:r>
    </w:p>
    <w:bookmarkEnd w:id="1"/>
    <w:p w:rsidR="008E7637" w:rsidRPr="005C4BBA" w:rsidRDefault="005C6FBD" w:rsidP="005C4BBA">
      <w:pPr>
        <w:numPr>
          <w:ilvl w:val="2"/>
          <w:numId w:val="1"/>
        </w:numPr>
        <w:ind w:left="2268" w:hanging="850"/>
        <w:rPr>
          <w:rFonts w:ascii="Arial" w:hAnsi="Arial"/>
          <w:sz w:val="24"/>
          <w:lang w:val="fr-CA"/>
        </w:rPr>
      </w:pPr>
      <w:r w:rsidRPr="005C4BBA">
        <w:rPr>
          <w:rFonts w:ascii="Arial" w:hAnsi="Arial"/>
          <w:sz w:val="24"/>
          <w:lang w:val="fr-CA"/>
        </w:rPr>
        <w:t xml:space="preserve">  </w:t>
      </w:r>
      <w:r w:rsidR="008E7637" w:rsidRPr="005C4BBA">
        <w:rPr>
          <w:rFonts w:ascii="Arial" w:hAnsi="Arial"/>
          <w:sz w:val="24"/>
          <w:lang w:val="fr-CA"/>
        </w:rPr>
        <w:t xml:space="preserve">Remettre en suspension et faire une lecture macroscopique. </w:t>
      </w:r>
    </w:p>
    <w:p w:rsidR="008E7637" w:rsidRDefault="008E7637">
      <w:pPr>
        <w:numPr>
          <w:ilvl w:val="2"/>
          <w:numId w:val="1"/>
        </w:numPr>
        <w:rPr>
          <w:rFonts w:ascii="Arial" w:hAnsi="Arial"/>
          <w:sz w:val="24"/>
          <w:lang w:val="fr-CA"/>
        </w:rPr>
      </w:pPr>
      <w:r>
        <w:rPr>
          <w:rFonts w:ascii="Arial" w:hAnsi="Arial"/>
          <w:sz w:val="24"/>
          <w:lang w:val="fr-CA"/>
        </w:rPr>
        <w:t xml:space="preserve"> Interpréter et inscrire les résultats à 37</w:t>
      </w:r>
      <w:r w:rsidR="00FA4F30">
        <w:rPr>
          <w:rFonts w:ascii="Arial" w:hAnsi="Arial"/>
          <w:sz w:val="24"/>
          <w:lang w:val="fr-CA"/>
        </w:rPr>
        <w:t> </w:t>
      </w:r>
      <w:r>
        <w:rPr>
          <w:rFonts w:ascii="Arial" w:hAnsi="Arial"/>
          <w:sz w:val="24"/>
          <w:lang w:val="fr-CA"/>
        </w:rPr>
        <w:t>°C conformément à la procédure établie. Voir</w:t>
      </w:r>
      <w:r w:rsidR="005C6FBD">
        <w:rPr>
          <w:rFonts w:ascii="Arial" w:hAnsi="Arial"/>
          <w:sz w:val="24"/>
          <w:lang w:val="fr-CA"/>
        </w:rPr>
        <w:t xml:space="preserve"> </w:t>
      </w:r>
      <w:r w:rsidR="005C4BBA">
        <w:rPr>
          <w:rFonts w:ascii="Arial" w:hAnsi="Arial"/>
          <w:sz w:val="24"/>
          <w:lang w:val="fr-CA"/>
        </w:rPr>
        <w:t>AR</w:t>
      </w:r>
      <w:r>
        <w:rPr>
          <w:rFonts w:ascii="Arial" w:hAnsi="Arial"/>
          <w:sz w:val="24"/>
          <w:lang w:val="fr-CA"/>
        </w:rPr>
        <w:t>.00</w:t>
      </w:r>
      <w:r w:rsidR="005C4BBA">
        <w:rPr>
          <w:rFonts w:ascii="Arial" w:hAnsi="Arial"/>
          <w:sz w:val="24"/>
          <w:lang w:val="fr-CA"/>
        </w:rPr>
        <w:t>1</w:t>
      </w:r>
      <w:r>
        <w:rPr>
          <w:rFonts w:ascii="Arial" w:hAnsi="Arial"/>
          <w:sz w:val="24"/>
          <w:lang w:val="fr-CA"/>
        </w:rPr>
        <w:t xml:space="preserve"> – Lecture et inscription des réactions d’hémagglutination</w:t>
      </w:r>
      <w:r>
        <w:rPr>
          <w:rFonts w:ascii="Arial" w:hAnsi="Arial"/>
          <w:sz w:val="24"/>
          <w:lang w:val="fr-CA"/>
        </w:rPr>
        <w:br/>
      </w:r>
    </w:p>
    <w:p w:rsidR="008E7637" w:rsidRDefault="005C4BBA" w:rsidP="005C4BBA">
      <w:pPr>
        <w:numPr>
          <w:ilvl w:val="1"/>
          <w:numId w:val="1"/>
        </w:numPr>
        <w:rPr>
          <w:rFonts w:ascii="Arial" w:hAnsi="Arial"/>
          <w:sz w:val="24"/>
          <w:lang w:val="fr-CA"/>
        </w:rPr>
      </w:pPr>
      <w:r>
        <w:rPr>
          <w:rFonts w:ascii="Arial" w:hAnsi="Arial"/>
          <w:sz w:val="24"/>
          <w:lang w:val="fr-CA"/>
        </w:rPr>
        <w:t>T</w:t>
      </w:r>
      <w:r w:rsidR="008E7637">
        <w:rPr>
          <w:rFonts w:ascii="Arial" w:hAnsi="Arial"/>
          <w:sz w:val="24"/>
          <w:lang w:val="fr-CA"/>
        </w:rPr>
        <w:t>est à l’</w:t>
      </w:r>
      <w:r w:rsidR="00144B31">
        <w:rPr>
          <w:rFonts w:ascii="Arial" w:hAnsi="Arial"/>
          <w:sz w:val="24"/>
          <w:lang w:val="fr-CA"/>
        </w:rPr>
        <w:t>antiglobuline</w:t>
      </w:r>
    </w:p>
    <w:p w:rsidR="008E7637" w:rsidRDefault="008E7637" w:rsidP="005C4BBA">
      <w:pPr>
        <w:numPr>
          <w:ilvl w:val="2"/>
          <w:numId w:val="1"/>
        </w:numPr>
        <w:rPr>
          <w:rFonts w:ascii="Arial" w:hAnsi="Arial"/>
          <w:sz w:val="24"/>
          <w:lang w:val="fr-CA"/>
        </w:rPr>
      </w:pPr>
      <w:r>
        <w:rPr>
          <w:rFonts w:ascii="Arial" w:hAnsi="Arial"/>
          <w:sz w:val="24"/>
          <w:lang w:val="fr-CA"/>
        </w:rPr>
        <w:t>Laver les tubes 4 fois.</w:t>
      </w:r>
      <w:r w:rsidR="00EC13AB">
        <w:rPr>
          <w:rFonts w:ascii="Arial" w:hAnsi="Arial"/>
          <w:sz w:val="24"/>
          <w:lang w:val="fr-CA"/>
        </w:rPr>
        <w:t xml:space="preserve"> Voir A</w:t>
      </w:r>
      <w:r w:rsidR="005C4BBA">
        <w:rPr>
          <w:rFonts w:ascii="Arial" w:hAnsi="Arial"/>
          <w:sz w:val="24"/>
          <w:lang w:val="fr-CA"/>
        </w:rPr>
        <w:t>R</w:t>
      </w:r>
      <w:r w:rsidR="00144B31">
        <w:rPr>
          <w:rFonts w:ascii="Arial" w:hAnsi="Arial"/>
          <w:sz w:val="24"/>
          <w:lang w:val="fr-CA"/>
        </w:rPr>
        <w:t>.</w:t>
      </w:r>
      <w:r w:rsidR="00EC13AB">
        <w:rPr>
          <w:rFonts w:ascii="Arial" w:hAnsi="Arial"/>
          <w:sz w:val="24"/>
          <w:lang w:val="fr-CA"/>
        </w:rPr>
        <w:t>00</w:t>
      </w:r>
      <w:r w:rsidR="005C4BBA">
        <w:rPr>
          <w:rFonts w:ascii="Arial" w:hAnsi="Arial"/>
          <w:sz w:val="24"/>
          <w:lang w:val="fr-CA"/>
        </w:rPr>
        <w:t>2</w:t>
      </w:r>
      <w:r w:rsidR="00EC13AB">
        <w:rPr>
          <w:rFonts w:ascii="Arial" w:hAnsi="Arial"/>
          <w:sz w:val="24"/>
          <w:lang w:val="fr-CA"/>
        </w:rPr>
        <w:t xml:space="preserve"> – Lavage </w:t>
      </w:r>
      <w:r w:rsidR="00144B31">
        <w:rPr>
          <w:rFonts w:ascii="Arial" w:hAnsi="Arial"/>
          <w:sz w:val="24"/>
          <w:lang w:val="fr-CA"/>
        </w:rPr>
        <w:t xml:space="preserve">automatisé ou </w:t>
      </w:r>
      <w:r w:rsidR="00EC13AB">
        <w:rPr>
          <w:rFonts w:ascii="Arial" w:hAnsi="Arial"/>
          <w:sz w:val="24"/>
          <w:lang w:val="fr-CA"/>
        </w:rPr>
        <w:t>manuel des cellules.</w:t>
      </w:r>
    </w:p>
    <w:p w:rsidR="008E7637" w:rsidRDefault="008E7637" w:rsidP="005C4BBA">
      <w:pPr>
        <w:numPr>
          <w:ilvl w:val="2"/>
          <w:numId w:val="1"/>
        </w:numPr>
        <w:rPr>
          <w:rFonts w:ascii="Arial" w:hAnsi="Arial"/>
          <w:sz w:val="24"/>
          <w:lang w:val="fr-CA"/>
        </w:rPr>
      </w:pPr>
      <w:r>
        <w:rPr>
          <w:rFonts w:ascii="Arial" w:hAnsi="Arial"/>
          <w:sz w:val="24"/>
          <w:lang w:val="fr-CA"/>
        </w:rPr>
        <w:t xml:space="preserve">Ajouter 2 gouttes d’anti-IgG. </w:t>
      </w:r>
    </w:p>
    <w:p w:rsidR="008E7637" w:rsidRDefault="008E7637" w:rsidP="005C4BBA">
      <w:pPr>
        <w:numPr>
          <w:ilvl w:val="2"/>
          <w:numId w:val="1"/>
        </w:numPr>
        <w:rPr>
          <w:rFonts w:ascii="Arial" w:hAnsi="Arial"/>
          <w:sz w:val="24"/>
          <w:lang w:val="fr-CA"/>
        </w:rPr>
      </w:pPr>
      <w:r>
        <w:rPr>
          <w:rFonts w:ascii="Arial" w:hAnsi="Arial"/>
          <w:sz w:val="24"/>
          <w:lang w:val="fr-CA"/>
        </w:rPr>
        <w:t xml:space="preserve">Mélanger les tubes </w:t>
      </w:r>
      <w:r w:rsidRPr="00A8203E">
        <w:rPr>
          <w:rFonts w:ascii="Arial" w:hAnsi="Arial"/>
          <w:sz w:val="24"/>
          <w:lang w:val="fr-CA"/>
        </w:rPr>
        <w:t>immédiatement</w:t>
      </w:r>
      <w:r>
        <w:rPr>
          <w:rFonts w:ascii="Arial" w:hAnsi="Arial"/>
          <w:sz w:val="24"/>
          <w:lang w:val="fr-CA"/>
        </w:rPr>
        <w:t xml:space="preserve"> et centrifuger à 3400 rpm pendant 10 à 15 secondes.</w:t>
      </w:r>
    </w:p>
    <w:p w:rsidR="008E7637" w:rsidRDefault="00C15C70" w:rsidP="005C4BBA">
      <w:pPr>
        <w:numPr>
          <w:ilvl w:val="2"/>
          <w:numId w:val="1"/>
        </w:numPr>
        <w:rPr>
          <w:rFonts w:ascii="Arial" w:hAnsi="Arial"/>
          <w:sz w:val="24"/>
          <w:lang w:val="fr-CA"/>
        </w:rPr>
      </w:pPr>
      <w:r w:rsidRPr="00A8203E">
        <w:rPr>
          <w:rFonts w:ascii="Arial" w:hAnsi="Arial"/>
          <w:sz w:val="24"/>
          <w:lang w:val="fr-CA"/>
        </w:rPr>
        <w:t>I</w:t>
      </w:r>
      <w:r w:rsidR="008E7637" w:rsidRPr="00A8203E">
        <w:rPr>
          <w:rFonts w:ascii="Arial" w:hAnsi="Arial"/>
          <w:sz w:val="24"/>
          <w:lang w:val="fr-CA"/>
        </w:rPr>
        <w:t>mmédiatement</w:t>
      </w:r>
      <w:r w:rsidR="008E7637" w:rsidRPr="005C6FBD">
        <w:rPr>
          <w:rFonts w:ascii="Arial" w:hAnsi="Arial"/>
          <w:b/>
          <w:sz w:val="24"/>
          <w:lang w:val="fr-CA"/>
        </w:rPr>
        <w:t xml:space="preserve"> </w:t>
      </w:r>
      <w:r w:rsidR="008E7637">
        <w:rPr>
          <w:rFonts w:ascii="Arial" w:hAnsi="Arial"/>
          <w:sz w:val="24"/>
          <w:lang w:val="fr-CA"/>
        </w:rPr>
        <w:t>après la centrifugation, remettre les cellules en suspension et faire une lecture macroscopique.</w:t>
      </w:r>
      <w:r w:rsidR="005C6FBD">
        <w:rPr>
          <w:rFonts w:ascii="Arial" w:hAnsi="Arial"/>
          <w:sz w:val="24"/>
          <w:lang w:val="fr-CA"/>
        </w:rPr>
        <w:t xml:space="preserve"> </w:t>
      </w:r>
      <w:r w:rsidR="008E7637">
        <w:rPr>
          <w:rFonts w:ascii="Arial" w:hAnsi="Arial"/>
          <w:sz w:val="24"/>
          <w:lang w:val="fr-CA"/>
        </w:rPr>
        <w:t>Si le résultat est négatif, faire une lecture microscopique.</w:t>
      </w:r>
      <w:r w:rsidR="005C6FBD">
        <w:rPr>
          <w:rFonts w:ascii="Arial" w:hAnsi="Arial"/>
          <w:sz w:val="24"/>
          <w:lang w:val="fr-CA"/>
        </w:rPr>
        <w:t xml:space="preserve"> </w:t>
      </w:r>
      <w:r w:rsidR="008E7637">
        <w:rPr>
          <w:rFonts w:ascii="Arial" w:hAnsi="Arial"/>
          <w:sz w:val="24"/>
          <w:lang w:val="fr-CA"/>
        </w:rPr>
        <w:t>Voir Remarque</w:t>
      </w:r>
      <w:r w:rsidR="00FA4F30">
        <w:rPr>
          <w:rFonts w:ascii="Arial" w:hAnsi="Arial"/>
          <w:sz w:val="24"/>
          <w:lang w:val="fr-CA"/>
        </w:rPr>
        <w:t> </w:t>
      </w:r>
      <w:r w:rsidR="008E7637">
        <w:rPr>
          <w:rFonts w:ascii="Arial" w:hAnsi="Arial"/>
          <w:sz w:val="24"/>
          <w:lang w:val="fr-CA"/>
        </w:rPr>
        <w:t>8.3</w:t>
      </w:r>
      <w:r w:rsidR="00144B31">
        <w:rPr>
          <w:rFonts w:ascii="Arial" w:hAnsi="Arial"/>
          <w:sz w:val="24"/>
          <w:lang w:val="fr-CA"/>
        </w:rPr>
        <w:t>.</w:t>
      </w:r>
    </w:p>
    <w:p w:rsidR="008E7637" w:rsidRDefault="008E7637" w:rsidP="005C4BBA">
      <w:pPr>
        <w:numPr>
          <w:ilvl w:val="2"/>
          <w:numId w:val="1"/>
        </w:numPr>
        <w:rPr>
          <w:rFonts w:ascii="Arial" w:hAnsi="Arial"/>
          <w:sz w:val="24"/>
          <w:lang w:val="fr-CA"/>
        </w:rPr>
      </w:pPr>
      <w:r>
        <w:rPr>
          <w:rFonts w:ascii="Arial" w:hAnsi="Arial"/>
          <w:sz w:val="24"/>
          <w:lang w:val="fr-CA"/>
        </w:rPr>
        <w:t xml:space="preserve">Interpréter et inscrire les résultats conformément à la procédure établie. </w:t>
      </w:r>
      <w:r w:rsidR="00E6027E">
        <w:rPr>
          <w:rFonts w:ascii="Arial" w:hAnsi="Arial"/>
          <w:sz w:val="24"/>
          <w:lang w:val="fr-CA"/>
        </w:rPr>
        <w:t>V</w:t>
      </w:r>
      <w:r>
        <w:rPr>
          <w:rFonts w:ascii="Arial" w:hAnsi="Arial"/>
          <w:sz w:val="24"/>
          <w:lang w:val="fr-CA"/>
        </w:rPr>
        <w:t>oir A</w:t>
      </w:r>
      <w:r w:rsidR="005C4BBA">
        <w:rPr>
          <w:rFonts w:ascii="Arial" w:hAnsi="Arial"/>
          <w:sz w:val="24"/>
          <w:lang w:val="fr-CA"/>
        </w:rPr>
        <w:t>R</w:t>
      </w:r>
      <w:r>
        <w:rPr>
          <w:rFonts w:ascii="Arial" w:hAnsi="Arial"/>
          <w:sz w:val="24"/>
          <w:lang w:val="fr-CA"/>
        </w:rPr>
        <w:t>.00</w:t>
      </w:r>
      <w:r w:rsidR="005C4BBA">
        <w:rPr>
          <w:rFonts w:ascii="Arial" w:hAnsi="Arial"/>
          <w:sz w:val="24"/>
          <w:lang w:val="fr-CA"/>
        </w:rPr>
        <w:t>1</w:t>
      </w:r>
      <w:r>
        <w:rPr>
          <w:rFonts w:ascii="Arial" w:hAnsi="Arial"/>
          <w:sz w:val="24"/>
          <w:lang w:val="fr-CA"/>
        </w:rPr>
        <w:t xml:space="preserve"> - Lecture et inscription des réactions d'hémagglutination.</w:t>
      </w:r>
    </w:p>
    <w:p w:rsidR="008E7637" w:rsidRDefault="008E7637" w:rsidP="005C4BBA">
      <w:pPr>
        <w:numPr>
          <w:ilvl w:val="2"/>
          <w:numId w:val="1"/>
        </w:numPr>
        <w:rPr>
          <w:rFonts w:ascii="Arial" w:hAnsi="Arial"/>
          <w:sz w:val="24"/>
          <w:lang w:val="fr-CA"/>
        </w:rPr>
      </w:pPr>
      <w:r>
        <w:rPr>
          <w:rFonts w:ascii="Arial" w:hAnsi="Arial"/>
          <w:sz w:val="24"/>
          <w:lang w:val="fr-CA"/>
        </w:rPr>
        <w:t>Ajouter 1 goutte de cellules recouvertes d'IgG aux tubes dont le résultat est négatif. Centrifuger</w:t>
      </w:r>
      <w:r w:rsidR="00C15C70">
        <w:rPr>
          <w:rFonts w:ascii="Arial" w:hAnsi="Arial"/>
          <w:sz w:val="24"/>
          <w:lang w:val="fr-CA"/>
        </w:rPr>
        <w:t xml:space="preserve"> les tubes à 3400 rpm pendant 10 à 15 secondes</w:t>
      </w:r>
      <w:r>
        <w:rPr>
          <w:rFonts w:ascii="Arial" w:hAnsi="Arial"/>
          <w:sz w:val="24"/>
          <w:lang w:val="fr-CA"/>
        </w:rPr>
        <w:t>, remettre en suspension, faire une lecture macroscopique et inscrire les résultats.</w:t>
      </w:r>
      <w:r w:rsidR="005C6FBD">
        <w:rPr>
          <w:rFonts w:ascii="Arial" w:hAnsi="Arial"/>
          <w:sz w:val="24"/>
          <w:lang w:val="fr-CA"/>
        </w:rPr>
        <w:t xml:space="preserve"> </w:t>
      </w:r>
      <w:r>
        <w:rPr>
          <w:rFonts w:ascii="Arial" w:hAnsi="Arial"/>
          <w:sz w:val="24"/>
          <w:lang w:val="fr-CA"/>
        </w:rPr>
        <w:t>En l’absence d’agglutination (&gt;2), répéter les tests.</w:t>
      </w:r>
    </w:p>
    <w:p w:rsidR="008E7637" w:rsidRDefault="008E7637">
      <w:pPr>
        <w:ind w:left="2160"/>
        <w:rPr>
          <w:rFonts w:ascii="Arial" w:hAnsi="Arial"/>
          <w:sz w:val="24"/>
          <w:lang w:val="fr-CA"/>
        </w:rPr>
      </w:pPr>
    </w:p>
    <w:p w:rsidR="005C4BBA" w:rsidRDefault="008E7637" w:rsidP="005C4BBA">
      <w:pPr>
        <w:numPr>
          <w:ilvl w:val="1"/>
          <w:numId w:val="1"/>
        </w:numPr>
        <w:rPr>
          <w:rFonts w:ascii="Arial" w:hAnsi="Arial"/>
          <w:sz w:val="24"/>
          <w:lang w:val="fr-CA"/>
        </w:rPr>
      </w:pPr>
      <w:r>
        <w:rPr>
          <w:rFonts w:ascii="Arial" w:hAnsi="Arial"/>
          <w:sz w:val="24"/>
          <w:lang w:val="fr-CA"/>
        </w:rPr>
        <w:t>Interprét</w:t>
      </w:r>
      <w:r w:rsidR="005C4BBA">
        <w:rPr>
          <w:rFonts w:ascii="Arial" w:hAnsi="Arial"/>
          <w:sz w:val="24"/>
          <w:lang w:val="fr-CA"/>
        </w:rPr>
        <w:t>ation des résultats</w:t>
      </w:r>
    </w:p>
    <w:p w:rsidR="008E7637" w:rsidRDefault="005C4BBA" w:rsidP="005C4BBA">
      <w:pPr>
        <w:numPr>
          <w:ilvl w:val="2"/>
          <w:numId w:val="1"/>
        </w:numPr>
        <w:rPr>
          <w:rFonts w:ascii="Arial" w:hAnsi="Arial"/>
          <w:sz w:val="24"/>
          <w:lang w:val="fr-CA"/>
        </w:rPr>
      </w:pPr>
      <w:r>
        <w:rPr>
          <w:rFonts w:ascii="Arial" w:hAnsi="Arial"/>
          <w:sz w:val="24"/>
          <w:lang w:val="fr-CA"/>
        </w:rPr>
        <w:t xml:space="preserve">Interpréter </w:t>
      </w:r>
      <w:r w:rsidR="008E7637">
        <w:rPr>
          <w:rFonts w:ascii="Arial" w:hAnsi="Arial"/>
          <w:sz w:val="24"/>
          <w:lang w:val="fr-CA"/>
        </w:rPr>
        <w:t>les résultats du dépistage d'anticorps.</w:t>
      </w:r>
      <w:r w:rsidR="005C6FBD">
        <w:rPr>
          <w:rFonts w:ascii="Arial" w:hAnsi="Arial"/>
          <w:sz w:val="24"/>
          <w:lang w:val="fr-CA"/>
        </w:rPr>
        <w:t xml:space="preserve"> </w:t>
      </w:r>
      <w:r w:rsidR="008E7637">
        <w:rPr>
          <w:rFonts w:ascii="Arial" w:hAnsi="Arial"/>
          <w:sz w:val="24"/>
          <w:lang w:val="fr-CA"/>
        </w:rPr>
        <w:t>Voir 7.0 – Documentation.</w:t>
      </w:r>
    </w:p>
    <w:p w:rsidR="008E7637" w:rsidRDefault="008E7637">
      <w:pPr>
        <w:ind w:left="2160"/>
        <w:rPr>
          <w:rFonts w:ascii="Arial" w:hAnsi="Arial"/>
          <w:sz w:val="24"/>
          <w:lang w:val="fr-CA"/>
        </w:rPr>
      </w:pPr>
    </w:p>
    <w:p w:rsidR="008E7637" w:rsidRDefault="005C4BBA">
      <w:pPr>
        <w:numPr>
          <w:ilvl w:val="1"/>
          <w:numId w:val="1"/>
        </w:numPr>
        <w:rPr>
          <w:rFonts w:ascii="Arial" w:hAnsi="Arial"/>
          <w:sz w:val="24"/>
          <w:lang w:val="fr-CA"/>
        </w:rPr>
      </w:pPr>
      <w:r>
        <w:rPr>
          <w:rFonts w:ascii="Arial" w:hAnsi="Arial"/>
          <w:sz w:val="24"/>
          <w:lang w:val="fr-CA"/>
        </w:rPr>
        <w:t>V</w:t>
      </w:r>
      <w:r w:rsidR="008E7637">
        <w:rPr>
          <w:rFonts w:ascii="Arial" w:hAnsi="Arial"/>
          <w:sz w:val="24"/>
          <w:lang w:val="fr-CA"/>
        </w:rPr>
        <w:t>érification.</w:t>
      </w:r>
    </w:p>
    <w:p w:rsidR="008E7637" w:rsidRDefault="008E7637" w:rsidP="002D3A35">
      <w:pPr>
        <w:numPr>
          <w:ilvl w:val="2"/>
          <w:numId w:val="1"/>
        </w:numPr>
        <w:rPr>
          <w:rFonts w:ascii="Arial" w:hAnsi="Arial"/>
          <w:sz w:val="24"/>
          <w:lang w:val="fr-CA"/>
        </w:rPr>
      </w:pPr>
      <w:r>
        <w:rPr>
          <w:rFonts w:ascii="Arial" w:hAnsi="Arial"/>
          <w:sz w:val="24"/>
          <w:lang w:val="fr-CA"/>
        </w:rPr>
        <w:t xml:space="preserve">Pour chaque </w:t>
      </w:r>
      <w:r w:rsidR="005C4BBA">
        <w:rPr>
          <w:rFonts w:ascii="Arial" w:hAnsi="Arial"/>
          <w:sz w:val="24"/>
          <w:lang w:val="fr-CA"/>
        </w:rPr>
        <w:t>patient</w:t>
      </w:r>
      <w:r>
        <w:rPr>
          <w:rFonts w:ascii="Arial" w:hAnsi="Arial"/>
          <w:sz w:val="24"/>
          <w:lang w:val="fr-CA"/>
        </w:rPr>
        <w:t>, il faut s'assurer des éléments suivants :</w:t>
      </w:r>
    </w:p>
    <w:p w:rsidR="008E7637" w:rsidRDefault="008E7637" w:rsidP="002D3A35">
      <w:pPr>
        <w:numPr>
          <w:ilvl w:val="0"/>
          <w:numId w:val="11"/>
        </w:numPr>
        <w:tabs>
          <w:tab w:val="clear" w:pos="720"/>
          <w:tab w:val="num" w:pos="2552"/>
        </w:tabs>
        <w:ind w:left="2552" w:hanging="425"/>
        <w:rPr>
          <w:rFonts w:ascii="Arial" w:hAnsi="Arial"/>
          <w:sz w:val="24"/>
          <w:lang w:val="fr-CA"/>
        </w:rPr>
      </w:pPr>
      <w:r>
        <w:rPr>
          <w:rFonts w:ascii="Arial" w:hAnsi="Arial"/>
          <w:sz w:val="24"/>
          <w:lang w:val="fr-CA"/>
        </w:rPr>
        <w:t>Le nom du patient et le numéro d'identification sont identiques sur tous les échantillons et sur le formulaire de demande.</w:t>
      </w:r>
    </w:p>
    <w:p w:rsidR="008E7637" w:rsidRDefault="008E7637" w:rsidP="002D3A35">
      <w:pPr>
        <w:numPr>
          <w:ilvl w:val="0"/>
          <w:numId w:val="11"/>
        </w:numPr>
        <w:tabs>
          <w:tab w:val="clear" w:pos="720"/>
          <w:tab w:val="num" w:pos="2552"/>
        </w:tabs>
        <w:ind w:left="2552" w:hanging="425"/>
        <w:rPr>
          <w:rFonts w:ascii="Arial" w:hAnsi="Arial"/>
          <w:sz w:val="24"/>
          <w:lang w:val="fr-CA"/>
        </w:rPr>
      </w:pPr>
      <w:r>
        <w:rPr>
          <w:rFonts w:ascii="Arial" w:hAnsi="Arial"/>
          <w:sz w:val="24"/>
          <w:lang w:val="fr-CA"/>
        </w:rPr>
        <w:t xml:space="preserve">Le nom du patient est identique sur tous les tubes et sur le formulaire de demande. </w:t>
      </w:r>
    </w:p>
    <w:p w:rsidR="005C4BBA" w:rsidRDefault="008E7637" w:rsidP="002D3A35">
      <w:pPr>
        <w:numPr>
          <w:ilvl w:val="0"/>
          <w:numId w:val="11"/>
        </w:numPr>
        <w:tabs>
          <w:tab w:val="clear" w:pos="720"/>
          <w:tab w:val="num" w:pos="2552"/>
        </w:tabs>
        <w:ind w:left="2552" w:hanging="425"/>
        <w:rPr>
          <w:rFonts w:ascii="Arial" w:hAnsi="Arial"/>
          <w:sz w:val="24"/>
          <w:lang w:val="fr-CA"/>
        </w:rPr>
      </w:pPr>
      <w:r w:rsidRPr="005C4BBA">
        <w:rPr>
          <w:rFonts w:ascii="Arial" w:hAnsi="Arial"/>
          <w:sz w:val="24"/>
          <w:lang w:val="fr-CA"/>
        </w:rPr>
        <w:t xml:space="preserve">Les </w:t>
      </w:r>
      <w:r w:rsidR="005C4BBA" w:rsidRPr="005C4BBA">
        <w:rPr>
          <w:rFonts w:ascii="Arial" w:hAnsi="Arial"/>
          <w:sz w:val="24"/>
          <w:lang w:val="fr-CA"/>
        </w:rPr>
        <w:t xml:space="preserve">numéros d’unités de donneur sont identiques sur les s les tubes et sur le formulaire de demande. </w:t>
      </w:r>
    </w:p>
    <w:p w:rsidR="002D3A35" w:rsidRDefault="002D3A35" w:rsidP="002D3A35">
      <w:pPr>
        <w:ind w:left="2552"/>
        <w:rPr>
          <w:rFonts w:ascii="Arial" w:hAnsi="Arial"/>
          <w:sz w:val="24"/>
          <w:lang w:val="fr-CA"/>
        </w:rPr>
      </w:pPr>
    </w:p>
    <w:p w:rsidR="002D3A35" w:rsidRDefault="002D3A35">
      <w:pPr>
        <w:numPr>
          <w:ilvl w:val="1"/>
          <w:numId w:val="1"/>
        </w:numPr>
        <w:rPr>
          <w:rFonts w:ascii="Arial" w:hAnsi="Arial"/>
          <w:sz w:val="24"/>
          <w:lang w:val="fr-CA"/>
        </w:rPr>
      </w:pPr>
      <w:r>
        <w:rPr>
          <w:rFonts w:ascii="Arial" w:hAnsi="Arial"/>
          <w:sz w:val="24"/>
          <w:lang w:val="fr-CA"/>
        </w:rPr>
        <w:t>Conclusion de la procédure</w:t>
      </w:r>
    </w:p>
    <w:p w:rsidR="002D3A35" w:rsidRPr="00364EDD" w:rsidRDefault="002D3A35" w:rsidP="002D3A35">
      <w:pPr>
        <w:numPr>
          <w:ilvl w:val="2"/>
          <w:numId w:val="1"/>
        </w:numPr>
        <w:rPr>
          <w:rFonts w:ascii="Arial" w:hAnsi="Arial"/>
          <w:sz w:val="24"/>
          <w:lang w:val="fr-CA"/>
        </w:rPr>
      </w:pPr>
      <w:r w:rsidRPr="00364EDD">
        <w:rPr>
          <w:rFonts w:ascii="Arial" w:hAnsi="Arial"/>
          <w:sz w:val="24"/>
          <w:lang w:val="fr-CA"/>
        </w:rPr>
        <w:t>Mettre ses initiales ou signer et inscrire l</w:t>
      </w:r>
      <w:r>
        <w:rPr>
          <w:rFonts w:ascii="Arial" w:hAnsi="Arial"/>
          <w:sz w:val="24"/>
          <w:lang w:val="fr-CA"/>
        </w:rPr>
        <w:t>’</w:t>
      </w:r>
      <w:r w:rsidRPr="00364EDD">
        <w:rPr>
          <w:rFonts w:ascii="Arial" w:hAnsi="Arial"/>
          <w:sz w:val="24"/>
          <w:lang w:val="fr-CA"/>
        </w:rPr>
        <w:t>heure et la date de la conclusion de l</w:t>
      </w:r>
      <w:r>
        <w:rPr>
          <w:rFonts w:ascii="Arial" w:hAnsi="Arial"/>
          <w:sz w:val="24"/>
          <w:lang w:val="fr-CA"/>
        </w:rPr>
        <w:t>’</w:t>
      </w:r>
      <w:r w:rsidRPr="00364EDD">
        <w:rPr>
          <w:rFonts w:ascii="Arial" w:hAnsi="Arial"/>
          <w:sz w:val="24"/>
          <w:lang w:val="fr-CA"/>
        </w:rPr>
        <w:t>épreuve sur le formulaire de demande ou à l</w:t>
      </w:r>
      <w:r>
        <w:rPr>
          <w:rFonts w:ascii="Arial" w:hAnsi="Arial"/>
          <w:sz w:val="24"/>
          <w:lang w:val="fr-CA"/>
        </w:rPr>
        <w:t>’</w:t>
      </w:r>
      <w:r w:rsidRPr="00364EDD">
        <w:rPr>
          <w:rFonts w:ascii="Arial" w:hAnsi="Arial"/>
          <w:sz w:val="24"/>
          <w:lang w:val="fr-CA"/>
        </w:rPr>
        <w:t>ordinateur.</w:t>
      </w:r>
    </w:p>
    <w:p w:rsidR="002D3A35" w:rsidRDefault="002D3A35" w:rsidP="002D3A35">
      <w:pPr>
        <w:numPr>
          <w:ilvl w:val="2"/>
          <w:numId w:val="1"/>
        </w:numPr>
        <w:rPr>
          <w:rFonts w:ascii="Arial" w:hAnsi="Arial"/>
          <w:sz w:val="24"/>
          <w:lang w:val="fr-CA"/>
        </w:rPr>
      </w:pPr>
      <w:r w:rsidRPr="00364EDD">
        <w:rPr>
          <w:rFonts w:ascii="Arial" w:hAnsi="Arial"/>
          <w:sz w:val="24"/>
          <w:lang w:val="fr-CA"/>
        </w:rPr>
        <w:t>Noter que les résultats ont été vérifiés. Voir 7.0 Documentation.</w:t>
      </w:r>
    </w:p>
    <w:p w:rsidR="002D3A35" w:rsidRPr="00364EDD" w:rsidRDefault="002D3A35" w:rsidP="002D3A35">
      <w:pPr>
        <w:ind w:left="2160"/>
        <w:rPr>
          <w:rFonts w:ascii="Arial" w:hAnsi="Arial"/>
          <w:sz w:val="24"/>
          <w:lang w:val="fr-CA"/>
        </w:rPr>
      </w:pPr>
    </w:p>
    <w:p w:rsidR="008E7637" w:rsidRDefault="006F2C59">
      <w:pPr>
        <w:numPr>
          <w:ilvl w:val="0"/>
          <w:numId w:val="1"/>
        </w:numPr>
        <w:rPr>
          <w:rFonts w:ascii="Arial" w:hAnsi="Arial"/>
          <w:b/>
          <w:sz w:val="28"/>
          <w:lang w:val="fr-CA"/>
        </w:rPr>
      </w:pPr>
      <w:r>
        <w:rPr>
          <w:rFonts w:ascii="Arial" w:hAnsi="Arial"/>
          <w:b/>
          <w:sz w:val="28"/>
          <w:lang w:val="fr-CA"/>
        </w:rPr>
        <w:t>Documentation</w:t>
      </w:r>
    </w:p>
    <w:p w:rsidR="008E7637" w:rsidRDefault="008E7637">
      <w:pPr>
        <w:rPr>
          <w:rFonts w:ascii="Arial" w:hAnsi="Arial"/>
          <w:sz w:val="24"/>
          <w:lang w:val="fr-CA"/>
        </w:rPr>
      </w:pPr>
    </w:p>
    <w:p w:rsidR="008E7637" w:rsidRDefault="008E7637">
      <w:pPr>
        <w:numPr>
          <w:ilvl w:val="1"/>
          <w:numId w:val="1"/>
        </w:numPr>
        <w:rPr>
          <w:rFonts w:ascii="Arial" w:hAnsi="Arial"/>
          <w:sz w:val="24"/>
          <w:lang w:val="fr-CA"/>
        </w:rPr>
      </w:pPr>
      <w:r>
        <w:rPr>
          <w:rFonts w:ascii="Arial" w:hAnsi="Arial"/>
          <w:sz w:val="24"/>
          <w:lang w:val="fr-CA"/>
        </w:rPr>
        <w:t>L'absence d'agglutination ou d'hémolyse</w:t>
      </w:r>
      <w:r w:rsidR="005C6FBD">
        <w:rPr>
          <w:rFonts w:ascii="Arial" w:hAnsi="Arial"/>
          <w:sz w:val="24"/>
          <w:lang w:val="fr-CA"/>
        </w:rPr>
        <w:t xml:space="preserve"> </w:t>
      </w:r>
      <w:r>
        <w:rPr>
          <w:rFonts w:ascii="Arial" w:hAnsi="Arial"/>
          <w:sz w:val="24"/>
          <w:lang w:val="fr-CA"/>
        </w:rPr>
        <w:t>des globules rouges indique qu'il n'y avait pas d'anticorps irréguliers ou qu'ils n'étaient pas décelables.</w:t>
      </w:r>
      <w:r w:rsidR="005C6FBD">
        <w:rPr>
          <w:rFonts w:ascii="Arial" w:hAnsi="Arial"/>
          <w:sz w:val="24"/>
          <w:lang w:val="fr-CA"/>
        </w:rPr>
        <w:t xml:space="preserve"> </w:t>
      </w:r>
      <w:r>
        <w:rPr>
          <w:rFonts w:ascii="Arial" w:hAnsi="Arial"/>
          <w:sz w:val="24"/>
          <w:lang w:val="fr-CA"/>
        </w:rPr>
        <w:t>Inscrire que le dépistage d’anticorps est négatif.</w:t>
      </w:r>
      <w:r w:rsidR="005C6FBD">
        <w:rPr>
          <w:rFonts w:ascii="Arial" w:hAnsi="Arial"/>
          <w:sz w:val="24"/>
          <w:lang w:val="fr-CA"/>
        </w:rPr>
        <w:t xml:space="preserve">  </w:t>
      </w:r>
    </w:p>
    <w:p w:rsidR="008E7637" w:rsidRDefault="008E7637">
      <w:pPr>
        <w:ind w:left="720"/>
        <w:rPr>
          <w:rFonts w:ascii="Arial" w:hAnsi="Arial"/>
          <w:sz w:val="24"/>
          <w:lang w:val="fr-CA"/>
        </w:rPr>
      </w:pPr>
    </w:p>
    <w:p w:rsidR="008E7637" w:rsidRDefault="008E7637">
      <w:pPr>
        <w:numPr>
          <w:ilvl w:val="1"/>
          <w:numId w:val="1"/>
        </w:numPr>
        <w:rPr>
          <w:rFonts w:ascii="Arial" w:hAnsi="Arial"/>
          <w:sz w:val="24"/>
          <w:lang w:val="fr-CA"/>
        </w:rPr>
      </w:pPr>
      <w:r>
        <w:rPr>
          <w:rFonts w:ascii="Arial" w:hAnsi="Arial"/>
          <w:sz w:val="24"/>
          <w:lang w:val="fr-CA"/>
        </w:rPr>
        <w:t>L’agglutination ou l’hémolyse indique la présence d’anticorps immuns.</w:t>
      </w:r>
      <w:r w:rsidR="005C6FBD">
        <w:rPr>
          <w:rFonts w:ascii="Arial" w:hAnsi="Arial"/>
          <w:sz w:val="24"/>
          <w:lang w:val="fr-CA"/>
        </w:rPr>
        <w:t xml:space="preserve"> </w:t>
      </w:r>
      <w:r>
        <w:rPr>
          <w:rFonts w:ascii="Arial" w:hAnsi="Arial"/>
          <w:sz w:val="24"/>
          <w:lang w:val="fr-CA"/>
        </w:rPr>
        <w:t xml:space="preserve">Inscrire </w:t>
      </w:r>
      <w:r w:rsidR="006F2C59">
        <w:rPr>
          <w:rFonts w:ascii="Arial" w:hAnsi="Arial"/>
          <w:sz w:val="24"/>
          <w:lang w:val="fr-CA"/>
        </w:rPr>
        <w:t>le résultat du</w:t>
      </w:r>
      <w:r>
        <w:rPr>
          <w:rFonts w:ascii="Arial" w:hAnsi="Arial"/>
          <w:sz w:val="24"/>
          <w:lang w:val="fr-CA"/>
        </w:rPr>
        <w:t xml:space="preserve"> dépistage d’anticorps</w:t>
      </w:r>
      <w:r w:rsidR="006F2C59">
        <w:rPr>
          <w:rFonts w:ascii="Arial" w:hAnsi="Arial"/>
          <w:sz w:val="24"/>
          <w:lang w:val="fr-CA"/>
        </w:rPr>
        <w:t> : Présence d’__________</w:t>
      </w:r>
      <w:r>
        <w:rPr>
          <w:rFonts w:ascii="Arial" w:hAnsi="Arial"/>
          <w:sz w:val="24"/>
          <w:lang w:val="fr-CA"/>
        </w:rPr>
        <w:t xml:space="preserve"> (anti -A et</w:t>
      </w:r>
      <w:r w:rsidR="005C6FBD">
        <w:rPr>
          <w:rFonts w:ascii="Arial" w:hAnsi="Arial"/>
          <w:sz w:val="24"/>
          <w:lang w:val="fr-CA"/>
        </w:rPr>
        <w:t xml:space="preserve"> </w:t>
      </w:r>
      <w:r>
        <w:rPr>
          <w:rFonts w:ascii="Arial" w:hAnsi="Arial"/>
          <w:sz w:val="24"/>
          <w:lang w:val="fr-CA"/>
        </w:rPr>
        <w:t>/</w:t>
      </w:r>
      <w:r w:rsidR="005C6FBD">
        <w:rPr>
          <w:rFonts w:ascii="Arial" w:hAnsi="Arial"/>
          <w:sz w:val="24"/>
          <w:lang w:val="fr-CA"/>
        </w:rPr>
        <w:t xml:space="preserve"> </w:t>
      </w:r>
      <w:r>
        <w:rPr>
          <w:rFonts w:ascii="Arial" w:hAnsi="Arial"/>
          <w:sz w:val="24"/>
          <w:lang w:val="fr-CA"/>
        </w:rPr>
        <w:t xml:space="preserve">ou -B) </w:t>
      </w:r>
      <w:r w:rsidR="006F2C59">
        <w:rPr>
          <w:rFonts w:ascii="Arial" w:hAnsi="Arial"/>
          <w:sz w:val="24"/>
          <w:lang w:val="fr-CA"/>
        </w:rPr>
        <w:t>immuns</w:t>
      </w:r>
      <w:r>
        <w:rPr>
          <w:rFonts w:ascii="Arial" w:hAnsi="Arial"/>
          <w:sz w:val="24"/>
          <w:lang w:val="fr-CA"/>
        </w:rPr>
        <w:t xml:space="preserve">. </w:t>
      </w:r>
    </w:p>
    <w:p w:rsidR="008E7637" w:rsidRDefault="008E7637">
      <w:pPr>
        <w:rPr>
          <w:rFonts w:ascii="Arial" w:hAnsi="Arial"/>
          <w:sz w:val="24"/>
          <w:lang w:val="fr-CA"/>
        </w:rPr>
      </w:pPr>
    </w:p>
    <w:p w:rsidR="008E7637" w:rsidRDefault="008E7637">
      <w:pPr>
        <w:numPr>
          <w:ilvl w:val="1"/>
          <w:numId w:val="1"/>
        </w:numPr>
        <w:rPr>
          <w:rFonts w:ascii="Arial" w:hAnsi="Arial"/>
          <w:sz w:val="24"/>
          <w:lang w:val="fr-CA"/>
        </w:rPr>
      </w:pPr>
      <w:r>
        <w:rPr>
          <w:rFonts w:ascii="Arial" w:hAnsi="Arial"/>
          <w:sz w:val="24"/>
          <w:lang w:val="fr-CA"/>
        </w:rPr>
        <w:t xml:space="preserve">Si </w:t>
      </w:r>
      <w:r w:rsidR="006F2C59">
        <w:rPr>
          <w:rFonts w:ascii="Arial" w:hAnsi="Arial"/>
          <w:sz w:val="24"/>
          <w:lang w:val="fr-CA"/>
        </w:rPr>
        <w:t>on obtient un résultat positif avec les</w:t>
      </w:r>
      <w:r>
        <w:rPr>
          <w:rFonts w:ascii="Arial" w:hAnsi="Arial"/>
          <w:sz w:val="24"/>
          <w:lang w:val="fr-CA"/>
        </w:rPr>
        <w:t xml:space="preserve"> cellules du groupe O, amorcer une recherche d’anticorps. Voir EC.007- Identification d’anticorps réactifs chauds</w:t>
      </w:r>
    </w:p>
    <w:p w:rsidR="008E7637" w:rsidRDefault="008E7637">
      <w:pPr>
        <w:ind w:left="720"/>
        <w:rPr>
          <w:rFonts w:ascii="Arial" w:hAnsi="Arial"/>
          <w:sz w:val="24"/>
          <w:lang w:val="fr-CA"/>
        </w:rPr>
      </w:pPr>
    </w:p>
    <w:p w:rsidR="008E7637" w:rsidRDefault="008E7637">
      <w:pPr>
        <w:numPr>
          <w:ilvl w:val="0"/>
          <w:numId w:val="1"/>
        </w:numPr>
        <w:rPr>
          <w:rFonts w:ascii="Arial" w:hAnsi="Arial"/>
          <w:b/>
          <w:sz w:val="28"/>
          <w:lang w:val="fr-CA"/>
        </w:rPr>
      </w:pPr>
      <w:r>
        <w:rPr>
          <w:rFonts w:ascii="Arial" w:hAnsi="Arial"/>
          <w:b/>
          <w:sz w:val="28"/>
          <w:lang w:val="fr-CA"/>
        </w:rPr>
        <w:t>Remarques</w:t>
      </w:r>
    </w:p>
    <w:p w:rsidR="008E7637" w:rsidRDefault="008E7637">
      <w:pPr>
        <w:rPr>
          <w:rFonts w:ascii="Arial" w:hAnsi="Arial"/>
          <w:sz w:val="24"/>
          <w:lang w:val="fr-CA"/>
        </w:rPr>
      </w:pPr>
    </w:p>
    <w:p w:rsidR="008E7637" w:rsidRDefault="008E7637">
      <w:pPr>
        <w:numPr>
          <w:ilvl w:val="1"/>
          <w:numId w:val="1"/>
        </w:numPr>
        <w:rPr>
          <w:rFonts w:ascii="Arial" w:hAnsi="Arial"/>
          <w:color w:val="000000"/>
          <w:sz w:val="24"/>
          <w:lang w:val="fr-CA"/>
        </w:rPr>
      </w:pPr>
      <w:r>
        <w:rPr>
          <w:rFonts w:ascii="Arial" w:hAnsi="Arial"/>
          <w:color w:val="000000"/>
          <w:sz w:val="24"/>
          <w:lang w:val="fr-CA"/>
        </w:rPr>
        <w:t xml:space="preserve">Inscrire les trois premières lettres du nom de famille du patient sur le tube; copier ces </w:t>
      </w:r>
      <w:r w:rsidRPr="00A8203E">
        <w:rPr>
          <w:rFonts w:ascii="Arial" w:hAnsi="Arial"/>
          <w:color w:val="000000"/>
          <w:sz w:val="24"/>
          <w:lang w:val="fr-CA"/>
        </w:rPr>
        <w:t>renseignements à partir de l'échantillon</w:t>
      </w:r>
      <w:r>
        <w:rPr>
          <w:rFonts w:ascii="Arial" w:hAnsi="Arial"/>
          <w:color w:val="000000"/>
          <w:sz w:val="24"/>
          <w:lang w:val="fr-CA"/>
        </w:rPr>
        <w:t xml:space="preserve"> et non du formulaire de demande.</w:t>
      </w:r>
      <w:r w:rsidR="005C6FBD">
        <w:rPr>
          <w:rFonts w:ascii="Arial" w:hAnsi="Arial"/>
          <w:color w:val="000000"/>
          <w:sz w:val="24"/>
          <w:lang w:val="fr-CA"/>
        </w:rPr>
        <w:t xml:space="preserve"> </w:t>
      </w:r>
      <w:r>
        <w:rPr>
          <w:rFonts w:ascii="Arial" w:hAnsi="Arial"/>
          <w:color w:val="000000"/>
          <w:sz w:val="24"/>
          <w:lang w:val="fr-CA"/>
        </w:rPr>
        <w:t>On peut utiliser une étiquette pré-imprimée</w:t>
      </w:r>
      <w:r w:rsidR="00EC13AB">
        <w:rPr>
          <w:rFonts w:ascii="Arial" w:hAnsi="Arial"/>
          <w:color w:val="000000"/>
          <w:sz w:val="24"/>
          <w:lang w:val="fr-CA"/>
        </w:rPr>
        <w:t>.</w:t>
      </w:r>
    </w:p>
    <w:p w:rsidR="008E7637" w:rsidRDefault="008E7637">
      <w:pPr>
        <w:rPr>
          <w:rFonts w:ascii="Arial" w:hAnsi="Arial"/>
          <w:sz w:val="24"/>
          <w:lang w:val="fr-CA"/>
        </w:rPr>
      </w:pPr>
    </w:p>
    <w:p w:rsidR="008E7637" w:rsidRDefault="008E7637">
      <w:pPr>
        <w:numPr>
          <w:ilvl w:val="1"/>
          <w:numId w:val="1"/>
        </w:numPr>
        <w:rPr>
          <w:rFonts w:ascii="Arial" w:hAnsi="Arial"/>
          <w:sz w:val="24"/>
          <w:lang w:val="fr-CA"/>
        </w:rPr>
      </w:pPr>
      <w:r>
        <w:rPr>
          <w:rFonts w:ascii="Arial" w:hAnsi="Arial"/>
          <w:color w:val="000000"/>
          <w:sz w:val="24"/>
          <w:lang w:val="fr-CA"/>
        </w:rPr>
        <w:t>Tenir la pipette ou le compte-</w:t>
      </w:r>
      <w:r w:rsidRPr="00A8203E">
        <w:rPr>
          <w:rFonts w:ascii="Arial" w:hAnsi="Arial"/>
          <w:color w:val="000000"/>
          <w:sz w:val="24"/>
          <w:lang w:val="fr-CA"/>
        </w:rPr>
        <w:t>gouttes à la verticale</w:t>
      </w:r>
      <w:r>
        <w:rPr>
          <w:rFonts w:ascii="Arial" w:hAnsi="Arial"/>
          <w:color w:val="000000"/>
          <w:sz w:val="24"/>
          <w:lang w:val="fr-CA"/>
        </w:rPr>
        <w:t xml:space="preserve"> lors de l'ajout de plasma ou de réactif</w:t>
      </w:r>
      <w:r>
        <w:rPr>
          <w:rFonts w:ascii="Arial" w:hAnsi="Arial"/>
          <w:sz w:val="24"/>
          <w:lang w:val="fr-CA"/>
        </w:rPr>
        <w:t>.</w:t>
      </w:r>
    </w:p>
    <w:p w:rsidR="008E7637" w:rsidRDefault="008E7637">
      <w:pPr>
        <w:ind w:left="720"/>
        <w:rPr>
          <w:rFonts w:ascii="Arial" w:hAnsi="Arial"/>
          <w:sz w:val="24"/>
          <w:lang w:val="fr-CA"/>
        </w:rPr>
      </w:pPr>
    </w:p>
    <w:p w:rsidR="002D3A35" w:rsidRPr="002D3A35" w:rsidRDefault="008E7637">
      <w:pPr>
        <w:numPr>
          <w:ilvl w:val="1"/>
          <w:numId w:val="1"/>
        </w:numPr>
        <w:rPr>
          <w:rFonts w:ascii="Arial" w:hAnsi="Arial"/>
          <w:sz w:val="24"/>
          <w:lang w:val="fr-CA"/>
        </w:rPr>
      </w:pPr>
      <w:r>
        <w:rPr>
          <w:rFonts w:ascii="Arial" w:hAnsi="Arial"/>
          <w:color w:val="000000"/>
          <w:sz w:val="24"/>
          <w:lang w:val="fr-CA"/>
        </w:rPr>
        <w:t>Il faut lire les résultats immédiatement après la centrifugation.</w:t>
      </w:r>
      <w:r w:rsidR="005C6FBD">
        <w:rPr>
          <w:rFonts w:ascii="Arial" w:hAnsi="Arial"/>
          <w:color w:val="000000"/>
          <w:sz w:val="24"/>
          <w:lang w:val="fr-CA"/>
        </w:rPr>
        <w:t xml:space="preserve"> </w:t>
      </w:r>
      <w:r>
        <w:rPr>
          <w:rFonts w:ascii="Arial" w:hAnsi="Arial"/>
          <w:color w:val="000000"/>
          <w:sz w:val="24"/>
          <w:lang w:val="fr-CA"/>
        </w:rPr>
        <w:t>Tout retard pourrait permettre aux IgG de se dissocier des globules rouges; leur concentration serait alors trop faible pour qu’on puisse les déceler ou les IgG pourraient neutraliser la GAH et donner un</w:t>
      </w:r>
      <w:r w:rsidR="00AB566C">
        <w:rPr>
          <w:rFonts w:ascii="Arial" w:hAnsi="Arial"/>
          <w:color w:val="000000"/>
          <w:sz w:val="24"/>
          <w:lang w:val="fr-CA"/>
        </w:rPr>
        <w:t xml:space="preserve"> </w:t>
      </w:r>
      <w:r w:rsidRPr="00AB566C">
        <w:rPr>
          <w:rFonts w:ascii="Arial" w:hAnsi="Arial"/>
          <w:color w:val="000000"/>
          <w:sz w:val="24"/>
          <w:lang w:val="fr-CA"/>
        </w:rPr>
        <w:t>faux résultat</w:t>
      </w:r>
      <w:r w:rsidR="00FA4F30">
        <w:rPr>
          <w:rFonts w:ascii="Arial" w:hAnsi="Arial"/>
          <w:color w:val="000000"/>
          <w:sz w:val="24"/>
          <w:lang w:val="fr-CA"/>
        </w:rPr>
        <w:t> </w:t>
      </w:r>
      <w:r w:rsidRPr="00AB566C">
        <w:rPr>
          <w:rFonts w:ascii="Arial" w:hAnsi="Arial"/>
          <w:color w:val="000000"/>
          <w:sz w:val="24"/>
          <w:lang w:val="fr-CA"/>
        </w:rPr>
        <w:t>négatif</w:t>
      </w:r>
      <w:r w:rsidR="002D3A35">
        <w:rPr>
          <w:rFonts w:ascii="Arial" w:hAnsi="Arial"/>
          <w:color w:val="000000"/>
          <w:sz w:val="24"/>
          <w:vertAlign w:val="superscript"/>
          <w:lang w:val="fr-CA"/>
        </w:rPr>
        <w:t>9.2</w:t>
      </w:r>
      <w:r w:rsidRPr="00AB566C">
        <w:rPr>
          <w:rFonts w:ascii="Arial" w:hAnsi="Arial"/>
          <w:color w:val="000000"/>
          <w:sz w:val="24"/>
          <w:lang w:val="fr-CA"/>
        </w:rPr>
        <w:t>.</w:t>
      </w:r>
    </w:p>
    <w:p w:rsidR="002D3A35" w:rsidRPr="002D3A35" w:rsidRDefault="002D3A35" w:rsidP="002D3A35">
      <w:pPr>
        <w:ind w:left="1440"/>
        <w:rPr>
          <w:rFonts w:ascii="Arial" w:hAnsi="Arial"/>
          <w:sz w:val="24"/>
          <w:lang w:val="fr-CA"/>
        </w:rPr>
      </w:pPr>
    </w:p>
    <w:p w:rsidR="002D3A35" w:rsidRPr="002D3A35" w:rsidRDefault="008E7637" w:rsidP="002D3A35">
      <w:pPr>
        <w:numPr>
          <w:ilvl w:val="1"/>
          <w:numId w:val="1"/>
        </w:numPr>
        <w:rPr>
          <w:rFonts w:ascii="Arial" w:hAnsi="Arial"/>
          <w:sz w:val="24"/>
          <w:lang w:val="fr-CA"/>
        </w:rPr>
      </w:pPr>
      <w:r w:rsidRPr="00AB566C">
        <w:rPr>
          <w:rFonts w:ascii="Arial" w:hAnsi="Arial"/>
          <w:color w:val="000000"/>
          <w:sz w:val="24"/>
          <w:lang w:val="fr-CA"/>
        </w:rPr>
        <w:t xml:space="preserve"> </w:t>
      </w:r>
      <w:r w:rsidR="002D3A35">
        <w:rPr>
          <w:rFonts w:ascii="Arial" w:hAnsi="Arial"/>
          <w:color w:val="000000"/>
          <w:sz w:val="24"/>
          <w:lang w:val="fr-CA"/>
        </w:rPr>
        <w:t xml:space="preserve">Les temps d’incubation et les volumes et concentrations des globules rouges sont ceux qui figurent dans la documentation. Certains laboratoires peuvent opter pour des normes différentes. La sensibilité peut augmenter si on augmente le </w:t>
      </w:r>
      <w:r w:rsidR="002D3A35" w:rsidRPr="00DD5226">
        <w:rPr>
          <w:rFonts w:ascii="Arial" w:hAnsi="Arial"/>
          <w:color w:val="000000"/>
          <w:sz w:val="24"/>
          <w:lang w:val="fr-CA"/>
        </w:rPr>
        <w:t>ratio</w:t>
      </w:r>
      <w:r w:rsidR="002D3A35">
        <w:rPr>
          <w:rFonts w:ascii="Arial" w:hAnsi="Arial"/>
          <w:color w:val="000000"/>
          <w:sz w:val="24"/>
          <w:lang w:val="fr-CA"/>
        </w:rPr>
        <w:t>,</w:t>
      </w:r>
      <w:r w:rsidR="00CB7CEF">
        <w:rPr>
          <w:rFonts w:ascii="Arial" w:hAnsi="Arial"/>
          <w:color w:val="000000"/>
          <w:sz w:val="24"/>
          <w:lang w:val="fr-CA"/>
        </w:rPr>
        <w:t xml:space="preserve"> si on diminue la concentration de globules rouges de 5 % à entre 2 % et 34 % ou si on ajoute 4 gouttes de sérum ou plasma à 1 goutte de suspension de globules rouges</w:t>
      </w:r>
      <w:r w:rsidR="00FA4F30">
        <w:rPr>
          <w:rFonts w:ascii="Arial" w:hAnsi="Arial"/>
          <w:color w:val="000000"/>
          <w:sz w:val="24"/>
          <w:lang w:val="fr-CA"/>
        </w:rPr>
        <w:t> </w:t>
      </w:r>
      <w:r w:rsidR="00CB7CEF">
        <w:rPr>
          <w:rFonts w:ascii="Arial" w:hAnsi="Arial"/>
          <w:color w:val="000000"/>
          <w:sz w:val="24"/>
          <w:lang w:val="fr-CA"/>
        </w:rPr>
        <w:t>normalisée</w:t>
      </w:r>
      <w:r w:rsidR="00CB7CEF">
        <w:rPr>
          <w:rFonts w:ascii="Arial" w:hAnsi="Arial"/>
          <w:color w:val="000000"/>
          <w:sz w:val="24"/>
          <w:vertAlign w:val="superscript"/>
          <w:lang w:val="fr-CA"/>
        </w:rPr>
        <w:t>9.2</w:t>
      </w:r>
      <w:r w:rsidR="00CB7CEF">
        <w:rPr>
          <w:rFonts w:ascii="Arial" w:hAnsi="Arial"/>
          <w:color w:val="000000"/>
          <w:sz w:val="24"/>
          <w:lang w:val="fr-CA"/>
        </w:rPr>
        <w:t xml:space="preserve">. </w:t>
      </w:r>
    </w:p>
    <w:p w:rsidR="008E7637" w:rsidRPr="00AB566C" w:rsidRDefault="008E7637">
      <w:pPr>
        <w:ind w:left="720"/>
        <w:rPr>
          <w:rFonts w:ascii="Arial" w:hAnsi="Arial"/>
          <w:color w:val="000000"/>
          <w:sz w:val="24"/>
          <w:lang w:val="fr-CA"/>
        </w:rPr>
      </w:pPr>
    </w:p>
    <w:p w:rsidR="008E7637" w:rsidRPr="00AB566C" w:rsidRDefault="008E7637">
      <w:pPr>
        <w:numPr>
          <w:ilvl w:val="0"/>
          <w:numId w:val="1"/>
        </w:numPr>
        <w:rPr>
          <w:rFonts w:ascii="Arial" w:hAnsi="Arial"/>
          <w:b/>
          <w:sz w:val="28"/>
          <w:lang w:val="fr-CA"/>
        </w:rPr>
      </w:pPr>
      <w:r w:rsidRPr="00AB566C">
        <w:rPr>
          <w:rFonts w:ascii="Arial" w:hAnsi="Arial"/>
          <w:b/>
          <w:sz w:val="28"/>
          <w:lang w:val="fr-CA"/>
        </w:rPr>
        <w:t xml:space="preserve">Références </w:t>
      </w:r>
    </w:p>
    <w:p w:rsidR="00AB566C" w:rsidRPr="00DD5226" w:rsidRDefault="00A8203E" w:rsidP="00AB566C">
      <w:pPr>
        <w:numPr>
          <w:ilvl w:val="1"/>
          <w:numId w:val="1"/>
        </w:numPr>
        <w:rPr>
          <w:rFonts w:ascii="Arial" w:hAnsi="Arial"/>
          <w:sz w:val="24"/>
          <w:lang w:val="fr-CA"/>
        </w:rPr>
      </w:pPr>
      <w:r w:rsidRPr="00DD5226">
        <w:rPr>
          <w:rFonts w:ascii="Arial" w:hAnsi="Arial"/>
          <w:i/>
          <w:sz w:val="24"/>
          <w:lang w:val="fr-CA"/>
        </w:rPr>
        <w:t>Standards for Hospital Transfusion Services</w:t>
      </w:r>
      <w:r w:rsidRPr="00DD5226">
        <w:rPr>
          <w:rFonts w:ascii="Arial" w:hAnsi="Arial"/>
          <w:sz w:val="24"/>
          <w:lang w:val="fr-CA"/>
        </w:rPr>
        <w:t>, version</w:t>
      </w:r>
      <w:r w:rsidR="00FA4F30" w:rsidRPr="00DD5226">
        <w:rPr>
          <w:rFonts w:ascii="Arial" w:hAnsi="Arial"/>
          <w:sz w:val="24"/>
          <w:lang w:val="fr-CA"/>
        </w:rPr>
        <w:t> </w:t>
      </w:r>
      <w:r w:rsidR="00AB566C" w:rsidRPr="00DD5226">
        <w:rPr>
          <w:rFonts w:ascii="Arial" w:hAnsi="Arial"/>
          <w:sz w:val="24"/>
          <w:lang w:val="fr-CA"/>
        </w:rPr>
        <w:t>3</w:t>
      </w:r>
      <w:r w:rsidRPr="00DD5226">
        <w:rPr>
          <w:rFonts w:ascii="Arial" w:hAnsi="Arial"/>
          <w:sz w:val="24"/>
          <w:lang w:val="fr-CA"/>
        </w:rPr>
        <w:t xml:space="preserve"> </w:t>
      </w:r>
      <w:r w:rsidR="00AB566C" w:rsidRPr="00DD5226">
        <w:rPr>
          <w:rFonts w:ascii="Arial" w:hAnsi="Arial"/>
          <w:sz w:val="24"/>
          <w:lang w:val="fr-CA"/>
        </w:rPr>
        <w:t xml:space="preserve">(février 2011). </w:t>
      </w:r>
      <w:r w:rsidRPr="00DD5226">
        <w:rPr>
          <w:rFonts w:ascii="Arial" w:hAnsi="Arial"/>
          <w:sz w:val="24"/>
          <w:lang w:val="fr-CA"/>
        </w:rPr>
        <w:t xml:space="preserve">Société </w:t>
      </w:r>
      <w:r w:rsidRPr="00AB566C">
        <w:rPr>
          <w:rFonts w:ascii="Arial" w:hAnsi="Arial"/>
          <w:sz w:val="24"/>
          <w:lang w:val="fr-CA"/>
        </w:rPr>
        <w:t>canadienne de médecine transfusionnelle</w:t>
      </w:r>
      <w:r w:rsidR="00AB566C" w:rsidRPr="00AB566C">
        <w:rPr>
          <w:rFonts w:ascii="Arial" w:hAnsi="Arial"/>
          <w:sz w:val="24"/>
          <w:lang w:val="fr-CA"/>
        </w:rPr>
        <w:t xml:space="preserve">; </w:t>
      </w:r>
      <w:r w:rsidR="00AB566C" w:rsidRPr="00DD5226">
        <w:rPr>
          <w:rFonts w:ascii="Arial" w:hAnsi="Arial"/>
          <w:sz w:val="24"/>
          <w:lang w:val="fr-CA"/>
        </w:rPr>
        <w:t>5.3.5.3, 5.3.5.4, 5.9.2.4.</w:t>
      </w:r>
    </w:p>
    <w:p w:rsidR="00AB566C" w:rsidRPr="00AB566C" w:rsidRDefault="00AB566C" w:rsidP="00AB566C">
      <w:pPr>
        <w:numPr>
          <w:ilvl w:val="1"/>
          <w:numId w:val="1"/>
        </w:numPr>
        <w:rPr>
          <w:rFonts w:ascii="Arial" w:hAnsi="Arial"/>
          <w:sz w:val="24"/>
        </w:rPr>
      </w:pPr>
      <w:r w:rsidRPr="00AB566C">
        <w:rPr>
          <w:rFonts w:ascii="Arial" w:hAnsi="Arial"/>
          <w:sz w:val="24"/>
        </w:rPr>
        <w:t xml:space="preserve">Roback JD, éd.  </w:t>
      </w:r>
      <w:r w:rsidRPr="00AB566C">
        <w:rPr>
          <w:rFonts w:ascii="Arial" w:hAnsi="Arial"/>
          <w:i/>
          <w:sz w:val="24"/>
        </w:rPr>
        <w:t>AABB Technical Manual</w:t>
      </w:r>
      <w:r w:rsidRPr="00AB566C">
        <w:rPr>
          <w:rFonts w:ascii="Arial" w:hAnsi="Arial"/>
          <w:sz w:val="24"/>
        </w:rPr>
        <w:t xml:space="preserve"> 17</w:t>
      </w:r>
      <w:r w:rsidRPr="00AB566C">
        <w:rPr>
          <w:rFonts w:ascii="Arial" w:hAnsi="Arial"/>
          <w:sz w:val="24"/>
          <w:vertAlign w:val="superscript"/>
        </w:rPr>
        <w:t>e</w:t>
      </w:r>
      <w:r w:rsidRPr="00AB566C">
        <w:rPr>
          <w:rFonts w:ascii="Arial" w:hAnsi="Arial"/>
          <w:sz w:val="24"/>
        </w:rPr>
        <w:t xml:space="preserve"> éd. Bethesda</w:t>
      </w:r>
      <w:r w:rsidR="00FA4F30">
        <w:rPr>
          <w:rFonts w:ascii="Arial" w:hAnsi="Arial"/>
          <w:sz w:val="24"/>
        </w:rPr>
        <w:t> </w:t>
      </w:r>
      <w:r w:rsidRPr="00AB566C">
        <w:rPr>
          <w:rFonts w:ascii="Arial" w:hAnsi="Arial"/>
          <w:sz w:val="24"/>
        </w:rPr>
        <w:t>MD; AABB (2011); p.</w:t>
      </w:r>
      <w:r w:rsidR="00FA4F30">
        <w:rPr>
          <w:rFonts w:ascii="Arial" w:hAnsi="Arial"/>
          <w:sz w:val="24"/>
        </w:rPr>
        <w:t> </w:t>
      </w:r>
      <w:r w:rsidRPr="00AB566C">
        <w:rPr>
          <w:rFonts w:ascii="Arial" w:hAnsi="Arial"/>
          <w:sz w:val="24"/>
        </w:rPr>
        <w:t>443-446.</w:t>
      </w:r>
    </w:p>
    <w:p w:rsidR="001F2460" w:rsidRPr="00AB566C" w:rsidRDefault="001F2460" w:rsidP="00AB566C">
      <w:pPr>
        <w:ind w:left="1440"/>
        <w:rPr>
          <w:rFonts w:ascii="Arial" w:hAnsi="Arial"/>
          <w:lang w:val="fr-CA"/>
        </w:rPr>
      </w:pPr>
    </w:p>
    <w:p w:rsidR="001F2460" w:rsidRPr="00AB566C" w:rsidRDefault="001F2460" w:rsidP="001F2460">
      <w:pPr>
        <w:numPr>
          <w:ilvl w:val="0"/>
          <w:numId w:val="6"/>
        </w:numPr>
        <w:spacing w:line="228" w:lineRule="auto"/>
        <w:rPr>
          <w:rFonts w:ascii="Arial" w:hAnsi="Arial"/>
          <w:b/>
          <w:sz w:val="28"/>
          <w:szCs w:val="28"/>
          <w:lang w:val="fr-CA"/>
        </w:rPr>
      </w:pPr>
      <w:r w:rsidRPr="00AB566C">
        <w:rPr>
          <w:rFonts w:ascii="Arial" w:hAnsi="Arial"/>
          <w:b/>
          <w:sz w:val="28"/>
          <w:szCs w:val="28"/>
          <w:lang w:val="fr-CA"/>
        </w:rPr>
        <w:t>Suivi des révisions</w:t>
      </w:r>
    </w:p>
    <w:p w:rsidR="001F2460" w:rsidRPr="006E0D74" w:rsidRDefault="001F2460" w:rsidP="001F2460">
      <w:pPr>
        <w:spacing w:line="228" w:lineRule="auto"/>
        <w:rPr>
          <w:rFonts w:ascii="Arial" w:hAnsi="Arial"/>
          <w:b/>
          <w:sz w:val="16"/>
          <w:szCs w:val="16"/>
          <w:lang w:val="fr-C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1F2460" w:rsidRPr="006E0D74" w:rsidTr="001F2460">
        <w:tc>
          <w:tcPr>
            <w:tcW w:w="2518" w:type="dxa"/>
            <w:shd w:val="clear" w:color="auto" w:fill="D9D9D9"/>
          </w:tcPr>
          <w:p w:rsidR="001F2460" w:rsidRPr="006E0D74" w:rsidRDefault="001F2460" w:rsidP="00CE173B">
            <w:pPr>
              <w:jc w:val="center"/>
              <w:rPr>
                <w:rFonts w:ascii="Arial" w:hAnsi="Arial" w:cs="Arial"/>
                <w:b/>
                <w:sz w:val="22"/>
                <w:szCs w:val="22"/>
                <w:lang w:val="fr-CA"/>
              </w:rPr>
            </w:pPr>
            <w:r w:rsidRPr="006E0D74">
              <w:rPr>
                <w:rFonts w:ascii="Arial" w:hAnsi="Arial" w:cs="Arial"/>
                <w:b/>
                <w:sz w:val="22"/>
                <w:szCs w:val="22"/>
                <w:lang w:val="fr-CA"/>
              </w:rPr>
              <w:t>Date de la révision</w:t>
            </w:r>
          </w:p>
        </w:tc>
        <w:tc>
          <w:tcPr>
            <w:tcW w:w="6662" w:type="dxa"/>
            <w:shd w:val="clear" w:color="auto" w:fill="D9D9D9"/>
          </w:tcPr>
          <w:p w:rsidR="001F2460" w:rsidRPr="006E0D74" w:rsidRDefault="001F2460" w:rsidP="00CE173B">
            <w:pPr>
              <w:jc w:val="center"/>
              <w:rPr>
                <w:rFonts w:ascii="Arial" w:hAnsi="Arial" w:cs="Arial"/>
                <w:b/>
                <w:sz w:val="22"/>
                <w:szCs w:val="22"/>
                <w:lang w:val="fr-CA"/>
              </w:rPr>
            </w:pPr>
            <w:r w:rsidRPr="006E0D74">
              <w:rPr>
                <w:rFonts w:ascii="Arial" w:hAnsi="Arial" w:cs="Arial"/>
                <w:b/>
                <w:sz w:val="22"/>
                <w:szCs w:val="22"/>
                <w:lang w:val="fr-CA"/>
              </w:rPr>
              <w:t>Résumé des changements</w:t>
            </w:r>
          </w:p>
        </w:tc>
      </w:tr>
      <w:tr w:rsidR="001F2460" w:rsidRPr="006E0D74" w:rsidTr="001F2460">
        <w:tc>
          <w:tcPr>
            <w:tcW w:w="2518" w:type="dxa"/>
          </w:tcPr>
          <w:p w:rsidR="001F2460" w:rsidRPr="006E0D74" w:rsidRDefault="001F2460" w:rsidP="00CE173B">
            <w:pPr>
              <w:spacing w:line="228" w:lineRule="auto"/>
              <w:rPr>
                <w:rFonts w:ascii="Arial" w:hAnsi="Arial"/>
                <w:sz w:val="22"/>
                <w:szCs w:val="22"/>
                <w:lang w:val="fr-CA"/>
              </w:rPr>
            </w:pPr>
            <w:r w:rsidRPr="006E0D74">
              <w:rPr>
                <w:rFonts w:ascii="Arial" w:hAnsi="Arial"/>
                <w:sz w:val="22"/>
                <w:szCs w:val="22"/>
                <w:lang w:val="fr-CA"/>
              </w:rPr>
              <w:t>31 janvier 2014</w:t>
            </w:r>
          </w:p>
        </w:tc>
        <w:tc>
          <w:tcPr>
            <w:tcW w:w="6662" w:type="dxa"/>
          </w:tcPr>
          <w:p w:rsidR="001F2460" w:rsidRPr="001F2460" w:rsidRDefault="001F2460" w:rsidP="001F2460">
            <w:pPr>
              <w:numPr>
                <w:ilvl w:val="0"/>
                <w:numId w:val="9"/>
              </w:numPr>
              <w:rPr>
                <w:rFonts w:ascii="Arial" w:hAnsi="Arial"/>
                <w:sz w:val="22"/>
                <w:szCs w:val="22"/>
                <w:lang w:val="fr-CA"/>
              </w:rPr>
            </w:pPr>
            <w:r w:rsidRPr="001F2460">
              <w:rPr>
                <w:rFonts w:ascii="Arial" w:hAnsi="Arial"/>
                <w:sz w:val="22"/>
                <w:szCs w:val="22"/>
                <w:lang w:val="fr-CA"/>
              </w:rPr>
              <w:t>Changement du nom du manuel</w:t>
            </w:r>
          </w:p>
          <w:p w:rsidR="001F2460" w:rsidRPr="001F2460" w:rsidRDefault="001F2460" w:rsidP="001F2460">
            <w:pPr>
              <w:numPr>
                <w:ilvl w:val="0"/>
                <w:numId w:val="9"/>
              </w:numPr>
              <w:rPr>
                <w:rFonts w:ascii="Arial" w:hAnsi="Arial"/>
                <w:sz w:val="22"/>
                <w:szCs w:val="22"/>
                <w:lang w:val="fr-CA"/>
              </w:rPr>
            </w:pPr>
            <w:r w:rsidRPr="001F2460">
              <w:rPr>
                <w:rFonts w:ascii="Arial" w:hAnsi="Arial"/>
                <w:sz w:val="22"/>
                <w:szCs w:val="22"/>
                <w:lang w:val="fr-CA"/>
              </w:rPr>
              <w:t>Modification du numéro du document anciennement AR</w:t>
            </w:r>
            <w:r>
              <w:rPr>
                <w:rFonts w:ascii="Arial" w:hAnsi="Arial"/>
                <w:sz w:val="22"/>
                <w:szCs w:val="22"/>
                <w:lang w:val="fr-CA"/>
              </w:rPr>
              <w:t>.</w:t>
            </w:r>
            <w:r w:rsidRPr="001F2460">
              <w:rPr>
                <w:rFonts w:ascii="Arial" w:hAnsi="Arial"/>
                <w:sz w:val="22"/>
                <w:szCs w:val="22"/>
                <w:lang w:val="fr-CA"/>
              </w:rPr>
              <w:t xml:space="preserve">008, maintenant AR.014 </w:t>
            </w:r>
          </w:p>
          <w:p w:rsidR="001F2460" w:rsidRPr="001F2460" w:rsidRDefault="001F2460" w:rsidP="001F2460">
            <w:pPr>
              <w:numPr>
                <w:ilvl w:val="0"/>
                <w:numId w:val="9"/>
              </w:numPr>
              <w:rPr>
                <w:rFonts w:ascii="Arial" w:hAnsi="Arial"/>
                <w:sz w:val="22"/>
                <w:szCs w:val="22"/>
                <w:lang w:val="fr-CA"/>
              </w:rPr>
            </w:pPr>
            <w:r w:rsidRPr="001F2460">
              <w:rPr>
                <w:rFonts w:ascii="Arial" w:hAnsi="Arial"/>
                <w:sz w:val="22"/>
                <w:szCs w:val="22"/>
                <w:lang w:val="fr-CA"/>
              </w:rPr>
              <w:t xml:space="preserve">Modification du libellé des principes pour préciser </w:t>
            </w:r>
            <w:r>
              <w:rPr>
                <w:rFonts w:ascii="Arial" w:hAnsi="Arial"/>
                <w:sz w:val="22"/>
                <w:szCs w:val="22"/>
                <w:lang w:val="fr-CA"/>
              </w:rPr>
              <w:t>« la présence d’anticorps</w:t>
            </w:r>
            <w:r w:rsidR="00AB566C">
              <w:rPr>
                <w:rFonts w:ascii="Arial" w:hAnsi="Arial"/>
                <w:sz w:val="22"/>
                <w:szCs w:val="22"/>
                <w:lang w:val="fr-CA"/>
              </w:rPr>
              <w:t xml:space="preserve">… </w:t>
            </w:r>
            <w:r>
              <w:rPr>
                <w:rFonts w:ascii="Arial" w:hAnsi="Arial"/>
                <w:sz w:val="22"/>
                <w:szCs w:val="22"/>
                <w:lang w:val="fr-CA"/>
              </w:rPr>
              <w:t xml:space="preserve">acquis </w:t>
            </w:r>
            <w:r w:rsidR="00AB566C">
              <w:rPr>
                <w:rFonts w:ascii="Arial" w:hAnsi="Arial"/>
                <w:sz w:val="22"/>
                <w:szCs w:val="22"/>
                <w:lang w:val="fr-CA"/>
              </w:rPr>
              <w:t>de façon passive et…</w:t>
            </w:r>
            <w:r w:rsidR="00FA4F30">
              <w:rPr>
                <w:rFonts w:ascii="Arial" w:hAnsi="Arial"/>
                <w:sz w:val="22"/>
                <w:szCs w:val="22"/>
                <w:lang w:val="fr-CA"/>
              </w:rPr>
              <w:t> </w:t>
            </w:r>
            <w:r>
              <w:rPr>
                <w:rFonts w:ascii="Arial" w:hAnsi="Arial"/>
                <w:sz w:val="22"/>
                <w:szCs w:val="22"/>
                <w:lang w:val="fr-CA"/>
              </w:rPr>
              <w:t>»</w:t>
            </w:r>
            <w:r w:rsidRPr="001F2460">
              <w:rPr>
                <w:rFonts w:ascii="Arial" w:hAnsi="Arial"/>
                <w:sz w:val="22"/>
                <w:szCs w:val="22"/>
                <w:lang w:val="fr-CA"/>
              </w:rPr>
              <w:t>.</w:t>
            </w:r>
          </w:p>
          <w:p w:rsidR="001F2460" w:rsidRDefault="001F2460" w:rsidP="001F2460">
            <w:pPr>
              <w:numPr>
                <w:ilvl w:val="0"/>
                <w:numId w:val="9"/>
              </w:numPr>
              <w:rPr>
                <w:rFonts w:ascii="Arial" w:hAnsi="Arial"/>
                <w:sz w:val="22"/>
                <w:szCs w:val="22"/>
                <w:lang w:val="fr-CA"/>
              </w:rPr>
            </w:pPr>
            <w:r w:rsidRPr="001F2460">
              <w:rPr>
                <w:rFonts w:ascii="Arial" w:hAnsi="Arial"/>
                <w:sz w:val="22"/>
                <w:szCs w:val="22"/>
                <w:lang w:val="fr-CA"/>
              </w:rPr>
              <w:t>A</w:t>
            </w:r>
            <w:r>
              <w:rPr>
                <w:rFonts w:ascii="Arial" w:hAnsi="Arial"/>
                <w:sz w:val="22"/>
                <w:szCs w:val="22"/>
                <w:lang w:val="fr-CA"/>
              </w:rPr>
              <w:t>jout de la section</w:t>
            </w:r>
            <w:r w:rsidR="00FA4F30">
              <w:rPr>
                <w:rFonts w:ascii="Arial" w:hAnsi="Arial"/>
                <w:sz w:val="22"/>
                <w:szCs w:val="22"/>
                <w:lang w:val="fr-CA"/>
              </w:rPr>
              <w:t> </w:t>
            </w:r>
            <w:r w:rsidRPr="001F2460">
              <w:rPr>
                <w:rFonts w:ascii="Arial" w:hAnsi="Arial"/>
                <w:sz w:val="22"/>
                <w:szCs w:val="22"/>
                <w:lang w:val="fr-CA"/>
              </w:rPr>
              <w:t xml:space="preserve">2.3.4 </w:t>
            </w:r>
            <w:r>
              <w:rPr>
                <w:rFonts w:ascii="Arial" w:hAnsi="Arial"/>
                <w:sz w:val="22"/>
                <w:szCs w:val="22"/>
                <w:lang w:val="fr-CA"/>
              </w:rPr>
              <w:t>relative aux épreuves de dépistage de la présence d’</w:t>
            </w:r>
            <w:r w:rsidRPr="001F2460">
              <w:rPr>
                <w:rFonts w:ascii="Arial" w:hAnsi="Arial"/>
                <w:sz w:val="22"/>
                <w:szCs w:val="22"/>
                <w:lang w:val="fr-CA"/>
              </w:rPr>
              <w:t xml:space="preserve">anti-A </w:t>
            </w:r>
            <w:r>
              <w:rPr>
                <w:rFonts w:ascii="Arial" w:hAnsi="Arial"/>
                <w:sz w:val="22"/>
                <w:szCs w:val="22"/>
                <w:lang w:val="fr-CA"/>
              </w:rPr>
              <w:t>ou d’</w:t>
            </w:r>
            <w:r w:rsidRPr="001F2460">
              <w:rPr>
                <w:rFonts w:ascii="Arial" w:hAnsi="Arial"/>
                <w:sz w:val="22"/>
                <w:szCs w:val="22"/>
                <w:lang w:val="fr-CA"/>
              </w:rPr>
              <w:t>anti-B</w:t>
            </w:r>
            <w:r>
              <w:rPr>
                <w:rFonts w:ascii="Arial" w:hAnsi="Arial"/>
                <w:sz w:val="22"/>
                <w:szCs w:val="22"/>
                <w:lang w:val="fr-CA"/>
              </w:rPr>
              <w:t xml:space="preserve"> passif</w:t>
            </w:r>
          </w:p>
          <w:p w:rsidR="00CB7CEF" w:rsidRPr="001F2460" w:rsidRDefault="00CB7CEF" w:rsidP="001F2460">
            <w:pPr>
              <w:numPr>
                <w:ilvl w:val="0"/>
                <w:numId w:val="9"/>
              </w:numPr>
              <w:rPr>
                <w:rFonts w:ascii="Arial" w:hAnsi="Arial"/>
                <w:sz w:val="22"/>
                <w:szCs w:val="22"/>
                <w:lang w:val="fr-CA"/>
              </w:rPr>
            </w:pPr>
            <w:r>
              <w:rPr>
                <w:rFonts w:ascii="Arial" w:hAnsi="Arial"/>
                <w:sz w:val="22"/>
                <w:szCs w:val="22"/>
                <w:lang w:val="fr-CA"/>
              </w:rPr>
              <w:t>Reformatage et renumérotation de la section</w:t>
            </w:r>
            <w:r w:rsidR="00FA4F30">
              <w:rPr>
                <w:rFonts w:ascii="Arial" w:hAnsi="Arial"/>
                <w:sz w:val="22"/>
                <w:szCs w:val="22"/>
                <w:lang w:val="fr-CA"/>
              </w:rPr>
              <w:t> </w:t>
            </w:r>
            <w:r>
              <w:rPr>
                <w:rFonts w:ascii="Arial" w:hAnsi="Arial"/>
                <w:sz w:val="22"/>
                <w:szCs w:val="22"/>
                <w:lang w:val="fr-CA"/>
              </w:rPr>
              <w:t>6 pour la rendre plus conviviale</w:t>
            </w:r>
          </w:p>
          <w:p w:rsidR="001F2460" w:rsidRPr="001F2460" w:rsidRDefault="001F2460" w:rsidP="001F2460">
            <w:pPr>
              <w:numPr>
                <w:ilvl w:val="0"/>
                <w:numId w:val="9"/>
              </w:numPr>
              <w:rPr>
                <w:rFonts w:ascii="Arial" w:hAnsi="Arial"/>
                <w:sz w:val="22"/>
                <w:szCs w:val="22"/>
                <w:lang w:val="fr-CA"/>
              </w:rPr>
            </w:pPr>
            <w:r>
              <w:rPr>
                <w:rFonts w:ascii="Arial" w:hAnsi="Arial"/>
                <w:sz w:val="22"/>
                <w:szCs w:val="22"/>
                <w:lang w:val="fr-CA"/>
              </w:rPr>
              <w:t>Ajout d’un renvoi à la remarque</w:t>
            </w:r>
            <w:r w:rsidR="00FA4F30">
              <w:rPr>
                <w:rFonts w:ascii="Arial" w:hAnsi="Arial"/>
                <w:sz w:val="22"/>
                <w:szCs w:val="22"/>
                <w:lang w:val="fr-CA"/>
              </w:rPr>
              <w:t> </w:t>
            </w:r>
            <w:r w:rsidRPr="001F2460">
              <w:rPr>
                <w:rFonts w:ascii="Arial" w:hAnsi="Arial"/>
                <w:sz w:val="22"/>
                <w:szCs w:val="22"/>
                <w:lang w:val="fr-CA"/>
              </w:rPr>
              <w:t>8.4</w:t>
            </w:r>
            <w:r>
              <w:rPr>
                <w:rFonts w:ascii="Arial" w:hAnsi="Arial"/>
                <w:sz w:val="22"/>
                <w:szCs w:val="22"/>
                <w:lang w:val="fr-CA"/>
              </w:rPr>
              <w:t xml:space="preserve"> dans la section</w:t>
            </w:r>
            <w:r w:rsidR="00FA4F30">
              <w:rPr>
                <w:rFonts w:ascii="Arial" w:hAnsi="Arial"/>
                <w:sz w:val="22"/>
                <w:szCs w:val="22"/>
                <w:lang w:val="fr-CA"/>
              </w:rPr>
              <w:t> </w:t>
            </w:r>
            <w:r w:rsidRPr="001F2460">
              <w:rPr>
                <w:rFonts w:ascii="Arial" w:hAnsi="Arial"/>
                <w:sz w:val="22"/>
                <w:szCs w:val="22"/>
                <w:lang w:val="fr-CA"/>
              </w:rPr>
              <w:t>6.7</w:t>
            </w:r>
          </w:p>
          <w:p w:rsidR="001F2460" w:rsidRPr="001F2460" w:rsidRDefault="001F2460" w:rsidP="001F2460">
            <w:pPr>
              <w:numPr>
                <w:ilvl w:val="0"/>
                <w:numId w:val="9"/>
              </w:numPr>
              <w:rPr>
                <w:rFonts w:ascii="Arial" w:hAnsi="Arial"/>
                <w:sz w:val="22"/>
                <w:szCs w:val="22"/>
                <w:lang w:val="fr-CA"/>
              </w:rPr>
            </w:pPr>
            <w:r w:rsidRPr="001F2460">
              <w:rPr>
                <w:rFonts w:ascii="Arial" w:hAnsi="Arial"/>
                <w:sz w:val="22"/>
                <w:szCs w:val="22"/>
                <w:lang w:val="fr-CA"/>
              </w:rPr>
              <w:t>Chang</w:t>
            </w:r>
            <w:r>
              <w:rPr>
                <w:rFonts w:ascii="Arial" w:hAnsi="Arial"/>
                <w:sz w:val="22"/>
                <w:szCs w:val="22"/>
                <w:lang w:val="fr-CA"/>
              </w:rPr>
              <w:t>ement du numéro de documents de renvoi dans la section</w:t>
            </w:r>
            <w:r w:rsidR="00FA4F30">
              <w:rPr>
                <w:rFonts w:ascii="Arial" w:hAnsi="Arial"/>
                <w:sz w:val="22"/>
                <w:szCs w:val="22"/>
                <w:lang w:val="fr-CA"/>
              </w:rPr>
              <w:t> </w:t>
            </w:r>
            <w:r>
              <w:rPr>
                <w:rFonts w:ascii="Arial" w:hAnsi="Arial"/>
                <w:sz w:val="22"/>
                <w:szCs w:val="22"/>
                <w:lang w:val="fr-CA"/>
              </w:rPr>
              <w:t xml:space="preserve">6 : PA.005 devient AR.002 et </w:t>
            </w:r>
            <w:r w:rsidRPr="001F2460">
              <w:rPr>
                <w:rFonts w:ascii="Arial" w:hAnsi="Arial"/>
                <w:sz w:val="22"/>
                <w:szCs w:val="22"/>
                <w:lang w:val="fr-CA"/>
              </w:rPr>
              <w:t>PA</w:t>
            </w:r>
            <w:r>
              <w:rPr>
                <w:rFonts w:ascii="Arial" w:hAnsi="Arial"/>
                <w:sz w:val="22"/>
                <w:szCs w:val="22"/>
                <w:lang w:val="fr-CA"/>
              </w:rPr>
              <w:t>.</w:t>
            </w:r>
            <w:r w:rsidRPr="001F2460">
              <w:rPr>
                <w:rFonts w:ascii="Arial" w:hAnsi="Arial"/>
                <w:sz w:val="22"/>
                <w:szCs w:val="22"/>
                <w:lang w:val="fr-CA"/>
              </w:rPr>
              <w:t xml:space="preserve">006 </w:t>
            </w:r>
            <w:r>
              <w:rPr>
                <w:rFonts w:ascii="Arial" w:hAnsi="Arial"/>
                <w:sz w:val="22"/>
                <w:szCs w:val="22"/>
                <w:lang w:val="fr-CA"/>
              </w:rPr>
              <w:t>devient AR.</w:t>
            </w:r>
            <w:r w:rsidRPr="001F2460">
              <w:rPr>
                <w:rFonts w:ascii="Arial" w:hAnsi="Arial"/>
                <w:sz w:val="22"/>
                <w:szCs w:val="22"/>
                <w:lang w:val="fr-CA"/>
              </w:rPr>
              <w:t>001.</w:t>
            </w:r>
          </w:p>
          <w:p w:rsidR="001F2460" w:rsidRPr="001F2460" w:rsidRDefault="00CB7CEF" w:rsidP="001F2460">
            <w:pPr>
              <w:numPr>
                <w:ilvl w:val="0"/>
                <w:numId w:val="9"/>
              </w:numPr>
              <w:rPr>
                <w:rFonts w:ascii="Arial" w:hAnsi="Arial"/>
                <w:sz w:val="22"/>
                <w:szCs w:val="22"/>
                <w:lang w:val="fr-CA"/>
              </w:rPr>
            </w:pPr>
            <w:r>
              <w:rPr>
                <w:rFonts w:ascii="Arial" w:hAnsi="Arial"/>
                <w:sz w:val="22"/>
                <w:szCs w:val="22"/>
                <w:lang w:val="fr-CA"/>
              </w:rPr>
              <w:t>Ajout de la remarque</w:t>
            </w:r>
            <w:r w:rsidR="00FA4F30">
              <w:rPr>
                <w:rFonts w:ascii="Arial" w:hAnsi="Arial"/>
                <w:sz w:val="22"/>
                <w:szCs w:val="22"/>
                <w:lang w:val="fr-CA"/>
              </w:rPr>
              <w:t> </w:t>
            </w:r>
            <w:r w:rsidR="001F2460" w:rsidRPr="001F2460">
              <w:rPr>
                <w:rFonts w:ascii="Arial" w:hAnsi="Arial"/>
                <w:sz w:val="22"/>
                <w:szCs w:val="22"/>
                <w:lang w:val="fr-CA"/>
              </w:rPr>
              <w:t>8</w:t>
            </w:r>
            <w:r>
              <w:rPr>
                <w:rFonts w:ascii="Arial" w:hAnsi="Arial"/>
                <w:sz w:val="22"/>
                <w:szCs w:val="22"/>
                <w:lang w:val="fr-CA"/>
              </w:rPr>
              <w:t>.4</w:t>
            </w:r>
          </w:p>
          <w:p w:rsidR="001F2460" w:rsidRPr="006E0D74" w:rsidRDefault="001F2460" w:rsidP="001F2460">
            <w:pPr>
              <w:numPr>
                <w:ilvl w:val="0"/>
                <w:numId w:val="9"/>
              </w:numPr>
              <w:rPr>
                <w:rFonts w:ascii="Arial" w:hAnsi="Arial"/>
                <w:sz w:val="22"/>
                <w:szCs w:val="22"/>
                <w:lang w:val="fr-CA"/>
              </w:rPr>
            </w:pPr>
            <w:r w:rsidRPr="001F2460">
              <w:rPr>
                <w:rFonts w:ascii="Arial" w:hAnsi="Arial"/>
                <w:sz w:val="22"/>
                <w:szCs w:val="22"/>
                <w:lang w:val="fr-CA"/>
              </w:rPr>
              <w:t xml:space="preserve">Mise à jour des références </w:t>
            </w:r>
          </w:p>
        </w:tc>
      </w:tr>
    </w:tbl>
    <w:p w:rsidR="001F2460" w:rsidRPr="006E0D74" w:rsidRDefault="001F2460" w:rsidP="001F2460">
      <w:pPr>
        <w:ind w:left="720"/>
        <w:rPr>
          <w:rFonts w:ascii="Arial" w:hAnsi="Arial"/>
          <w:sz w:val="24"/>
          <w:lang w:val="fr-CA"/>
        </w:rPr>
      </w:pPr>
    </w:p>
    <w:p w:rsidR="001F2460" w:rsidRPr="00DD5226" w:rsidRDefault="001F2460" w:rsidP="001F2460">
      <w:pPr>
        <w:ind w:left="720"/>
        <w:rPr>
          <w:rFonts w:ascii="Arial" w:hAnsi="Arial"/>
          <w:b/>
          <w:sz w:val="28"/>
          <w:szCs w:val="28"/>
          <w:lang w:val="fr-CA"/>
        </w:rPr>
      </w:pPr>
    </w:p>
    <w:sectPr w:rsidR="001F2460" w:rsidRPr="00DD5226">
      <w:headerReference w:type="default" r:id="rId8"/>
      <w:footerReference w:type="default" r:id="rId9"/>
      <w:headerReference w:type="first" r:id="rId10"/>
      <w:footerReference w:type="first" r:id="rId11"/>
      <w:pgSz w:w="12240" w:h="15840" w:code="1"/>
      <w:pgMar w:top="1166"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BB0" w:rsidRDefault="00D67BB0">
      <w:r>
        <w:separator/>
      </w:r>
    </w:p>
  </w:endnote>
  <w:endnote w:type="continuationSeparator" w:id="0">
    <w:p w:rsidR="00D67BB0" w:rsidRDefault="00D6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76CDE">
      <w:trPr>
        <w:trHeight w:val="720"/>
      </w:trPr>
      <w:tc>
        <w:tcPr>
          <w:tcW w:w="1368" w:type="dxa"/>
        </w:tcPr>
        <w:p w:rsidR="00D76CDE" w:rsidRDefault="00D76CDE">
          <w:pPr>
            <w:pStyle w:val="Footer"/>
            <w:jc w:val="center"/>
            <w:rPr>
              <w:sz w:val="8"/>
            </w:rPr>
          </w:pPr>
        </w:p>
        <w:p w:rsidR="00D76CDE" w:rsidRDefault="00A87733">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D76CDE" w:rsidRDefault="00D76CDE">
          <w:pPr>
            <w:pStyle w:val="Footer"/>
            <w:jc w:val="center"/>
            <w:rPr>
              <w:rFonts w:ascii="Arial" w:hAnsi="Arial"/>
              <w:sz w:val="18"/>
            </w:rPr>
          </w:pPr>
        </w:p>
        <w:p w:rsidR="004009D1" w:rsidRDefault="004009D1" w:rsidP="004009D1">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D76CDE" w:rsidRPr="00DD5226" w:rsidRDefault="004009D1" w:rsidP="004009D1">
          <w:pPr>
            <w:pStyle w:val="Footer"/>
            <w:jc w:val="center"/>
            <w:rPr>
              <w:rFonts w:ascii="Arial" w:hAnsi="Arial"/>
              <w:sz w:val="18"/>
              <w:lang w:val="fr-CA"/>
            </w:rPr>
          </w:pPr>
          <w:r>
            <w:rPr>
              <w:rFonts w:ascii="Arial" w:hAnsi="Arial"/>
              <w:sz w:val="18"/>
              <w:lang w:val="fr-CA"/>
            </w:rPr>
            <w:t>Manuel de ressources techniques en transfusion de l’Ontario</w:t>
          </w:r>
          <w:r w:rsidRPr="00DD5226">
            <w:rPr>
              <w:rFonts w:ascii="Arial" w:hAnsi="Arial"/>
              <w:sz w:val="18"/>
              <w:lang w:val="fr-CA"/>
            </w:rPr>
            <w:t xml:space="preserve"> </w:t>
          </w:r>
        </w:p>
      </w:tc>
      <w:tc>
        <w:tcPr>
          <w:tcW w:w="1494" w:type="dxa"/>
        </w:tcPr>
        <w:p w:rsidR="00D76CDE" w:rsidRPr="00DD5226" w:rsidRDefault="00D76CDE">
          <w:pPr>
            <w:pStyle w:val="Footer"/>
            <w:jc w:val="right"/>
            <w:rPr>
              <w:rFonts w:ascii="Arial" w:hAnsi="Arial"/>
              <w:sz w:val="18"/>
              <w:lang w:val="fr-CA"/>
            </w:rPr>
          </w:pPr>
        </w:p>
        <w:p w:rsidR="00D76CDE" w:rsidRDefault="00D76CDE" w:rsidP="004009D1">
          <w:pPr>
            <w:pStyle w:val="Footer"/>
            <w:jc w:val="right"/>
            <w:rPr>
              <w:rFonts w:ascii="Arial" w:hAnsi="Arial"/>
              <w:sz w:val="18"/>
            </w:rPr>
          </w:pPr>
          <w:r>
            <w:rPr>
              <w:rFonts w:ascii="Arial" w:hAnsi="Arial"/>
              <w:sz w:val="18"/>
            </w:rPr>
            <w:t>AR.0</w:t>
          </w:r>
          <w:r w:rsidR="004009D1">
            <w:rPr>
              <w:rFonts w:ascii="Arial" w:hAnsi="Arial"/>
              <w:sz w:val="18"/>
            </w:rPr>
            <w:t>14</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64CDF">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64CDF">
            <w:rPr>
              <w:rFonts w:ascii="Arial" w:hAnsi="Arial"/>
              <w:noProof/>
              <w:snapToGrid w:val="0"/>
              <w:sz w:val="18"/>
            </w:rPr>
            <w:t>6</w:t>
          </w:r>
          <w:r>
            <w:rPr>
              <w:rFonts w:ascii="Arial" w:hAnsi="Arial"/>
              <w:snapToGrid w:val="0"/>
              <w:sz w:val="18"/>
            </w:rPr>
            <w:fldChar w:fldCharType="end"/>
          </w:r>
        </w:p>
      </w:tc>
    </w:tr>
  </w:tbl>
  <w:p w:rsidR="00D76CDE" w:rsidRDefault="00D7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76CDE">
      <w:trPr>
        <w:trHeight w:val="720"/>
      </w:trPr>
      <w:tc>
        <w:tcPr>
          <w:tcW w:w="1368" w:type="dxa"/>
        </w:tcPr>
        <w:p w:rsidR="00D76CDE" w:rsidRDefault="00D76CDE">
          <w:pPr>
            <w:pStyle w:val="Footer"/>
            <w:jc w:val="center"/>
            <w:rPr>
              <w:rFonts w:ascii="Verdana" w:hAnsi="Verdana"/>
              <w:sz w:val="8"/>
            </w:rPr>
          </w:pPr>
        </w:p>
        <w:p w:rsidR="00D76CDE" w:rsidRDefault="00A87733">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D76CDE" w:rsidRDefault="00D76CDE">
          <w:pPr>
            <w:pStyle w:val="Footer"/>
            <w:jc w:val="center"/>
            <w:rPr>
              <w:rFonts w:ascii="Arial" w:hAnsi="Arial"/>
              <w:sz w:val="18"/>
            </w:rPr>
          </w:pPr>
        </w:p>
        <w:p w:rsidR="004009D1" w:rsidRDefault="004009D1" w:rsidP="004009D1">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D76CDE" w:rsidRPr="00DD5226" w:rsidRDefault="004009D1" w:rsidP="004009D1">
          <w:pPr>
            <w:pStyle w:val="Footer"/>
            <w:jc w:val="center"/>
            <w:rPr>
              <w:rFonts w:ascii="Arial" w:hAnsi="Arial"/>
              <w:sz w:val="18"/>
              <w:lang w:val="fr-CA"/>
            </w:rPr>
          </w:pPr>
          <w:r>
            <w:rPr>
              <w:rFonts w:ascii="Arial" w:hAnsi="Arial"/>
              <w:sz w:val="18"/>
              <w:lang w:val="fr-CA"/>
            </w:rPr>
            <w:t>Manuel de ressources techniques en transfusion de l’Ontario</w:t>
          </w:r>
          <w:r w:rsidRPr="00DD5226">
            <w:rPr>
              <w:rFonts w:ascii="Arial" w:hAnsi="Arial"/>
              <w:sz w:val="18"/>
              <w:lang w:val="fr-CA"/>
            </w:rPr>
            <w:t xml:space="preserve"> </w:t>
          </w:r>
        </w:p>
      </w:tc>
      <w:tc>
        <w:tcPr>
          <w:tcW w:w="1494" w:type="dxa"/>
        </w:tcPr>
        <w:p w:rsidR="00D76CDE" w:rsidRPr="00DD5226" w:rsidRDefault="00D76CDE">
          <w:pPr>
            <w:pStyle w:val="Footer"/>
            <w:jc w:val="right"/>
            <w:rPr>
              <w:rFonts w:ascii="Arial" w:hAnsi="Arial"/>
              <w:sz w:val="18"/>
              <w:lang w:val="fr-CA"/>
            </w:rPr>
          </w:pPr>
        </w:p>
        <w:p w:rsidR="00D76CDE" w:rsidRDefault="00D76CDE" w:rsidP="004009D1">
          <w:pPr>
            <w:pStyle w:val="Footer"/>
            <w:jc w:val="right"/>
            <w:rPr>
              <w:rFonts w:ascii="Arial" w:hAnsi="Arial"/>
              <w:sz w:val="18"/>
            </w:rPr>
          </w:pPr>
          <w:r>
            <w:rPr>
              <w:rFonts w:ascii="Arial" w:hAnsi="Arial"/>
              <w:sz w:val="18"/>
            </w:rPr>
            <w:t>AR.0</w:t>
          </w:r>
          <w:r w:rsidR="004009D1">
            <w:rPr>
              <w:rFonts w:ascii="Arial" w:hAnsi="Arial"/>
              <w:sz w:val="18"/>
            </w:rPr>
            <w:t>14</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64CDF">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64CDF">
            <w:rPr>
              <w:rFonts w:ascii="Arial" w:hAnsi="Arial"/>
              <w:noProof/>
              <w:snapToGrid w:val="0"/>
              <w:sz w:val="18"/>
            </w:rPr>
            <w:t>1</w:t>
          </w:r>
          <w:r>
            <w:rPr>
              <w:rFonts w:ascii="Arial" w:hAnsi="Arial"/>
              <w:snapToGrid w:val="0"/>
              <w:sz w:val="18"/>
            </w:rPr>
            <w:fldChar w:fldCharType="end"/>
          </w:r>
        </w:p>
      </w:tc>
    </w:tr>
  </w:tbl>
  <w:p w:rsidR="00D76CDE" w:rsidRDefault="00D7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BB0" w:rsidRDefault="00D67BB0">
      <w:r>
        <w:separator/>
      </w:r>
    </w:p>
  </w:footnote>
  <w:footnote w:type="continuationSeparator" w:id="0">
    <w:p w:rsidR="00D67BB0" w:rsidRDefault="00D6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CDE" w:rsidRDefault="00D76CDE">
    <w:pPr>
      <w:pStyle w:val="Header"/>
      <w:jc w:val="center"/>
      <w:rPr>
        <w:rFonts w:ascii="Arial" w:hAnsi="Arial"/>
        <w:b/>
        <w:sz w:val="28"/>
        <w:lang w:val="fr-CA"/>
      </w:rPr>
    </w:pPr>
    <w:r>
      <w:rPr>
        <w:rFonts w:ascii="Arial" w:hAnsi="Arial"/>
        <w:b/>
        <w:color w:val="000000"/>
        <w:sz w:val="28"/>
        <w:lang w:val="fr-CA"/>
      </w:rPr>
      <w:t>Dépistage d'anticorps - Anti-A et/ou -B immuns</w:t>
    </w:r>
  </w:p>
  <w:p w:rsidR="00D76CDE" w:rsidRPr="00DD5226" w:rsidRDefault="00D76CDE">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CDE" w:rsidRDefault="00A87733">
    <w:pPr>
      <w:pStyle w:val="Header"/>
      <w:tabs>
        <w:tab w:val="clear" w:pos="8640"/>
        <w:tab w:val="left" w:pos="5280"/>
      </w:tabs>
    </w:pPr>
    <w:r>
      <w:rPr>
        <w:noProof/>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DD5226" w:rsidRDefault="00DD5226">
    <w:pPr>
      <w:pStyle w:val="Header"/>
      <w:tabs>
        <w:tab w:val="clear" w:pos="8640"/>
        <w:tab w:val="left" w:pos="5280"/>
      </w:tabs>
      <w:rPr>
        <w:rFonts w:ascii="Arial" w:hAnsi="Arial" w:cs="Arial"/>
        <w:b/>
        <w:bCs/>
        <w:sz w:val="22"/>
        <w:lang w:val="fr-CA"/>
      </w:rPr>
    </w:pPr>
  </w:p>
  <w:p w:rsidR="004009D1" w:rsidRPr="00DD5226" w:rsidRDefault="004009D1" w:rsidP="004009D1">
    <w:pPr>
      <w:pStyle w:val="Header"/>
      <w:jc w:val="center"/>
      <w:rPr>
        <w:rFonts w:ascii="Arial" w:hAnsi="Arial" w:cs="Arial"/>
        <w:b/>
        <w:bCs/>
        <w:sz w:val="24"/>
        <w:szCs w:val="28"/>
        <w:lang w:val="fr-CA"/>
      </w:rPr>
    </w:pPr>
    <w:r w:rsidRPr="00DD5226">
      <w:rPr>
        <w:rFonts w:ascii="Arial" w:hAnsi="Arial" w:cs="Arial"/>
        <w:b/>
        <w:bCs/>
        <w:sz w:val="24"/>
        <w:szCs w:val="28"/>
        <w:lang w:val="fr-CA"/>
      </w:rPr>
      <w:t>Réseau régional ontarien de coordination du sang</w:t>
    </w:r>
  </w:p>
  <w:p w:rsidR="004009D1" w:rsidRPr="00DD5226" w:rsidRDefault="004009D1" w:rsidP="004009D1">
    <w:pPr>
      <w:pStyle w:val="Header"/>
      <w:jc w:val="center"/>
      <w:rPr>
        <w:rFonts w:ascii="Arial" w:hAnsi="Arial" w:cs="Arial"/>
        <w:b/>
        <w:bCs/>
        <w:lang w:val="fr-CA"/>
      </w:rPr>
    </w:pPr>
    <w:r w:rsidRPr="00DD5226">
      <w:rPr>
        <w:rFonts w:ascii="Arial" w:hAnsi="Arial" w:cs="Arial"/>
        <w:b/>
        <w:bCs/>
        <w:sz w:val="24"/>
        <w:szCs w:val="28"/>
        <w:lang w:val="fr-CA"/>
      </w:rPr>
      <w:t>Manuel de ressources techniques en transfusion de l’Ontario</w:t>
    </w:r>
  </w:p>
  <w:p w:rsidR="00D76CDE" w:rsidRDefault="00D76CDE" w:rsidP="004009D1">
    <w:pPr>
      <w:pStyle w:val="Header"/>
      <w:jc w:val="center"/>
      <w:rPr>
        <w:rFonts w:ascii="Arial" w:hAnsi="Arial" w:cs="Arial"/>
        <w:b/>
        <w:bCs/>
        <w:sz w:val="22"/>
        <w:lang w:val="fr-CA"/>
      </w:rPr>
    </w:pPr>
  </w:p>
  <w:p w:rsidR="00D76CDE" w:rsidRDefault="00D76CDE">
    <w:pPr>
      <w:pStyle w:val="Header"/>
      <w:jc w:val="center"/>
      <w:rPr>
        <w:rFonts w:ascii="Arial" w:hAnsi="Arial"/>
        <w:b/>
        <w:sz w:val="28"/>
        <w:lang w:val="fr-CA"/>
      </w:rPr>
    </w:pPr>
    <w:r>
      <w:rPr>
        <w:rFonts w:ascii="Arial" w:hAnsi="Arial"/>
        <w:b/>
        <w:color w:val="000000"/>
        <w:sz w:val="28"/>
        <w:lang w:val="fr-CA"/>
      </w:rPr>
      <w:t>Dépistage d'anticorps - Anti-A et /ou -B immuns</w:t>
    </w:r>
  </w:p>
  <w:p w:rsidR="00D76CDE" w:rsidRDefault="00D76CDE">
    <w:pPr>
      <w:pStyle w:val="Header"/>
      <w:jc w:val="center"/>
      <w:rPr>
        <w:rFonts w:ascii="Arial" w:hAnsi="Arial"/>
        <w:b/>
        <w:sz w:val="28"/>
        <w:lang w:val="fr-CA"/>
      </w:rPr>
    </w:pPr>
  </w:p>
  <w:p w:rsidR="00D76CDE" w:rsidRDefault="00D76CDE">
    <w:pPr>
      <w:pStyle w:val="Header"/>
      <w:jc w:val="center"/>
      <w:rPr>
        <w:rFonts w:ascii="Arial" w:hAnsi="Arial" w:cs="Arial"/>
        <w:b/>
        <w:bCs/>
        <w:lang w:val="fr-CA"/>
      </w:rPr>
    </w:pPr>
    <w:r>
      <w:rPr>
        <w:rFonts w:ascii="Arial" w:hAnsi="Arial" w:cs="Arial"/>
        <w:b/>
        <w:bCs/>
        <w:lang w:val="fr-CA"/>
      </w:rPr>
      <w:tab/>
    </w:r>
    <w:r w:rsidR="00A87733">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3BF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4"/>
      <w:gridCol w:w="4316"/>
    </w:tblGrid>
    <w:tr w:rsidR="00D76CDE">
      <w:tc>
        <w:tcPr>
          <w:tcW w:w="4428" w:type="dxa"/>
        </w:tcPr>
        <w:p w:rsidR="00D76CDE" w:rsidRDefault="00144B31">
          <w:pPr>
            <w:pStyle w:val="Header"/>
            <w:rPr>
              <w:rFonts w:ascii="Arial" w:hAnsi="Arial" w:cs="Arial"/>
              <w:color w:val="000000"/>
              <w:lang w:val="fr-CA"/>
            </w:rPr>
          </w:pPr>
          <w:r>
            <w:rPr>
              <w:rFonts w:ascii="Arial" w:hAnsi="Arial" w:cs="Arial"/>
              <w:lang w:val="fr-CA"/>
            </w:rPr>
            <w:t>Approbation </w:t>
          </w:r>
          <w:r w:rsidR="003C4FA3">
            <w:rPr>
              <w:rFonts w:ascii="Arial" w:hAnsi="Arial" w:cs="Arial"/>
              <w:lang w:val="fr-CA"/>
            </w:rPr>
            <w:t>: D</w:t>
          </w:r>
          <w:r w:rsidR="003C4FA3" w:rsidRPr="00DB21A4">
            <w:rPr>
              <w:rFonts w:ascii="Arial" w:hAnsi="Arial" w:cs="Arial"/>
              <w:vertAlign w:val="superscript"/>
              <w:lang w:val="fr-CA"/>
            </w:rPr>
            <w:t xml:space="preserve">r </w:t>
          </w:r>
          <w:r w:rsidR="003C4FA3">
            <w:rPr>
              <w:rFonts w:ascii="Arial" w:hAnsi="Arial" w:cs="Arial"/>
              <w:lang w:val="fr-CA"/>
            </w:rPr>
            <w:t>Antonio Giulivi</w:t>
          </w:r>
        </w:p>
      </w:tc>
      <w:tc>
        <w:tcPr>
          <w:tcW w:w="4428" w:type="dxa"/>
        </w:tcPr>
        <w:p w:rsidR="00D76CDE" w:rsidRDefault="00D76CDE" w:rsidP="004009D1">
          <w:pPr>
            <w:pStyle w:val="Header"/>
            <w:rPr>
              <w:rFonts w:ascii="Arial" w:hAnsi="Arial" w:cs="Arial"/>
              <w:color w:val="000000"/>
              <w:lang w:val="fr-CA"/>
            </w:rPr>
          </w:pPr>
          <w:r>
            <w:rPr>
              <w:rFonts w:ascii="Arial" w:hAnsi="Arial" w:cs="Arial"/>
              <w:color w:val="000000"/>
              <w:lang w:val="fr-CA"/>
            </w:rPr>
            <w:t>Document n</w:t>
          </w:r>
          <w:r>
            <w:rPr>
              <w:rFonts w:ascii="Arial" w:hAnsi="Arial" w:cs="Arial"/>
              <w:color w:val="000000"/>
              <w:vertAlign w:val="superscript"/>
              <w:lang w:val="fr-CA"/>
            </w:rPr>
            <w:t>o</w:t>
          </w:r>
          <w:r w:rsidR="00FA4F30">
            <w:rPr>
              <w:rFonts w:ascii="Arial" w:hAnsi="Arial" w:cs="Arial"/>
              <w:color w:val="000000"/>
              <w:lang w:val="fr-CA"/>
            </w:rPr>
            <w:t xml:space="preserve"> </w:t>
          </w:r>
          <w:r>
            <w:rPr>
              <w:rFonts w:ascii="Arial" w:hAnsi="Arial" w:cs="Arial"/>
              <w:color w:val="000000"/>
              <w:lang w:val="fr-CA"/>
            </w:rPr>
            <w:t>: AR.0</w:t>
          </w:r>
          <w:r w:rsidR="004009D1">
            <w:rPr>
              <w:rFonts w:ascii="Arial" w:hAnsi="Arial" w:cs="Arial"/>
              <w:color w:val="000000"/>
              <w:lang w:val="fr-CA"/>
            </w:rPr>
            <w:t>14</w:t>
          </w:r>
        </w:p>
      </w:tc>
    </w:tr>
    <w:tr w:rsidR="00D76CDE">
      <w:tc>
        <w:tcPr>
          <w:tcW w:w="4428" w:type="dxa"/>
        </w:tcPr>
        <w:p w:rsidR="00D76CDE" w:rsidRDefault="00D76CDE">
          <w:pPr>
            <w:pStyle w:val="Header"/>
            <w:rPr>
              <w:rFonts w:ascii="Arial" w:hAnsi="Arial" w:cs="Arial"/>
              <w:color w:val="000000"/>
              <w:lang w:val="fr-CA"/>
            </w:rPr>
          </w:pPr>
          <w:r>
            <w:rPr>
              <w:rFonts w:ascii="Arial" w:hAnsi="Arial" w:cs="Arial"/>
              <w:color w:val="000000"/>
              <w:lang w:val="fr-CA"/>
            </w:rPr>
            <w:t xml:space="preserve">Date de </w:t>
          </w:r>
          <w:r w:rsidR="00144B31">
            <w:rPr>
              <w:rFonts w:ascii="Arial" w:hAnsi="Arial" w:cs="Arial"/>
              <w:color w:val="000000"/>
              <w:lang w:val="fr-CA"/>
            </w:rPr>
            <w:t>publication </w:t>
          </w:r>
          <w:r>
            <w:rPr>
              <w:rFonts w:ascii="Arial" w:hAnsi="Arial" w:cs="Arial"/>
              <w:color w:val="000000"/>
              <w:lang w:val="fr-CA"/>
            </w:rPr>
            <w:t>: 2006/0</w:t>
          </w:r>
          <w:r w:rsidR="00DC53E0">
            <w:rPr>
              <w:rFonts w:ascii="Arial" w:hAnsi="Arial" w:cs="Arial"/>
              <w:color w:val="000000"/>
              <w:lang w:val="fr-CA"/>
            </w:rPr>
            <w:t>8</w:t>
          </w:r>
          <w:r>
            <w:rPr>
              <w:rFonts w:ascii="Arial" w:hAnsi="Arial" w:cs="Arial"/>
              <w:color w:val="000000"/>
              <w:lang w:val="fr-CA"/>
            </w:rPr>
            <w:t>/01</w:t>
          </w:r>
        </w:p>
      </w:tc>
      <w:tc>
        <w:tcPr>
          <w:tcW w:w="4428" w:type="dxa"/>
        </w:tcPr>
        <w:p w:rsidR="00D76CDE" w:rsidRDefault="00144B31">
          <w:pPr>
            <w:pStyle w:val="Header"/>
            <w:rPr>
              <w:rFonts w:ascii="Arial" w:hAnsi="Arial" w:cs="Arial"/>
              <w:color w:val="000000"/>
              <w:lang w:val="fr-CA"/>
            </w:rPr>
          </w:pPr>
          <w:r>
            <w:rPr>
              <w:rFonts w:ascii="Arial" w:hAnsi="Arial" w:cs="Arial"/>
              <w:color w:val="000000"/>
              <w:lang w:val="fr-CA"/>
            </w:rPr>
            <w:t>Catégorie </w:t>
          </w:r>
          <w:r w:rsidR="00D76CDE">
            <w:rPr>
              <w:rFonts w:ascii="Arial" w:hAnsi="Arial" w:cs="Arial"/>
              <w:color w:val="000000"/>
              <w:lang w:val="fr-CA"/>
            </w:rPr>
            <w:t>: Analyses de routine</w:t>
          </w:r>
        </w:p>
      </w:tc>
    </w:tr>
    <w:tr w:rsidR="003C4FA3">
      <w:tc>
        <w:tcPr>
          <w:tcW w:w="4428" w:type="dxa"/>
        </w:tcPr>
        <w:p w:rsidR="003C4FA3" w:rsidRDefault="003C4FA3" w:rsidP="007A13A3">
          <w:pPr>
            <w:pStyle w:val="Header"/>
            <w:rPr>
              <w:rFonts w:ascii="Arial" w:hAnsi="Arial" w:cs="Arial"/>
              <w:lang w:val="fr-CA"/>
            </w:rPr>
          </w:pPr>
          <w:r>
            <w:rPr>
              <w:rFonts w:ascii="Arial" w:hAnsi="Arial" w:cs="Arial"/>
              <w:lang w:val="fr-CA"/>
            </w:rPr>
            <w:t xml:space="preserve">Date de </w:t>
          </w:r>
          <w:r w:rsidR="00144B31">
            <w:rPr>
              <w:rFonts w:ascii="Arial" w:hAnsi="Arial" w:cs="Arial"/>
              <w:lang w:val="fr-CA"/>
            </w:rPr>
            <w:t>révision </w:t>
          </w:r>
          <w:r>
            <w:rPr>
              <w:rFonts w:ascii="Arial" w:hAnsi="Arial" w:cs="Arial"/>
              <w:lang w:val="fr-CA"/>
            </w:rPr>
            <w:t>: 2009/12/31</w:t>
          </w:r>
          <w:r w:rsidR="004009D1">
            <w:rPr>
              <w:rFonts w:ascii="Arial" w:hAnsi="Arial" w:cs="Arial"/>
              <w:lang w:val="fr-CA"/>
            </w:rPr>
            <w:t>;</w:t>
          </w:r>
          <w:r w:rsidR="00FA4F30">
            <w:rPr>
              <w:rFonts w:ascii="Arial" w:hAnsi="Arial" w:cs="Arial"/>
              <w:lang w:val="fr-CA"/>
            </w:rPr>
            <w:t xml:space="preserve"> </w:t>
          </w:r>
          <w:r w:rsidR="004009D1">
            <w:rPr>
              <w:rFonts w:ascii="Arial" w:hAnsi="Arial" w:cs="Arial"/>
              <w:lang w:val="fr-CA"/>
            </w:rPr>
            <w:t>2014/01/31</w:t>
          </w:r>
        </w:p>
      </w:tc>
      <w:tc>
        <w:tcPr>
          <w:tcW w:w="4428" w:type="dxa"/>
        </w:tcPr>
        <w:p w:rsidR="003C4FA3" w:rsidRDefault="00144B31">
          <w:pPr>
            <w:pStyle w:val="Header"/>
            <w:rPr>
              <w:rFonts w:ascii="Arial" w:hAnsi="Arial" w:cs="Arial"/>
              <w:color w:val="000000"/>
              <w:lang w:val="fr-CA"/>
            </w:rPr>
          </w:pPr>
          <w:r>
            <w:rPr>
              <w:rFonts w:ascii="Arial" w:hAnsi="Arial" w:cs="Arial"/>
              <w:color w:val="000000"/>
              <w:lang w:val="fr-CA"/>
            </w:rPr>
            <w:t>Pages </w:t>
          </w:r>
          <w:r w:rsidR="003C4FA3">
            <w:rPr>
              <w:rFonts w:ascii="Arial" w:hAnsi="Arial" w:cs="Arial"/>
              <w:color w:val="000000"/>
              <w:lang w:val="fr-CA"/>
            </w:rPr>
            <w:t xml:space="preserve">: </w:t>
          </w:r>
          <w:r w:rsidR="003C4FA3">
            <w:rPr>
              <w:rFonts w:ascii="Arial" w:hAnsi="Arial" w:cs="Arial"/>
              <w:color w:val="000000"/>
              <w:lang w:val="fr-CA"/>
            </w:rPr>
            <w:fldChar w:fldCharType="begin"/>
          </w:r>
          <w:r w:rsidR="003C4FA3">
            <w:rPr>
              <w:rFonts w:ascii="Arial" w:hAnsi="Arial" w:cs="Arial"/>
              <w:color w:val="000000"/>
              <w:lang w:val="fr-CA"/>
            </w:rPr>
            <w:instrText xml:space="preserve"> NUMPAGES </w:instrText>
          </w:r>
          <w:r w:rsidR="003C4FA3">
            <w:rPr>
              <w:rFonts w:ascii="Arial" w:hAnsi="Arial" w:cs="Arial"/>
              <w:color w:val="000000"/>
              <w:lang w:val="fr-CA"/>
            </w:rPr>
            <w:fldChar w:fldCharType="separate"/>
          </w:r>
          <w:r w:rsidR="00764CDF">
            <w:rPr>
              <w:rFonts w:ascii="Arial" w:hAnsi="Arial" w:cs="Arial"/>
              <w:noProof/>
              <w:color w:val="000000"/>
              <w:lang w:val="fr-CA"/>
            </w:rPr>
            <w:t>1</w:t>
          </w:r>
          <w:r w:rsidR="003C4FA3">
            <w:rPr>
              <w:rFonts w:ascii="Arial" w:hAnsi="Arial" w:cs="Arial"/>
              <w:color w:val="000000"/>
              <w:lang w:val="fr-CA"/>
            </w:rPr>
            <w:fldChar w:fldCharType="end"/>
          </w:r>
        </w:p>
      </w:tc>
    </w:tr>
  </w:tbl>
  <w:p w:rsidR="00D76CDE" w:rsidRDefault="00A87733">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C8F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D76CDE">
      <w:rPr>
        <w:rFonts w:ascii="Arial" w:hAnsi="Arial" w:cs="Arial"/>
      </w:rPr>
      <w:tab/>
    </w:r>
    <w:r w:rsidR="00D76CDE">
      <w:rPr>
        <w:rFonts w:ascii="Arial" w:hAnsi="Arial" w:cs="Arial"/>
      </w:rPr>
      <w:tab/>
    </w:r>
  </w:p>
  <w:p w:rsidR="00D76CDE" w:rsidRDefault="00D76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A6C"/>
    <w:multiLevelType w:val="multilevel"/>
    <w:tmpl w:val="6E762FF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numFmt w:val="none"/>
      <w:lvlText w:val=""/>
      <w:lvlJc w:val="left"/>
      <w:pPr>
        <w:tabs>
          <w:tab w:val="num" w:pos="360"/>
        </w:tabs>
      </w:p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7195085"/>
    <w:multiLevelType w:val="multilevel"/>
    <w:tmpl w:val="9AF08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90B7E1D"/>
    <w:multiLevelType w:val="multilevel"/>
    <w:tmpl w:val="4FC820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numFmt w:val="none"/>
      <w:lvlText w:val=""/>
      <w:lvlJc w:val="left"/>
      <w:pPr>
        <w:tabs>
          <w:tab w:val="num" w:pos="360"/>
        </w:tabs>
      </w:p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24445FB"/>
    <w:multiLevelType w:val="multilevel"/>
    <w:tmpl w:val="9AF08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1DE44EC"/>
    <w:multiLevelType w:val="hybridMultilevel"/>
    <w:tmpl w:val="894236C6"/>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5" w15:restartNumberingAfterBreak="0">
    <w:nsid w:val="34567BF1"/>
    <w:multiLevelType w:val="multilevel"/>
    <w:tmpl w:val="2FDA4800"/>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CCD4F1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49A0262"/>
    <w:multiLevelType w:val="multilevel"/>
    <w:tmpl w:val="3B78B2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EAD78EB"/>
    <w:multiLevelType w:val="hybridMultilevel"/>
    <w:tmpl w:val="CCA44E8E"/>
    <w:lvl w:ilvl="0" w:tplc="043E1966">
      <w:start w:val="1"/>
      <w:numFmt w:val="bullet"/>
      <w:suff w:val="space"/>
      <w:lvlText w:val=""/>
      <w:lvlJc w:val="left"/>
      <w:pPr>
        <w:ind w:left="113" w:hanging="113"/>
      </w:pPr>
      <w:rPr>
        <w:rFonts w:ascii="Symbol" w:hAnsi="Symbol" w:hint="default"/>
      </w:rPr>
    </w:lvl>
    <w:lvl w:ilvl="1" w:tplc="A8600C3A" w:tentative="1">
      <w:start w:val="1"/>
      <w:numFmt w:val="bullet"/>
      <w:lvlText w:val="o"/>
      <w:lvlJc w:val="left"/>
      <w:pPr>
        <w:ind w:left="1080" w:hanging="360"/>
      </w:pPr>
      <w:rPr>
        <w:rFonts w:ascii="Courier New" w:hAnsi="Courier New" w:cs="Courier New" w:hint="default"/>
      </w:rPr>
    </w:lvl>
    <w:lvl w:ilvl="2" w:tplc="6C880BD6" w:tentative="1">
      <w:start w:val="1"/>
      <w:numFmt w:val="bullet"/>
      <w:lvlText w:val=""/>
      <w:lvlJc w:val="left"/>
      <w:pPr>
        <w:ind w:left="1800" w:hanging="360"/>
      </w:pPr>
      <w:rPr>
        <w:rFonts w:ascii="Wingdings" w:hAnsi="Wingdings" w:hint="default"/>
      </w:rPr>
    </w:lvl>
    <w:lvl w:ilvl="3" w:tplc="67906192" w:tentative="1">
      <w:start w:val="1"/>
      <w:numFmt w:val="bullet"/>
      <w:lvlText w:val=""/>
      <w:lvlJc w:val="left"/>
      <w:pPr>
        <w:ind w:left="2520" w:hanging="360"/>
      </w:pPr>
      <w:rPr>
        <w:rFonts w:ascii="Symbol" w:hAnsi="Symbol" w:hint="default"/>
      </w:rPr>
    </w:lvl>
    <w:lvl w:ilvl="4" w:tplc="72EAD52A" w:tentative="1">
      <w:start w:val="1"/>
      <w:numFmt w:val="bullet"/>
      <w:lvlText w:val="o"/>
      <w:lvlJc w:val="left"/>
      <w:pPr>
        <w:ind w:left="3240" w:hanging="360"/>
      </w:pPr>
      <w:rPr>
        <w:rFonts w:ascii="Courier New" w:hAnsi="Courier New" w:cs="Courier New" w:hint="default"/>
      </w:rPr>
    </w:lvl>
    <w:lvl w:ilvl="5" w:tplc="3738D774" w:tentative="1">
      <w:start w:val="1"/>
      <w:numFmt w:val="bullet"/>
      <w:lvlText w:val=""/>
      <w:lvlJc w:val="left"/>
      <w:pPr>
        <w:ind w:left="3960" w:hanging="360"/>
      </w:pPr>
      <w:rPr>
        <w:rFonts w:ascii="Wingdings" w:hAnsi="Wingdings" w:hint="default"/>
      </w:rPr>
    </w:lvl>
    <w:lvl w:ilvl="6" w:tplc="08EC8580" w:tentative="1">
      <w:start w:val="1"/>
      <w:numFmt w:val="bullet"/>
      <w:lvlText w:val=""/>
      <w:lvlJc w:val="left"/>
      <w:pPr>
        <w:ind w:left="4680" w:hanging="360"/>
      </w:pPr>
      <w:rPr>
        <w:rFonts w:ascii="Symbol" w:hAnsi="Symbol" w:hint="default"/>
      </w:rPr>
    </w:lvl>
    <w:lvl w:ilvl="7" w:tplc="FB08E450" w:tentative="1">
      <w:start w:val="1"/>
      <w:numFmt w:val="bullet"/>
      <w:lvlText w:val="o"/>
      <w:lvlJc w:val="left"/>
      <w:pPr>
        <w:ind w:left="5400" w:hanging="360"/>
      </w:pPr>
      <w:rPr>
        <w:rFonts w:ascii="Courier New" w:hAnsi="Courier New" w:cs="Courier New" w:hint="default"/>
      </w:rPr>
    </w:lvl>
    <w:lvl w:ilvl="8" w:tplc="81FAC79C" w:tentative="1">
      <w:start w:val="1"/>
      <w:numFmt w:val="bullet"/>
      <w:lvlText w:val=""/>
      <w:lvlJc w:val="left"/>
      <w:pPr>
        <w:ind w:left="6120" w:hanging="360"/>
      </w:pPr>
      <w:rPr>
        <w:rFonts w:ascii="Wingdings" w:hAnsi="Wingdings" w:hint="default"/>
      </w:rPr>
    </w:lvl>
  </w:abstractNum>
  <w:abstractNum w:abstractNumId="9" w15:restartNumberingAfterBreak="0">
    <w:nsid w:val="50DD7E71"/>
    <w:multiLevelType w:val="hybridMultilevel"/>
    <w:tmpl w:val="1F6A9C6A"/>
    <w:lvl w:ilvl="0" w:tplc="5120B44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4D3D0D"/>
    <w:multiLevelType w:val="multilevel"/>
    <w:tmpl w:val="35BCC55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numFmt w:val="none"/>
      <w:lvlText w:val=""/>
      <w:lvlJc w:val="left"/>
      <w:pPr>
        <w:tabs>
          <w:tab w:val="num" w:pos="360"/>
        </w:tabs>
      </w:p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AC97E87"/>
    <w:multiLevelType w:val="hybridMultilevel"/>
    <w:tmpl w:val="CE6A4E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5EE743C"/>
    <w:multiLevelType w:val="multilevel"/>
    <w:tmpl w:val="EFDEB1D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0"/>
  </w:num>
  <w:num w:numId="3">
    <w:abstractNumId w:val="6"/>
  </w:num>
  <w:num w:numId="4">
    <w:abstractNumId w:val="1"/>
  </w:num>
  <w:num w:numId="5">
    <w:abstractNumId w:val="3"/>
  </w:num>
  <w:num w:numId="6">
    <w:abstractNumId w:val="5"/>
  </w:num>
  <w:num w:numId="7">
    <w:abstractNumId w:val="9"/>
  </w:num>
  <w:num w:numId="8">
    <w:abstractNumId w:val="8"/>
  </w:num>
  <w:num w:numId="9">
    <w:abstractNumId w:val="11"/>
  </w:num>
  <w:num w:numId="10">
    <w:abstractNumId w:val="4"/>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3C"/>
    <w:rsid w:val="00084CFC"/>
    <w:rsid w:val="000E16B5"/>
    <w:rsid w:val="00144B31"/>
    <w:rsid w:val="00175AAD"/>
    <w:rsid w:val="001F2460"/>
    <w:rsid w:val="0021455F"/>
    <w:rsid w:val="002D2B16"/>
    <w:rsid w:val="002D3A35"/>
    <w:rsid w:val="003C4FA3"/>
    <w:rsid w:val="004009D1"/>
    <w:rsid w:val="00452818"/>
    <w:rsid w:val="00492067"/>
    <w:rsid w:val="004B2E79"/>
    <w:rsid w:val="00526828"/>
    <w:rsid w:val="005A7C4B"/>
    <w:rsid w:val="005C4BBA"/>
    <w:rsid w:val="005C6FBD"/>
    <w:rsid w:val="006F2C59"/>
    <w:rsid w:val="00753910"/>
    <w:rsid w:val="00764CDF"/>
    <w:rsid w:val="007A13A3"/>
    <w:rsid w:val="008E7637"/>
    <w:rsid w:val="00940C2F"/>
    <w:rsid w:val="0094428D"/>
    <w:rsid w:val="00A51050"/>
    <w:rsid w:val="00A8203E"/>
    <w:rsid w:val="00A87733"/>
    <w:rsid w:val="00AB566C"/>
    <w:rsid w:val="00B418DA"/>
    <w:rsid w:val="00C15C70"/>
    <w:rsid w:val="00C45D90"/>
    <w:rsid w:val="00CB2717"/>
    <w:rsid w:val="00CB7CEF"/>
    <w:rsid w:val="00CE1195"/>
    <w:rsid w:val="00CE173B"/>
    <w:rsid w:val="00D67BB0"/>
    <w:rsid w:val="00D76CDE"/>
    <w:rsid w:val="00DB1B11"/>
    <w:rsid w:val="00DC53E0"/>
    <w:rsid w:val="00DD5226"/>
    <w:rsid w:val="00E6027E"/>
    <w:rsid w:val="00EC13AB"/>
    <w:rsid w:val="00F3433C"/>
    <w:rsid w:val="00F42D24"/>
    <w:rsid w:val="00FA2410"/>
    <w:rsid w:val="00FA4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2B713A-D7F8-4712-9FAE-DC5E9D86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4B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1CE50-92A0-4605-9BCC-A7210F15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7801</Characters>
  <Application>Microsoft Office Word</Application>
  <DocSecurity>0</DocSecurity>
  <Lines>65</Lines>
  <Paragraphs>18</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RT.008 Antibody Screen - Immune Anti-A, -B</vt:lpstr>
      <vt:lpstr>bain-marie/bloc chauffant à 37  C</vt:lpstr>
      <vt:lpstr>RT.008 Antibody Screen - Immune Anti-A, -B</vt:lpstr>
    </vt:vector>
  </TitlesOfParts>
  <Company>Microsoft</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RT.008 Antibody Screen - Immune Anti-A, -B</dc:title>
  <dc:subject/>
  <dc:creator>Transfusion Ontario Program Office</dc:creator>
  <cp:keywords/>
  <cp:lastModifiedBy>Nesrallah, Heather</cp:lastModifiedBy>
  <cp:revision>2</cp:revision>
  <cp:lastPrinted>2011-01-11T17:22:00Z</cp:lastPrinted>
  <dcterms:created xsi:type="dcterms:W3CDTF">2020-08-10T17:52:00Z</dcterms:created>
  <dcterms:modified xsi:type="dcterms:W3CDTF">2020-08-10T17:52:00Z</dcterms:modified>
</cp:coreProperties>
</file>