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8" w:rsidRPr="006E0D74" w:rsidRDefault="00ED42A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6E0D74">
        <w:rPr>
          <w:rFonts w:ascii="Arial" w:hAnsi="Arial"/>
          <w:b/>
          <w:sz w:val="28"/>
          <w:lang w:val="fr-CA"/>
        </w:rPr>
        <w:t>Principe</w:t>
      </w:r>
    </w:p>
    <w:p w:rsidR="00ED42A8" w:rsidRPr="006E0D74" w:rsidRDefault="00ED42A8">
      <w:pPr>
        <w:rPr>
          <w:rFonts w:ascii="Arial" w:hAnsi="Arial"/>
          <w:b/>
          <w:sz w:val="24"/>
          <w:lang w:val="fr-CA"/>
        </w:rPr>
      </w:pPr>
    </w:p>
    <w:p w:rsidR="00ED42A8" w:rsidRPr="006E0D74" w:rsidRDefault="003D5E25">
      <w:pPr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pacing w:val="-2"/>
          <w:sz w:val="24"/>
          <w:lang w:val="fr-CA"/>
        </w:rPr>
        <w:t>Les lectines végétales peuvent aider à déterminer certains groupes ou sous-groupes sanguins, en particulier la lectine</w:t>
      </w:r>
      <w:r w:rsidR="00ED14CA">
        <w:rPr>
          <w:rFonts w:ascii="Arial" w:hAnsi="Arial"/>
          <w:spacing w:val="-2"/>
          <w:sz w:val="24"/>
          <w:lang w:val="fr-CA"/>
        </w:rPr>
        <w:t> </w:t>
      </w:r>
      <w:r w:rsidRPr="006E0D74">
        <w:rPr>
          <w:rFonts w:ascii="Arial" w:hAnsi="Arial"/>
          <w:spacing w:val="-2"/>
          <w:sz w:val="24"/>
          <w:lang w:val="fr-CA"/>
        </w:rPr>
        <w:t>a</w:t>
      </w:r>
      <w:r w:rsidR="00ED42A8" w:rsidRPr="006E0D74">
        <w:rPr>
          <w:rFonts w:ascii="Arial" w:hAnsi="Arial"/>
          <w:spacing w:val="-2"/>
          <w:sz w:val="24"/>
          <w:lang w:val="fr-CA"/>
        </w:rPr>
        <w:t>nti-A</w:t>
      </w:r>
      <w:r w:rsidR="00ED42A8" w:rsidRPr="006E0D74">
        <w:rPr>
          <w:rFonts w:ascii="Arial" w:hAnsi="Arial"/>
          <w:spacing w:val="-3"/>
          <w:sz w:val="24"/>
          <w:vertAlign w:val="subscript"/>
          <w:lang w:val="fr-CA"/>
        </w:rPr>
        <w:t>1</w:t>
      </w:r>
      <w:r w:rsidR="00ED42A8"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="00ED42A8" w:rsidRPr="006E0D74">
        <w:rPr>
          <w:rFonts w:ascii="Arial" w:hAnsi="Arial"/>
          <w:i/>
          <w:spacing w:val="-2"/>
          <w:sz w:val="24"/>
          <w:lang w:val="fr-CA"/>
        </w:rPr>
        <w:t>(</w:t>
      </w:r>
      <w:proofErr w:type="spellStart"/>
      <w:r w:rsidR="00ED42A8" w:rsidRPr="006E0D74">
        <w:rPr>
          <w:rFonts w:ascii="Arial" w:hAnsi="Arial"/>
          <w:i/>
          <w:spacing w:val="-2"/>
          <w:sz w:val="24"/>
          <w:lang w:val="fr-CA"/>
        </w:rPr>
        <w:t>Dolichos</w:t>
      </w:r>
      <w:proofErr w:type="spellEnd"/>
      <w:r w:rsidR="00ED42A8" w:rsidRPr="006E0D74">
        <w:rPr>
          <w:rFonts w:ascii="Arial" w:hAnsi="Arial"/>
          <w:i/>
          <w:spacing w:val="-2"/>
          <w:sz w:val="24"/>
          <w:lang w:val="fr-CA"/>
        </w:rPr>
        <w:t xml:space="preserve"> </w:t>
      </w:r>
      <w:proofErr w:type="spellStart"/>
      <w:r w:rsidR="00ED42A8" w:rsidRPr="006E0D74">
        <w:rPr>
          <w:rFonts w:ascii="Arial" w:hAnsi="Arial"/>
          <w:i/>
          <w:spacing w:val="-2"/>
          <w:sz w:val="24"/>
          <w:lang w:val="fr-CA"/>
        </w:rPr>
        <w:t>Biflorus</w:t>
      </w:r>
      <w:proofErr w:type="spellEnd"/>
      <w:r w:rsidR="00ED42A8" w:rsidRPr="006E0D74">
        <w:rPr>
          <w:rFonts w:ascii="Arial" w:hAnsi="Arial"/>
          <w:spacing w:val="-2"/>
          <w:sz w:val="24"/>
          <w:lang w:val="fr-CA"/>
        </w:rPr>
        <w:t xml:space="preserve">) </w:t>
      </w:r>
      <w:r w:rsidRPr="006E0D74">
        <w:rPr>
          <w:rFonts w:ascii="Arial" w:hAnsi="Arial"/>
          <w:spacing w:val="-2"/>
          <w:sz w:val="24"/>
          <w:lang w:val="fr-CA"/>
        </w:rPr>
        <w:t>et</w:t>
      </w:r>
      <w:r w:rsidR="00ED42A8" w:rsidRPr="006E0D74">
        <w:rPr>
          <w:rFonts w:ascii="Arial" w:hAnsi="Arial"/>
          <w:spacing w:val="-2"/>
          <w:sz w:val="24"/>
          <w:lang w:val="fr-CA"/>
        </w:rPr>
        <w:t>/o</w:t>
      </w:r>
      <w:r w:rsidRPr="006E0D74">
        <w:rPr>
          <w:rFonts w:ascii="Arial" w:hAnsi="Arial"/>
          <w:spacing w:val="-2"/>
          <w:sz w:val="24"/>
          <w:lang w:val="fr-CA"/>
        </w:rPr>
        <w:t>u</w:t>
      </w:r>
      <w:r w:rsidR="00ED42A8"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Pr="006E0D74">
        <w:rPr>
          <w:rFonts w:ascii="Arial" w:hAnsi="Arial"/>
          <w:spacing w:val="-2"/>
          <w:sz w:val="24"/>
          <w:lang w:val="fr-CA"/>
        </w:rPr>
        <w:t xml:space="preserve">la lectine </w:t>
      </w:r>
      <w:proofErr w:type="spellStart"/>
      <w:r w:rsidRPr="006E0D74">
        <w:rPr>
          <w:rFonts w:ascii="Arial" w:hAnsi="Arial"/>
          <w:spacing w:val="-2"/>
          <w:sz w:val="24"/>
          <w:lang w:val="fr-CA"/>
        </w:rPr>
        <w:t>a</w:t>
      </w:r>
      <w:r w:rsidR="00ED42A8" w:rsidRPr="006E0D74">
        <w:rPr>
          <w:rFonts w:ascii="Arial" w:hAnsi="Arial"/>
          <w:spacing w:val="-2"/>
          <w:sz w:val="24"/>
          <w:lang w:val="fr-CA"/>
        </w:rPr>
        <w:t>nti-H</w:t>
      </w:r>
      <w:proofErr w:type="spellEnd"/>
      <w:r w:rsidR="00ED42A8"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="00ED42A8" w:rsidRPr="006E0D74">
        <w:rPr>
          <w:rFonts w:ascii="Arial" w:hAnsi="Arial"/>
          <w:i/>
          <w:spacing w:val="-2"/>
          <w:sz w:val="24"/>
          <w:lang w:val="fr-CA"/>
        </w:rPr>
        <w:t>(</w:t>
      </w:r>
      <w:proofErr w:type="spellStart"/>
      <w:r w:rsidR="00ED42A8" w:rsidRPr="006E0D74">
        <w:rPr>
          <w:rFonts w:ascii="Arial" w:hAnsi="Arial"/>
          <w:i/>
          <w:spacing w:val="-2"/>
          <w:sz w:val="24"/>
          <w:lang w:val="fr-CA"/>
        </w:rPr>
        <w:t>Ulex</w:t>
      </w:r>
      <w:proofErr w:type="spellEnd"/>
      <w:r w:rsidR="00ED42A8" w:rsidRPr="006E0D74">
        <w:rPr>
          <w:rFonts w:ascii="Arial" w:hAnsi="Arial"/>
          <w:i/>
          <w:spacing w:val="-2"/>
          <w:sz w:val="24"/>
          <w:lang w:val="fr-CA"/>
        </w:rPr>
        <w:t xml:space="preserve"> Europaeus)</w:t>
      </w:r>
      <w:r w:rsidR="007023EC" w:rsidRPr="007023EC">
        <w:rPr>
          <w:rFonts w:ascii="Arial" w:hAnsi="Arial"/>
          <w:spacing w:val="-2"/>
          <w:sz w:val="24"/>
          <w:vertAlign w:val="superscript"/>
          <w:lang w:val="fr-CA"/>
        </w:rPr>
        <w:t>9.1</w:t>
      </w:r>
      <w:r w:rsidR="00ED42A8" w:rsidRPr="006E0D74">
        <w:rPr>
          <w:rFonts w:ascii="Arial" w:hAnsi="Arial"/>
          <w:spacing w:val="-2"/>
          <w:sz w:val="24"/>
          <w:lang w:val="fr-CA"/>
        </w:rPr>
        <w:t>.</w:t>
      </w:r>
    </w:p>
    <w:p w:rsidR="00ED42A8" w:rsidRPr="006E0D74" w:rsidRDefault="00ED42A8">
      <w:pPr>
        <w:ind w:left="720"/>
        <w:rPr>
          <w:rFonts w:ascii="Arial" w:hAnsi="Arial"/>
          <w:sz w:val="24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Portée et politiques connexes</w:t>
      </w:r>
    </w:p>
    <w:p w:rsidR="00ED42A8" w:rsidRPr="006E0D74" w:rsidRDefault="00ED42A8">
      <w:pPr>
        <w:rPr>
          <w:rFonts w:ascii="Arial" w:hAnsi="Arial"/>
          <w:b/>
          <w:sz w:val="24"/>
          <w:lang w:val="fr-CA"/>
        </w:rPr>
      </w:pPr>
    </w:p>
    <w:p w:rsidR="00ED42A8" w:rsidRPr="006E0D74" w:rsidRDefault="003D5E25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fr-CA"/>
        </w:rPr>
      </w:pPr>
      <w:r w:rsidRPr="006E0D74">
        <w:rPr>
          <w:rFonts w:ascii="Arial" w:hAnsi="Arial"/>
          <w:spacing w:val="-2"/>
          <w:sz w:val="24"/>
          <w:lang w:val="fr-CA"/>
        </w:rPr>
        <w:t xml:space="preserve">Lorsque le groupage ABO de routine produit une réaction inattendue ou faible ou </w:t>
      </w:r>
      <w:r w:rsidR="007D1FB5" w:rsidRPr="006E0D74">
        <w:rPr>
          <w:rFonts w:ascii="Arial" w:hAnsi="Arial"/>
          <w:spacing w:val="-2"/>
          <w:sz w:val="24"/>
          <w:lang w:val="fr-CA"/>
        </w:rPr>
        <w:t xml:space="preserve">encore </w:t>
      </w:r>
      <w:r w:rsidRPr="006E0D74">
        <w:rPr>
          <w:rFonts w:ascii="Arial" w:hAnsi="Arial"/>
          <w:spacing w:val="-2"/>
          <w:sz w:val="24"/>
          <w:lang w:val="fr-CA"/>
        </w:rPr>
        <w:t>en présence de divergence entre l’épreuve globulaire et l’épreuve sérologique, il faut procéder à une détermination du sous-groupe</w:t>
      </w:r>
      <w:r w:rsidR="00ED42A8" w:rsidRPr="006E0D74">
        <w:rPr>
          <w:rFonts w:ascii="Arial" w:hAnsi="Arial"/>
          <w:spacing w:val="-2"/>
          <w:sz w:val="24"/>
          <w:lang w:val="fr-CA"/>
        </w:rPr>
        <w:t>.</w:t>
      </w:r>
    </w:p>
    <w:p w:rsidR="00ED42A8" w:rsidRPr="006E0D74" w:rsidRDefault="00ED42A8">
      <w:pPr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ED42A8" w:rsidRPr="006E0D74" w:rsidRDefault="003D5E25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fr-CA"/>
        </w:rPr>
      </w:pPr>
      <w:r w:rsidRPr="006E0D74">
        <w:rPr>
          <w:rFonts w:ascii="Arial" w:hAnsi="Arial"/>
          <w:spacing w:val="-2"/>
          <w:sz w:val="24"/>
          <w:lang w:val="fr-CA"/>
        </w:rPr>
        <w:t xml:space="preserve">Signaler au technologue responsable ou à la personne désignée tout résultat inhabituel ou qui continue à être divergent. </w:t>
      </w:r>
    </w:p>
    <w:p w:rsidR="00ED42A8" w:rsidRPr="006E0D74" w:rsidRDefault="00ED42A8">
      <w:pPr>
        <w:rPr>
          <w:rFonts w:ascii="Arial" w:hAnsi="Arial"/>
          <w:sz w:val="24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Échantillons</w:t>
      </w:r>
    </w:p>
    <w:p w:rsidR="00ED42A8" w:rsidRPr="006E0D74" w:rsidRDefault="003D5E25" w:rsidP="00D33DB0">
      <w:pPr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 xml:space="preserve">Suspension saline à </w:t>
      </w:r>
      <w:r w:rsidR="00ED42A8" w:rsidRPr="006E0D74">
        <w:rPr>
          <w:rFonts w:ascii="Arial" w:hAnsi="Arial"/>
          <w:sz w:val="24"/>
          <w:lang w:val="fr-CA"/>
        </w:rPr>
        <w:t>3</w:t>
      </w:r>
      <w:r w:rsidRPr="006E0D74">
        <w:rPr>
          <w:rFonts w:ascii="Arial" w:hAnsi="Arial"/>
          <w:sz w:val="24"/>
          <w:lang w:val="fr-CA"/>
        </w:rPr>
        <w:t> </w:t>
      </w:r>
      <w:r w:rsidR="00ED42A8" w:rsidRPr="006E0D74">
        <w:rPr>
          <w:rFonts w:ascii="Arial" w:hAnsi="Arial"/>
          <w:sz w:val="24"/>
          <w:lang w:val="fr-CA"/>
        </w:rPr>
        <w:t xml:space="preserve">% </w:t>
      </w:r>
      <w:r w:rsidRPr="006E0D74">
        <w:rPr>
          <w:rFonts w:ascii="Arial" w:hAnsi="Arial"/>
          <w:sz w:val="24"/>
          <w:lang w:val="fr-CA"/>
        </w:rPr>
        <w:t xml:space="preserve">des cellules </w:t>
      </w:r>
      <w:r w:rsidR="00727B26" w:rsidRPr="006E0D74">
        <w:rPr>
          <w:rFonts w:ascii="Arial" w:hAnsi="Arial"/>
          <w:sz w:val="24"/>
          <w:lang w:val="fr-CA"/>
        </w:rPr>
        <w:t>à analyser (cellules du</w:t>
      </w:r>
      <w:r w:rsidR="00D33DB0">
        <w:rPr>
          <w:rFonts w:ascii="Arial" w:hAnsi="Arial"/>
          <w:sz w:val="24"/>
          <w:lang w:val="fr-CA"/>
        </w:rPr>
        <w:t xml:space="preserve"> </w:t>
      </w:r>
      <w:r w:rsidRPr="006E0D74">
        <w:rPr>
          <w:rFonts w:ascii="Arial" w:hAnsi="Arial"/>
          <w:sz w:val="24"/>
          <w:lang w:val="fr-CA"/>
        </w:rPr>
        <w:t>patient</w:t>
      </w:r>
      <w:r w:rsidR="00ED42A8" w:rsidRPr="006E0D74">
        <w:rPr>
          <w:rFonts w:ascii="Arial" w:hAnsi="Arial"/>
          <w:sz w:val="24"/>
          <w:lang w:val="fr-CA"/>
        </w:rPr>
        <w:t xml:space="preserve"> </w:t>
      </w:r>
      <w:r w:rsidR="00727B26" w:rsidRPr="006E0D74">
        <w:rPr>
          <w:rFonts w:ascii="Arial" w:hAnsi="Arial"/>
          <w:sz w:val="24"/>
          <w:lang w:val="fr-CA"/>
        </w:rPr>
        <w:t>ou du donneur)</w:t>
      </w:r>
    </w:p>
    <w:p w:rsidR="00ED42A8" w:rsidRPr="006E0D74" w:rsidRDefault="00ED42A8">
      <w:pPr>
        <w:ind w:left="720"/>
        <w:rPr>
          <w:rFonts w:ascii="Arial" w:hAnsi="Arial"/>
          <w:sz w:val="24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Matériel</w:t>
      </w:r>
    </w:p>
    <w:p w:rsidR="00ED42A8" w:rsidRPr="006E0D74" w:rsidRDefault="00ED42A8">
      <w:pPr>
        <w:rPr>
          <w:rFonts w:ascii="Arial" w:hAnsi="Arial"/>
          <w:sz w:val="24"/>
          <w:lang w:val="fr-CA"/>
        </w:rPr>
      </w:pPr>
    </w:p>
    <w:p w:rsidR="00ED42A8" w:rsidRPr="006E0D74" w:rsidRDefault="006471CE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b/>
          <w:sz w:val="24"/>
          <w:lang w:val="fr-CA"/>
        </w:rPr>
        <w:t>Équipement</w:t>
      </w:r>
      <w:r w:rsidRPr="006E0D74">
        <w:rPr>
          <w:rFonts w:ascii="Arial" w:hAnsi="Arial"/>
          <w:sz w:val="24"/>
          <w:lang w:val="fr-CA"/>
        </w:rPr>
        <w:t> :</w:t>
      </w:r>
      <w:r w:rsidR="00ED14CA">
        <w:rPr>
          <w:rFonts w:ascii="Arial" w:hAnsi="Arial"/>
          <w:sz w:val="24"/>
          <w:lang w:val="fr-CA"/>
        </w:rPr>
        <w:t xml:space="preserve"> </w:t>
      </w:r>
      <w:r w:rsidRPr="006E0D74">
        <w:rPr>
          <w:rFonts w:ascii="Arial" w:hAnsi="Arial"/>
          <w:sz w:val="24"/>
          <w:lang w:val="fr-CA"/>
        </w:rPr>
        <w:t>centrifugeuse sérologique</w:t>
      </w:r>
    </w:p>
    <w:p w:rsidR="00ED42A8" w:rsidRPr="006E0D74" w:rsidRDefault="00ED42A8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ab/>
      </w:r>
      <w:proofErr w:type="gramStart"/>
      <w:r w:rsidR="00AD0FCA" w:rsidRPr="006E0D74">
        <w:rPr>
          <w:rFonts w:ascii="Arial" w:hAnsi="Arial"/>
          <w:sz w:val="24"/>
          <w:lang w:val="fr-CA"/>
        </w:rPr>
        <w:t>support</w:t>
      </w:r>
      <w:proofErr w:type="gramEnd"/>
      <w:r w:rsidR="00AD0FCA" w:rsidRPr="006E0D74">
        <w:rPr>
          <w:rFonts w:ascii="Arial" w:hAnsi="Arial"/>
          <w:sz w:val="24"/>
          <w:lang w:val="fr-CA"/>
        </w:rPr>
        <w:t xml:space="preserve"> </w:t>
      </w:r>
      <w:r w:rsidR="006471CE" w:rsidRPr="006E0D74">
        <w:rPr>
          <w:rFonts w:ascii="Arial" w:hAnsi="Arial"/>
          <w:sz w:val="24"/>
          <w:lang w:val="fr-CA"/>
        </w:rPr>
        <w:t>à tubes</w:t>
      </w:r>
    </w:p>
    <w:p w:rsidR="00ED42A8" w:rsidRPr="006E0D74" w:rsidRDefault="00ED42A8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ab/>
      </w:r>
      <w:r w:rsidRPr="006E0D74">
        <w:rPr>
          <w:rFonts w:ascii="Arial" w:hAnsi="Arial"/>
          <w:sz w:val="24"/>
          <w:lang w:val="fr-CA"/>
        </w:rPr>
        <w:tab/>
      </w:r>
      <w:r w:rsidRPr="006E0D74">
        <w:rPr>
          <w:rFonts w:ascii="Arial" w:hAnsi="Arial"/>
          <w:sz w:val="24"/>
          <w:lang w:val="fr-CA"/>
        </w:rPr>
        <w:tab/>
      </w:r>
    </w:p>
    <w:p w:rsidR="00ED42A8" w:rsidRPr="006E0D74" w:rsidRDefault="006471CE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b/>
          <w:sz w:val="24"/>
          <w:lang w:val="fr-CA"/>
        </w:rPr>
        <w:t>Fournitures</w:t>
      </w:r>
      <w:r w:rsidRPr="006E0D74">
        <w:rPr>
          <w:rFonts w:ascii="Arial" w:hAnsi="Arial"/>
          <w:sz w:val="24"/>
          <w:lang w:val="fr-CA"/>
        </w:rPr>
        <w:t xml:space="preserve"> : </w:t>
      </w:r>
      <w:r w:rsidR="007023EC">
        <w:rPr>
          <w:rFonts w:ascii="Arial" w:hAnsi="Arial"/>
          <w:sz w:val="24"/>
          <w:lang w:val="fr-CA"/>
        </w:rPr>
        <w:tab/>
      </w:r>
      <w:r w:rsidRPr="006E0D74">
        <w:rPr>
          <w:rFonts w:ascii="Arial" w:hAnsi="Arial"/>
          <w:sz w:val="24"/>
          <w:lang w:val="fr-CA"/>
        </w:rPr>
        <w:t>tubes 10 x 75 mm</w:t>
      </w:r>
    </w:p>
    <w:p w:rsidR="00ED42A8" w:rsidRPr="006E0D74" w:rsidRDefault="00ED42A8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ab/>
      </w:r>
      <w:proofErr w:type="gramStart"/>
      <w:r w:rsidR="006471CE" w:rsidRPr="006E0D74">
        <w:rPr>
          <w:rFonts w:ascii="Arial" w:hAnsi="Arial"/>
          <w:sz w:val="24"/>
          <w:lang w:val="fr-CA"/>
        </w:rPr>
        <w:t>pipettes</w:t>
      </w:r>
      <w:proofErr w:type="gramEnd"/>
      <w:r w:rsidR="006471CE" w:rsidRPr="006E0D74">
        <w:rPr>
          <w:rFonts w:ascii="Arial" w:hAnsi="Arial"/>
          <w:sz w:val="24"/>
          <w:lang w:val="fr-CA"/>
        </w:rPr>
        <w:t xml:space="preserve"> sérologiques</w:t>
      </w:r>
    </w:p>
    <w:p w:rsidR="00ED42A8" w:rsidRPr="006E0D74" w:rsidRDefault="00ED42A8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ab/>
      </w:r>
      <w:r w:rsidRPr="006E0D74">
        <w:rPr>
          <w:rFonts w:ascii="Arial" w:hAnsi="Arial"/>
          <w:sz w:val="24"/>
          <w:lang w:val="fr-CA"/>
        </w:rPr>
        <w:tab/>
      </w:r>
      <w:r w:rsidRPr="006E0D74">
        <w:rPr>
          <w:rFonts w:ascii="Arial" w:hAnsi="Arial"/>
          <w:sz w:val="24"/>
          <w:lang w:val="fr-CA"/>
        </w:rPr>
        <w:tab/>
      </w:r>
    </w:p>
    <w:p w:rsidR="00ED42A8" w:rsidRPr="006E0D74" w:rsidRDefault="006471CE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b/>
          <w:sz w:val="24"/>
          <w:lang w:val="fr-CA"/>
        </w:rPr>
        <w:t>Réactifs</w:t>
      </w:r>
      <w:r w:rsidR="00ED14CA">
        <w:rPr>
          <w:rFonts w:ascii="Arial" w:hAnsi="Arial"/>
          <w:sz w:val="24"/>
          <w:lang w:val="fr-CA"/>
        </w:rPr>
        <w:t> </w:t>
      </w:r>
      <w:r w:rsidRPr="006E0D74">
        <w:rPr>
          <w:rFonts w:ascii="Arial" w:hAnsi="Arial"/>
          <w:sz w:val="24"/>
          <w:lang w:val="fr-CA"/>
        </w:rPr>
        <w:t>:</w:t>
      </w:r>
      <w:r w:rsidRPr="006E0D74">
        <w:rPr>
          <w:rFonts w:ascii="Arial" w:hAnsi="Arial"/>
          <w:sz w:val="24"/>
          <w:lang w:val="fr-CA"/>
        </w:rPr>
        <w:tab/>
        <w:t>solution saline</w:t>
      </w:r>
      <w:r w:rsidR="004B5A17" w:rsidRPr="006E0D74">
        <w:rPr>
          <w:rFonts w:ascii="Arial" w:hAnsi="Arial"/>
          <w:sz w:val="24"/>
          <w:lang w:val="fr-CA"/>
        </w:rPr>
        <w:t xml:space="preserve"> normale</w:t>
      </w:r>
    </w:p>
    <w:p w:rsidR="00ED42A8" w:rsidRPr="006E0D74" w:rsidRDefault="00ED42A8" w:rsidP="007023EC">
      <w:pPr>
        <w:tabs>
          <w:tab w:val="left" w:pos="2268"/>
        </w:tabs>
        <w:suppressAutoHyphens/>
        <w:ind w:left="1440"/>
        <w:rPr>
          <w:rFonts w:ascii="Arial" w:hAnsi="Arial"/>
          <w:spacing w:val="-2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ab/>
      </w:r>
      <w:proofErr w:type="gramStart"/>
      <w:r w:rsidR="004E5907" w:rsidRPr="006E0D74">
        <w:rPr>
          <w:rFonts w:ascii="Arial" w:hAnsi="Arial"/>
          <w:sz w:val="24"/>
          <w:lang w:val="fr-CA"/>
        </w:rPr>
        <w:t>s</w:t>
      </w:r>
      <w:r w:rsidR="003D5E25" w:rsidRPr="006E0D74">
        <w:rPr>
          <w:rFonts w:ascii="Arial" w:hAnsi="Arial"/>
          <w:sz w:val="24"/>
          <w:lang w:val="fr-CA"/>
        </w:rPr>
        <w:t>uspension</w:t>
      </w:r>
      <w:proofErr w:type="gramEnd"/>
      <w:r w:rsidR="003D5E25" w:rsidRPr="006E0D74">
        <w:rPr>
          <w:rFonts w:ascii="Arial" w:hAnsi="Arial"/>
          <w:sz w:val="24"/>
          <w:lang w:val="fr-CA"/>
        </w:rPr>
        <w:t xml:space="preserve"> saline à </w:t>
      </w:r>
      <w:r w:rsidRPr="006E0D74">
        <w:rPr>
          <w:rFonts w:ascii="Arial" w:hAnsi="Arial"/>
          <w:spacing w:val="-2"/>
          <w:sz w:val="24"/>
          <w:lang w:val="fr-CA"/>
        </w:rPr>
        <w:t>3</w:t>
      </w:r>
      <w:r w:rsidR="00ED14CA">
        <w:rPr>
          <w:rFonts w:ascii="Arial" w:hAnsi="Arial"/>
          <w:spacing w:val="-2"/>
          <w:sz w:val="24"/>
          <w:lang w:val="fr-CA"/>
        </w:rPr>
        <w:t> </w:t>
      </w:r>
      <w:r w:rsidRPr="006E0D74">
        <w:rPr>
          <w:rFonts w:ascii="Arial" w:hAnsi="Arial"/>
          <w:spacing w:val="-2"/>
          <w:sz w:val="24"/>
          <w:lang w:val="fr-CA"/>
        </w:rPr>
        <w:t xml:space="preserve">% </w:t>
      </w:r>
      <w:r w:rsidR="003D5E25" w:rsidRPr="006E0D74">
        <w:rPr>
          <w:rFonts w:ascii="Arial" w:hAnsi="Arial"/>
          <w:spacing w:val="-2"/>
          <w:sz w:val="24"/>
          <w:lang w:val="fr-CA"/>
        </w:rPr>
        <w:t>de cellules</w:t>
      </w:r>
      <w:r w:rsidR="00ED14CA">
        <w:rPr>
          <w:rFonts w:ascii="Arial" w:hAnsi="Arial"/>
          <w:spacing w:val="-2"/>
          <w:sz w:val="24"/>
          <w:lang w:val="fr-CA"/>
        </w:rPr>
        <w:t> </w:t>
      </w:r>
      <w:r w:rsidRPr="006E0D74">
        <w:rPr>
          <w:rFonts w:ascii="Arial" w:hAnsi="Arial"/>
          <w:spacing w:val="-2"/>
          <w:sz w:val="24"/>
          <w:lang w:val="fr-CA"/>
        </w:rPr>
        <w:t>A</w:t>
      </w:r>
      <w:r w:rsidRPr="006E0D74">
        <w:rPr>
          <w:rFonts w:ascii="Arial" w:hAnsi="Arial"/>
          <w:spacing w:val="-3"/>
          <w:sz w:val="24"/>
          <w:vertAlign w:val="subscript"/>
          <w:lang w:val="fr-CA"/>
        </w:rPr>
        <w:t>1</w:t>
      </w:r>
      <w:r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="004E5907" w:rsidRPr="006E0D74">
        <w:rPr>
          <w:rFonts w:ascii="Arial" w:hAnsi="Arial"/>
          <w:spacing w:val="-2"/>
          <w:sz w:val="24"/>
          <w:lang w:val="fr-CA"/>
        </w:rPr>
        <w:t>et</w:t>
      </w:r>
      <w:r w:rsidRPr="006E0D74">
        <w:rPr>
          <w:rFonts w:ascii="Arial" w:hAnsi="Arial"/>
          <w:spacing w:val="-2"/>
          <w:sz w:val="24"/>
          <w:lang w:val="fr-CA"/>
        </w:rPr>
        <w:t xml:space="preserve"> A</w:t>
      </w:r>
      <w:r w:rsidRPr="006E0D74">
        <w:rPr>
          <w:rFonts w:ascii="Arial" w:hAnsi="Arial"/>
          <w:spacing w:val="-3"/>
          <w:sz w:val="24"/>
          <w:vertAlign w:val="subscript"/>
          <w:lang w:val="fr-CA"/>
        </w:rPr>
        <w:t>2</w:t>
      </w:r>
      <w:r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="003D5E25" w:rsidRPr="006E0D74">
        <w:rPr>
          <w:rFonts w:ascii="Arial" w:hAnsi="Arial"/>
          <w:spacing w:val="-2"/>
          <w:sz w:val="24"/>
          <w:lang w:val="fr-CA"/>
        </w:rPr>
        <w:t>connues</w:t>
      </w:r>
    </w:p>
    <w:p w:rsidR="00ED42A8" w:rsidRPr="006E0D74" w:rsidRDefault="003D5E25" w:rsidP="007023EC">
      <w:pPr>
        <w:tabs>
          <w:tab w:val="left" w:pos="2268"/>
        </w:tabs>
        <w:suppressAutoHyphens/>
        <w:rPr>
          <w:rFonts w:ascii="Arial" w:hAnsi="Arial"/>
          <w:spacing w:val="-2"/>
          <w:sz w:val="24"/>
          <w:lang w:val="fr-CA"/>
        </w:rPr>
      </w:pPr>
      <w:r w:rsidRPr="006E0D74">
        <w:rPr>
          <w:rFonts w:ascii="Arial" w:hAnsi="Arial"/>
          <w:spacing w:val="-2"/>
          <w:sz w:val="24"/>
          <w:lang w:val="fr-CA"/>
        </w:rPr>
        <w:tab/>
      </w:r>
      <w:proofErr w:type="gramStart"/>
      <w:r w:rsidRPr="006E0D74">
        <w:rPr>
          <w:rFonts w:ascii="Arial" w:hAnsi="Arial"/>
          <w:spacing w:val="-2"/>
          <w:sz w:val="24"/>
          <w:lang w:val="fr-CA"/>
        </w:rPr>
        <w:t>l</w:t>
      </w:r>
      <w:r w:rsidR="00ED42A8" w:rsidRPr="006E0D74">
        <w:rPr>
          <w:rFonts w:ascii="Arial" w:hAnsi="Arial"/>
          <w:spacing w:val="-2"/>
          <w:sz w:val="24"/>
          <w:lang w:val="fr-CA"/>
        </w:rPr>
        <w:t>ectin</w:t>
      </w:r>
      <w:r w:rsidRPr="006E0D74">
        <w:rPr>
          <w:rFonts w:ascii="Arial" w:hAnsi="Arial"/>
          <w:spacing w:val="-2"/>
          <w:sz w:val="24"/>
          <w:lang w:val="fr-CA"/>
        </w:rPr>
        <w:t>e</w:t>
      </w:r>
      <w:r w:rsidR="00ED42A8" w:rsidRPr="006E0D74">
        <w:rPr>
          <w:rFonts w:ascii="Arial" w:hAnsi="Arial"/>
          <w:spacing w:val="-2"/>
          <w:sz w:val="24"/>
          <w:lang w:val="fr-CA"/>
        </w:rPr>
        <w:t>s</w:t>
      </w:r>
      <w:proofErr w:type="gramEnd"/>
      <w:r w:rsidR="00ED14CA">
        <w:rPr>
          <w:rFonts w:ascii="Arial" w:hAnsi="Arial"/>
          <w:spacing w:val="-2"/>
          <w:sz w:val="24"/>
          <w:lang w:val="fr-CA"/>
        </w:rPr>
        <w:t> </w:t>
      </w:r>
      <w:r w:rsidR="00ED42A8" w:rsidRPr="006E0D74">
        <w:rPr>
          <w:rFonts w:ascii="Arial" w:hAnsi="Arial"/>
          <w:spacing w:val="-2"/>
          <w:sz w:val="24"/>
          <w:lang w:val="fr-CA"/>
        </w:rPr>
        <w:t>: anti-A</w:t>
      </w:r>
      <w:r w:rsidR="00ED42A8" w:rsidRPr="006E0D74">
        <w:rPr>
          <w:rFonts w:ascii="Arial" w:hAnsi="Arial"/>
          <w:spacing w:val="-2"/>
          <w:sz w:val="24"/>
          <w:vertAlign w:val="subscript"/>
          <w:lang w:val="fr-CA"/>
        </w:rPr>
        <w:t>1</w:t>
      </w:r>
      <w:r w:rsidR="00ED42A8" w:rsidRPr="006E0D74">
        <w:rPr>
          <w:rFonts w:ascii="Arial" w:hAnsi="Arial"/>
          <w:spacing w:val="-2"/>
          <w:sz w:val="24"/>
          <w:lang w:val="fr-CA"/>
        </w:rPr>
        <w:t xml:space="preserve"> </w:t>
      </w:r>
      <w:r w:rsidRPr="006E0D74">
        <w:rPr>
          <w:rFonts w:ascii="Arial" w:hAnsi="Arial"/>
          <w:spacing w:val="-2"/>
          <w:sz w:val="24"/>
          <w:lang w:val="fr-CA"/>
        </w:rPr>
        <w:t>et</w:t>
      </w:r>
      <w:r w:rsidR="00AD0FCA" w:rsidRPr="006E0D74">
        <w:rPr>
          <w:rFonts w:ascii="Arial" w:hAnsi="Arial"/>
          <w:spacing w:val="-2"/>
          <w:sz w:val="24"/>
          <w:lang w:val="fr-CA"/>
        </w:rPr>
        <w:t>/</w:t>
      </w:r>
      <w:r w:rsidRPr="006E0D74">
        <w:rPr>
          <w:rFonts w:ascii="Arial" w:hAnsi="Arial"/>
          <w:spacing w:val="-2"/>
          <w:sz w:val="24"/>
          <w:lang w:val="fr-CA"/>
        </w:rPr>
        <w:t xml:space="preserve">ou </w:t>
      </w:r>
      <w:proofErr w:type="spellStart"/>
      <w:r w:rsidR="00ED42A8" w:rsidRPr="006E0D74">
        <w:rPr>
          <w:rFonts w:ascii="Arial" w:hAnsi="Arial"/>
          <w:spacing w:val="-2"/>
          <w:sz w:val="24"/>
          <w:lang w:val="fr-CA"/>
        </w:rPr>
        <w:t>anti-H</w:t>
      </w:r>
      <w:proofErr w:type="spellEnd"/>
    </w:p>
    <w:p w:rsidR="00ED42A8" w:rsidRPr="006E0D74" w:rsidRDefault="00ED42A8" w:rsidP="007023EC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lastRenderedPageBreak/>
        <w:t>Contrôle de la qualité</w:t>
      </w:r>
      <w:r w:rsidRPr="006E0D74">
        <w:rPr>
          <w:rFonts w:ascii="Arial" w:hAnsi="Arial"/>
          <w:sz w:val="28"/>
          <w:lang w:val="fr-CA"/>
        </w:rPr>
        <w:t xml:space="preserve"> - S.O.</w:t>
      </w:r>
    </w:p>
    <w:p w:rsidR="00ED42A8" w:rsidRPr="006E0D74" w:rsidRDefault="00ED42A8">
      <w:pPr>
        <w:ind w:left="720"/>
        <w:rPr>
          <w:rFonts w:ascii="Arial" w:hAnsi="Arial"/>
          <w:sz w:val="24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Procédure</w:t>
      </w:r>
    </w:p>
    <w:p w:rsidR="00ED42A8" w:rsidRPr="006E0D74" w:rsidRDefault="00ED42A8">
      <w:pPr>
        <w:rPr>
          <w:rFonts w:ascii="Arial" w:hAnsi="Arial"/>
          <w:b/>
          <w:sz w:val="24"/>
          <w:lang w:val="fr-CA"/>
        </w:rPr>
      </w:pPr>
    </w:p>
    <w:p w:rsidR="00ED42A8" w:rsidRPr="006E0D74" w:rsidRDefault="003D5E25">
      <w:pPr>
        <w:ind w:left="720"/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spacing w:val="-2"/>
          <w:sz w:val="24"/>
          <w:u w:val="single"/>
          <w:lang w:val="fr-CA"/>
        </w:rPr>
        <w:t>Emploi de lectine</w:t>
      </w:r>
      <w:r w:rsidR="00ED14CA">
        <w:rPr>
          <w:rFonts w:ascii="Arial" w:hAnsi="Arial"/>
          <w:spacing w:val="-2"/>
          <w:sz w:val="24"/>
          <w:u w:val="single"/>
          <w:lang w:val="fr-CA"/>
        </w:rPr>
        <w:t> </w:t>
      </w:r>
      <w:r w:rsidRPr="006E0D74">
        <w:rPr>
          <w:rFonts w:ascii="Arial" w:hAnsi="Arial"/>
          <w:spacing w:val="-2"/>
          <w:sz w:val="24"/>
          <w:u w:val="single"/>
          <w:lang w:val="fr-CA"/>
        </w:rPr>
        <w:t>a</w:t>
      </w:r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>nti-A</w:t>
      </w:r>
      <w:r w:rsidR="00ED42A8" w:rsidRPr="006E0D74">
        <w:rPr>
          <w:rFonts w:ascii="Arial" w:hAnsi="Arial"/>
          <w:spacing w:val="-3"/>
          <w:sz w:val="24"/>
          <w:u w:val="single"/>
          <w:vertAlign w:val="subscript"/>
          <w:lang w:val="fr-CA"/>
        </w:rPr>
        <w:t>1</w:t>
      </w:r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 xml:space="preserve"> (</w:t>
      </w:r>
      <w:proofErr w:type="spellStart"/>
      <w:r w:rsidR="00ED42A8" w:rsidRPr="006E0D74">
        <w:rPr>
          <w:rFonts w:ascii="Arial" w:hAnsi="Arial"/>
          <w:i/>
          <w:spacing w:val="-2"/>
          <w:sz w:val="24"/>
          <w:u w:val="single"/>
          <w:lang w:val="fr-CA"/>
        </w:rPr>
        <w:t>Dolichos</w:t>
      </w:r>
      <w:proofErr w:type="spellEnd"/>
      <w:r w:rsidR="00ED42A8" w:rsidRPr="006E0D74">
        <w:rPr>
          <w:rFonts w:ascii="Arial" w:hAnsi="Arial"/>
          <w:i/>
          <w:spacing w:val="-2"/>
          <w:sz w:val="24"/>
          <w:u w:val="single"/>
          <w:lang w:val="fr-CA"/>
        </w:rPr>
        <w:t xml:space="preserve"> </w:t>
      </w:r>
      <w:proofErr w:type="spellStart"/>
      <w:r w:rsidR="00ED42A8" w:rsidRPr="006E0D74">
        <w:rPr>
          <w:rFonts w:ascii="Arial" w:hAnsi="Arial"/>
          <w:i/>
          <w:spacing w:val="-2"/>
          <w:sz w:val="24"/>
          <w:u w:val="single"/>
          <w:lang w:val="fr-CA"/>
        </w:rPr>
        <w:t>Biflorus</w:t>
      </w:r>
      <w:proofErr w:type="spellEnd"/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 xml:space="preserve">) </w:t>
      </w:r>
      <w:r w:rsidRPr="006E0D74">
        <w:rPr>
          <w:rFonts w:ascii="Arial" w:hAnsi="Arial"/>
          <w:spacing w:val="-2"/>
          <w:sz w:val="24"/>
          <w:u w:val="single"/>
          <w:lang w:val="fr-CA"/>
        </w:rPr>
        <w:t>et</w:t>
      </w:r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>/o</w:t>
      </w:r>
      <w:r w:rsidRPr="006E0D74">
        <w:rPr>
          <w:rFonts w:ascii="Arial" w:hAnsi="Arial"/>
          <w:spacing w:val="-2"/>
          <w:sz w:val="24"/>
          <w:u w:val="single"/>
          <w:lang w:val="fr-CA"/>
        </w:rPr>
        <w:t xml:space="preserve">u de </w:t>
      </w:r>
      <w:r w:rsidR="00AD0FCA" w:rsidRPr="006E0D74">
        <w:rPr>
          <w:rFonts w:ascii="Arial" w:hAnsi="Arial"/>
          <w:spacing w:val="-2"/>
          <w:sz w:val="24"/>
          <w:u w:val="single"/>
          <w:lang w:val="fr-CA"/>
        </w:rPr>
        <w:t xml:space="preserve">lectine </w:t>
      </w:r>
      <w:proofErr w:type="spellStart"/>
      <w:r w:rsidRPr="006E0D74">
        <w:rPr>
          <w:rFonts w:ascii="Arial" w:hAnsi="Arial"/>
          <w:spacing w:val="-2"/>
          <w:sz w:val="24"/>
          <w:u w:val="single"/>
          <w:lang w:val="fr-CA"/>
        </w:rPr>
        <w:t>a</w:t>
      </w:r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>nti-H</w:t>
      </w:r>
      <w:proofErr w:type="spellEnd"/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 xml:space="preserve"> (</w:t>
      </w:r>
      <w:proofErr w:type="spellStart"/>
      <w:r w:rsidR="00ED42A8" w:rsidRPr="006E0D74">
        <w:rPr>
          <w:rFonts w:ascii="Arial" w:hAnsi="Arial"/>
          <w:i/>
          <w:spacing w:val="-2"/>
          <w:sz w:val="24"/>
          <w:u w:val="single"/>
          <w:lang w:val="fr-CA"/>
        </w:rPr>
        <w:t>Ulex</w:t>
      </w:r>
      <w:proofErr w:type="spellEnd"/>
      <w:r w:rsidR="00ED42A8" w:rsidRPr="006E0D74">
        <w:rPr>
          <w:rFonts w:ascii="Arial" w:hAnsi="Arial"/>
          <w:i/>
          <w:spacing w:val="-2"/>
          <w:sz w:val="24"/>
          <w:u w:val="single"/>
          <w:lang w:val="fr-CA"/>
        </w:rPr>
        <w:t xml:space="preserve"> Europaeus</w:t>
      </w:r>
      <w:r w:rsidR="00ED42A8" w:rsidRPr="006E0D74">
        <w:rPr>
          <w:rFonts w:ascii="Arial" w:hAnsi="Arial"/>
          <w:spacing w:val="-2"/>
          <w:sz w:val="24"/>
          <w:u w:val="single"/>
          <w:lang w:val="fr-CA"/>
        </w:rPr>
        <w:t xml:space="preserve">) </w:t>
      </w:r>
      <w:r w:rsidRPr="006E0D74">
        <w:rPr>
          <w:rFonts w:ascii="Arial" w:hAnsi="Arial"/>
          <w:spacing w:val="-2"/>
          <w:sz w:val="24"/>
          <w:u w:val="single"/>
          <w:lang w:val="fr-CA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5045"/>
      </w:tblGrid>
      <w:tr w:rsidR="00727B26" w:rsidRPr="00FD0B44" w:rsidTr="00FD0B44">
        <w:tc>
          <w:tcPr>
            <w:tcW w:w="2932" w:type="dxa"/>
          </w:tcPr>
          <w:p w:rsidR="00727B26" w:rsidRPr="00FD0B44" w:rsidRDefault="00727B26">
            <w:pPr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FD0B44">
              <w:rPr>
                <w:rFonts w:ascii="Arial" w:hAnsi="Arial"/>
                <w:sz w:val="22"/>
                <w:szCs w:val="22"/>
                <w:lang w:val="fr-CA"/>
              </w:rPr>
              <w:t>6.1  Étiquetage</w:t>
            </w:r>
            <w:proofErr w:type="gramEnd"/>
            <w:r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 des tubes</w:t>
            </w:r>
          </w:p>
        </w:tc>
        <w:tc>
          <w:tcPr>
            <w:tcW w:w="5204" w:type="dxa"/>
          </w:tcPr>
          <w:p w:rsidR="00727B26" w:rsidRPr="00FD0B44" w:rsidRDefault="00727B26" w:rsidP="00FD0B44">
            <w:pPr>
              <w:ind w:left="600" w:hanging="708"/>
              <w:rPr>
                <w:rFonts w:ascii="Arial" w:hAnsi="Arial"/>
                <w:spacing w:val="-2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6.1.1 </w:t>
            </w:r>
            <w:r w:rsidR="002C01C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ab/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Étiqueter 3 tubes de 10 x 75 mm </w:t>
            </w:r>
          </w:p>
          <w:p w:rsidR="00727B26" w:rsidRPr="00FD0B44" w:rsidRDefault="00727B26" w:rsidP="00FD0B44">
            <w:pPr>
              <w:tabs>
                <w:tab w:val="left" w:pos="600"/>
              </w:tabs>
              <w:ind w:left="600" w:hanging="708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ab/>
              <w:t>(1 marqué au nom du patient ou au numéro du donneur, 1 marqué Cellule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</w:t>
            </w:r>
            <w:r w:rsidRPr="00FD0B44">
              <w:rPr>
                <w:rFonts w:ascii="Arial" w:hAnsi="Arial"/>
                <w:spacing w:val="-2"/>
                <w:sz w:val="24"/>
                <w:szCs w:val="24"/>
                <w:vertAlign w:val="subscript"/>
                <w:lang w:val="fr-CA"/>
              </w:rPr>
              <w:t>1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, 1 marqué Cellule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</w:t>
            </w:r>
            <w:r w:rsidRPr="00FD0B44">
              <w:rPr>
                <w:rFonts w:ascii="Arial" w:hAnsi="Arial"/>
                <w:spacing w:val="-2"/>
                <w:sz w:val="24"/>
                <w:szCs w:val="24"/>
                <w:vertAlign w:val="subscript"/>
                <w:lang w:val="fr-CA"/>
              </w:rPr>
              <w:t>2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)</w:t>
            </w:r>
            <w:r w:rsidR="007023E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.</w:t>
            </w:r>
          </w:p>
        </w:tc>
      </w:tr>
      <w:tr w:rsidR="00727B26" w:rsidRPr="00FD0B44" w:rsidTr="00FD0B44">
        <w:tc>
          <w:tcPr>
            <w:tcW w:w="2932" w:type="dxa"/>
          </w:tcPr>
          <w:p w:rsidR="00727B26" w:rsidRPr="00FD0B44" w:rsidRDefault="00727B26" w:rsidP="00FD0B44">
            <w:pPr>
              <w:ind w:left="414" w:hanging="414"/>
              <w:rPr>
                <w:rFonts w:ascii="Arial" w:hAnsi="Arial"/>
                <w:sz w:val="22"/>
                <w:szCs w:val="22"/>
                <w:lang w:val="fr-CA"/>
              </w:rPr>
            </w:pPr>
            <w:r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6.2 </w:t>
            </w:r>
            <w:r w:rsidRPr="00FD0B44">
              <w:rPr>
                <w:rFonts w:ascii="Arial" w:hAnsi="Arial"/>
                <w:sz w:val="22"/>
                <w:szCs w:val="22"/>
                <w:lang w:val="fr-CA"/>
              </w:rPr>
              <w:tab/>
              <w:t>Préparation d’une suspension</w:t>
            </w:r>
            <w:r w:rsidR="007023EC"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Pr="00FD0B44">
              <w:rPr>
                <w:rFonts w:ascii="Arial" w:hAnsi="Arial"/>
                <w:sz w:val="22"/>
                <w:szCs w:val="22"/>
                <w:lang w:val="fr-CA"/>
              </w:rPr>
              <w:t>à 3 %</w:t>
            </w:r>
          </w:p>
        </w:tc>
        <w:tc>
          <w:tcPr>
            <w:tcW w:w="5204" w:type="dxa"/>
          </w:tcPr>
          <w:p w:rsidR="00727B26" w:rsidRPr="00FD0B44" w:rsidRDefault="00727B26" w:rsidP="00FD0B44">
            <w:pPr>
              <w:numPr>
                <w:ilvl w:val="0"/>
                <w:numId w:val="19"/>
              </w:numPr>
              <w:ind w:left="600" w:hanging="708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Prendre </w:t>
            </w:r>
            <w:r w:rsidR="002C01C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d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es cellules du segment </w:t>
            </w:r>
            <w:r w:rsidR="002C01C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de façon appropriée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. </w:t>
            </w:r>
            <w:r w:rsidR="002C01C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Les p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lacer dans le tube au nom du patient ou au numéro du donneur</w:t>
            </w:r>
            <w:r w:rsidR="007023E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.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 </w:t>
            </w:r>
          </w:p>
          <w:p w:rsidR="002C01CC" w:rsidRPr="00FD0B44" w:rsidRDefault="00727B26" w:rsidP="00FD0B44">
            <w:pPr>
              <w:numPr>
                <w:ilvl w:val="0"/>
                <w:numId w:val="19"/>
              </w:numPr>
              <w:suppressAutoHyphens/>
              <w:ind w:left="600" w:hanging="708"/>
              <w:rPr>
                <w:rFonts w:ascii="Arial" w:hAnsi="Arial"/>
                <w:spacing w:val="-2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Laver deux (2) fois les cellules à analyser dans une solution saline à 0,9 %</w:t>
            </w:r>
            <w:r w:rsidR="007023E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.</w:t>
            </w:r>
          </w:p>
          <w:p w:rsidR="002C01CC" w:rsidRPr="00FD0B44" w:rsidRDefault="002C01CC" w:rsidP="00FD0B44">
            <w:pPr>
              <w:numPr>
                <w:ilvl w:val="0"/>
                <w:numId w:val="19"/>
              </w:numPr>
              <w:suppressAutoHyphens/>
              <w:ind w:left="600" w:hanging="708"/>
              <w:rPr>
                <w:rFonts w:ascii="Arial" w:hAnsi="Arial"/>
                <w:spacing w:val="-2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Ajouter entre 0,5 et 1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proofErr w:type="spellStart"/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mL</w:t>
            </w:r>
            <w:proofErr w:type="spellEnd"/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 de solution normale saline pour les mettre en suspension à 3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%</w:t>
            </w:r>
            <w:r w:rsidR="007023E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.</w:t>
            </w:r>
          </w:p>
          <w:p w:rsidR="002C01CC" w:rsidRPr="00FD0B44" w:rsidRDefault="002C01CC" w:rsidP="00FD0B44">
            <w:pPr>
              <w:numPr>
                <w:ilvl w:val="0"/>
                <w:numId w:val="19"/>
              </w:numPr>
              <w:ind w:left="600" w:hanging="708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z w:val="24"/>
                <w:szCs w:val="24"/>
                <w:lang w:val="fr-CA"/>
              </w:rPr>
              <w:t>Comparer la suspension finale à une suspension commerciale de globules rouges à 3 % et ajuster au besoin la concentration de la suspension</w:t>
            </w:r>
            <w:r w:rsidR="007023EC" w:rsidRPr="00FD0B44">
              <w:rPr>
                <w:rFonts w:ascii="Arial" w:hAnsi="Arial"/>
                <w:sz w:val="24"/>
                <w:szCs w:val="24"/>
                <w:lang w:val="fr-CA"/>
              </w:rPr>
              <w:t>.</w:t>
            </w:r>
          </w:p>
          <w:p w:rsidR="002C01CC" w:rsidRPr="00FD0B44" w:rsidRDefault="002C01CC" w:rsidP="00FD0B44">
            <w:pPr>
              <w:numPr>
                <w:ilvl w:val="0"/>
                <w:numId w:val="19"/>
              </w:numPr>
              <w:ind w:left="600" w:hanging="708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z w:val="24"/>
                <w:szCs w:val="24"/>
                <w:lang w:val="fr-CA"/>
              </w:rPr>
              <w:t>Placer les tubes dans le bloc à côté des autres tubes étiquetés de la même façon et dans l’ordre figurant sur le formulaire de demande ou à l’écran</w:t>
            </w:r>
            <w:r w:rsidR="007023EC" w:rsidRPr="00FD0B44">
              <w:rPr>
                <w:rFonts w:ascii="Arial" w:hAnsi="Arial"/>
                <w:sz w:val="24"/>
                <w:szCs w:val="24"/>
                <w:lang w:val="fr-CA"/>
              </w:rPr>
              <w:t>.</w:t>
            </w:r>
          </w:p>
        </w:tc>
      </w:tr>
      <w:tr w:rsidR="00727B26" w:rsidRPr="00FD0B44" w:rsidTr="00FD0B44">
        <w:tc>
          <w:tcPr>
            <w:tcW w:w="2932" w:type="dxa"/>
          </w:tcPr>
          <w:p w:rsidR="00727B26" w:rsidRPr="00FD0B44" w:rsidRDefault="002C01CC" w:rsidP="002C01CC">
            <w:pPr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 w:rsidRPr="00FD0B44">
              <w:rPr>
                <w:rFonts w:ascii="Arial" w:hAnsi="Arial"/>
                <w:sz w:val="22"/>
                <w:szCs w:val="22"/>
                <w:lang w:val="fr-CA"/>
              </w:rPr>
              <w:t>6.3  Ajout</w:t>
            </w:r>
            <w:proofErr w:type="gramEnd"/>
            <w:r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 de lectine</w:t>
            </w:r>
          </w:p>
        </w:tc>
        <w:tc>
          <w:tcPr>
            <w:tcW w:w="5204" w:type="dxa"/>
          </w:tcPr>
          <w:p w:rsidR="00727B26" w:rsidRPr="00FD0B44" w:rsidRDefault="0096048B" w:rsidP="00FD0B44">
            <w:pPr>
              <w:suppressAutoHyphens/>
              <w:ind w:left="600" w:hanging="600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6</w:t>
            </w:r>
            <w:r w:rsidRPr="00FD0B44">
              <w:rPr>
                <w:rFonts w:ascii="Arial" w:hAnsi="Arial"/>
                <w:sz w:val="24"/>
                <w:szCs w:val="24"/>
                <w:lang w:val="fr-CA"/>
              </w:rPr>
              <w:t>.3.1</w:t>
            </w:r>
            <w:r w:rsidRPr="00FD0B44">
              <w:rPr>
                <w:rFonts w:ascii="Arial" w:hAnsi="Arial"/>
                <w:sz w:val="24"/>
                <w:szCs w:val="24"/>
                <w:lang w:val="fr-CA"/>
              </w:rPr>
              <w:tab/>
              <w:t>Ajouter une goutte de la lectine appropriée à chaque tube.</w:t>
            </w:r>
          </w:p>
        </w:tc>
      </w:tr>
      <w:tr w:rsidR="00727B26" w:rsidRPr="00FD0B44" w:rsidTr="00FD0B44">
        <w:tc>
          <w:tcPr>
            <w:tcW w:w="2932" w:type="dxa"/>
          </w:tcPr>
          <w:p w:rsidR="00727B26" w:rsidRPr="00FD0B44" w:rsidRDefault="002C01CC" w:rsidP="00FD0B44">
            <w:pPr>
              <w:ind w:left="414" w:hanging="414"/>
              <w:rPr>
                <w:rFonts w:ascii="Arial" w:hAnsi="Arial"/>
                <w:sz w:val="22"/>
                <w:szCs w:val="22"/>
                <w:lang w:val="fr-CA"/>
              </w:rPr>
            </w:pPr>
            <w:r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6.4. Ajout de cellules à </w:t>
            </w:r>
            <w:r w:rsidR="0096048B" w:rsidRPr="00FD0B44">
              <w:rPr>
                <w:rFonts w:ascii="Arial" w:hAnsi="Arial"/>
                <w:sz w:val="22"/>
                <w:szCs w:val="22"/>
                <w:lang w:val="fr-CA"/>
              </w:rPr>
              <w:t>tester</w:t>
            </w:r>
          </w:p>
        </w:tc>
        <w:tc>
          <w:tcPr>
            <w:tcW w:w="5204" w:type="dxa"/>
          </w:tcPr>
          <w:p w:rsidR="0096048B" w:rsidRPr="00FD0B44" w:rsidRDefault="0096048B" w:rsidP="00FD0B44">
            <w:pPr>
              <w:numPr>
                <w:ilvl w:val="0"/>
                <w:numId w:val="21"/>
              </w:numPr>
              <w:suppressAutoHyphens/>
              <w:ind w:left="742" w:hanging="709"/>
              <w:rPr>
                <w:rFonts w:ascii="Arial" w:hAnsi="Arial"/>
                <w:spacing w:val="-2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Ajouter 1 goutte de cellule à tester, 1 goutte de cellule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</w:t>
            </w:r>
            <w:r w:rsidRPr="00FD0B44">
              <w:rPr>
                <w:rFonts w:ascii="Arial" w:hAnsi="Arial"/>
                <w:spacing w:val="-3"/>
                <w:sz w:val="24"/>
                <w:szCs w:val="24"/>
                <w:vertAlign w:val="subscript"/>
                <w:lang w:val="fr-CA"/>
              </w:rPr>
              <w:t>1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 connue et une 1 goutte de cellule</w:t>
            </w:r>
            <w:r w:rsidR="00ED14CA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 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A</w:t>
            </w:r>
            <w:r w:rsidRPr="00FD0B44">
              <w:rPr>
                <w:rFonts w:ascii="Arial" w:hAnsi="Arial"/>
                <w:spacing w:val="-3"/>
                <w:sz w:val="24"/>
                <w:szCs w:val="24"/>
                <w:vertAlign w:val="subscript"/>
                <w:lang w:val="fr-CA"/>
              </w:rPr>
              <w:t>2</w:t>
            </w: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 xml:space="preserve"> connue au tube approprié</w:t>
            </w:r>
            <w:r w:rsidR="007023EC"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.</w:t>
            </w:r>
          </w:p>
          <w:p w:rsidR="0096048B" w:rsidRPr="00FD0B44" w:rsidRDefault="0096048B" w:rsidP="00FD0B44">
            <w:pPr>
              <w:numPr>
                <w:ilvl w:val="0"/>
                <w:numId w:val="21"/>
              </w:numPr>
              <w:suppressAutoHyphens/>
              <w:ind w:left="742" w:hanging="709"/>
              <w:rPr>
                <w:rFonts w:ascii="Arial" w:hAnsi="Arial"/>
                <w:spacing w:val="-2"/>
                <w:sz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szCs w:val="24"/>
                <w:lang w:val="fr-CA"/>
              </w:rPr>
              <w:t>Bien mélanger.</w:t>
            </w:r>
          </w:p>
          <w:p w:rsidR="0096048B" w:rsidRPr="00FD0B44" w:rsidRDefault="0096048B" w:rsidP="00FD0B44">
            <w:pPr>
              <w:numPr>
                <w:ilvl w:val="0"/>
                <w:numId w:val="21"/>
              </w:numPr>
              <w:suppressAutoHyphens/>
              <w:ind w:left="742" w:hanging="709"/>
              <w:rPr>
                <w:rFonts w:ascii="Arial" w:hAnsi="Arial"/>
                <w:spacing w:val="-2"/>
                <w:sz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lang w:val="fr-CA"/>
              </w:rPr>
              <w:t xml:space="preserve">Centrifuger immédiatement pendant 10 à 15 secondes à 3400 </w:t>
            </w:r>
            <w:proofErr w:type="spellStart"/>
            <w:r w:rsidRPr="00FD0B44">
              <w:rPr>
                <w:rFonts w:ascii="Arial" w:hAnsi="Arial"/>
                <w:spacing w:val="-2"/>
                <w:sz w:val="24"/>
                <w:lang w:val="fr-CA"/>
              </w:rPr>
              <w:t>rpm</w:t>
            </w:r>
            <w:proofErr w:type="spellEnd"/>
            <w:r w:rsidRPr="00FD0B44">
              <w:rPr>
                <w:rFonts w:ascii="Arial" w:hAnsi="Arial"/>
                <w:spacing w:val="-2"/>
                <w:sz w:val="24"/>
                <w:lang w:val="fr-CA"/>
              </w:rPr>
              <w:t>.</w:t>
            </w:r>
          </w:p>
          <w:p w:rsidR="0096048B" w:rsidRPr="00FD0B44" w:rsidRDefault="0096048B" w:rsidP="00FD0B44">
            <w:pPr>
              <w:numPr>
                <w:ilvl w:val="0"/>
                <w:numId w:val="21"/>
              </w:numPr>
              <w:suppressAutoHyphens/>
              <w:ind w:left="742" w:hanging="709"/>
              <w:rPr>
                <w:rFonts w:ascii="Arial" w:hAnsi="Arial"/>
                <w:sz w:val="24"/>
                <w:szCs w:val="24"/>
                <w:lang w:val="fr-CA"/>
              </w:rPr>
            </w:pPr>
            <w:r w:rsidRPr="00FD0B44">
              <w:rPr>
                <w:rFonts w:ascii="Arial" w:hAnsi="Arial"/>
                <w:spacing w:val="-2"/>
                <w:sz w:val="24"/>
                <w:lang w:val="fr-CA"/>
              </w:rPr>
              <w:t>Remettre délicatement en suspension, puis faire une lecture macroscopique à la recherche d’agglutinats et inscrire les résultats.</w:t>
            </w:r>
          </w:p>
        </w:tc>
      </w:tr>
      <w:tr w:rsidR="00727B26" w:rsidRPr="00FD0B44" w:rsidTr="00FD0B44">
        <w:tc>
          <w:tcPr>
            <w:tcW w:w="2932" w:type="dxa"/>
          </w:tcPr>
          <w:p w:rsidR="00727B26" w:rsidRPr="00FD0B44" w:rsidRDefault="00E12452" w:rsidP="00C917AE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6.5</w:t>
            </w:r>
            <w:r w:rsidR="002C01CC"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 Interprétation </w:t>
            </w:r>
          </w:p>
        </w:tc>
        <w:tc>
          <w:tcPr>
            <w:tcW w:w="5204" w:type="dxa"/>
          </w:tcPr>
          <w:p w:rsidR="00727B26" w:rsidRPr="00FD0B44" w:rsidRDefault="00E12452">
            <w:pPr>
              <w:rPr>
                <w:rFonts w:ascii="Arial" w:hAnsi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val="fr-CA"/>
              </w:rPr>
              <w:t>6.5</w:t>
            </w:r>
            <w:r w:rsidR="00C917AE"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.1  </w:t>
            </w:r>
            <w:r w:rsidR="00C917AE" w:rsidRPr="00FD0B44">
              <w:rPr>
                <w:rFonts w:ascii="Arial" w:hAnsi="Arial"/>
                <w:sz w:val="22"/>
                <w:szCs w:val="22"/>
                <w:lang w:val="fr-CA"/>
              </w:rPr>
              <w:tab/>
            </w:r>
            <w:proofErr w:type="gramEnd"/>
            <w:r w:rsidR="00C917AE" w:rsidRPr="00FD0B44">
              <w:rPr>
                <w:rFonts w:ascii="Arial" w:hAnsi="Arial"/>
                <w:sz w:val="22"/>
                <w:szCs w:val="22"/>
                <w:lang w:val="fr-CA"/>
              </w:rPr>
              <w:t xml:space="preserve">Voir 7.0 Documentation </w:t>
            </w:r>
          </w:p>
        </w:tc>
      </w:tr>
    </w:tbl>
    <w:p w:rsidR="00E12452" w:rsidRDefault="00E12452" w:rsidP="00E12452">
      <w:pPr>
        <w:ind w:left="720"/>
        <w:rPr>
          <w:rFonts w:ascii="Arial" w:hAnsi="Arial"/>
          <w:b/>
          <w:sz w:val="28"/>
          <w:lang w:val="fr-CA"/>
        </w:rPr>
      </w:pPr>
    </w:p>
    <w:p w:rsidR="00E12452" w:rsidRDefault="00E12452" w:rsidP="00E12452">
      <w:pPr>
        <w:ind w:left="720"/>
        <w:rPr>
          <w:rFonts w:ascii="Arial" w:hAnsi="Arial"/>
          <w:b/>
          <w:sz w:val="28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Documentation</w:t>
      </w:r>
      <w:r w:rsidR="00ED42A8" w:rsidRPr="006E0D74">
        <w:rPr>
          <w:rFonts w:ascii="Arial" w:hAnsi="Arial"/>
          <w:b/>
          <w:sz w:val="28"/>
          <w:lang w:val="fr-CA"/>
        </w:rPr>
        <w:t xml:space="preserve">  </w:t>
      </w:r>
    </w:p>
    <w:p w:rsidR="00ED42A8" w:rsidRPr="007023EC" w:rsidRDefault="00ED42A8">
      <w:pPr>
        <w:rPr>
          <w:rFonts w:ascii="Arial" w:hAnsi="Arial"/>
          <w:sz w:val="16"/>
          <w:szCs w:val="16"/>
          <w:lang w:val="fr-CA"/>
        </w:rPr>
      </w:pPr>
    </w:p>
    <w:p w:rsidR="00ED42A8" w:rsidRPr="006E0D74" w:rsidRDefault="00ED42A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>Interpr</w:t>
      </w:r>
      <w:r w:rsidR="003D5E25" w:rsidRPr="006E0D74">
        <w:rPr>
          <w:rFonts w:ascii="Arial" w:hAnsi="Arial"/>
          <w:sz w:val="24"/>
          <w:lang w:val="fr-CA"/>
        </w:rPr>
        <w:t xml:space="preserve">étation des </w:t>
      </w:r>
      <w:r w:rsidR="00740A8E" w:rsidRPr="006E0D74">
        <w:rPr>
          <w:rFonts w:ascii="Arial" w:hAnsi="Arial"/>
          <w:sz w:val="24"/>
          <w:lang w:val="fr-CA"/>
        </w:rPr>
        <w:t>résultats </w:t>
      </w:r>
      <w:r w:rsidRPr="006E0D74">
        <w:rPr>
          <w:rFonts w:ascii="Arial" w:hAnsi="Arial"/>
          <w:sz w:val="24"/>
          <w:lang w:val="fr-CA"/>
        </w:rPr>
        <w:t>:</w:t>
      </w:r>
    </w:p>
    <w:tbl>
      <w:tblPr>
        <w:tblW w:w="8902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07"/>
        <w:gridCol w:w="1724"/>
        <w:gridCol w:w="1324"/>
        <w:gridCol w:w="1364"/>
        <w:gridCol w:w="1763"/>
      </w:tblGrid>
      <w:tr w:rsidR="00ED42A8" w:rsidRPr="006E0D74">
        <w:trPr>
          <w:cantSplit/>
        </w:trPr>
        <w:tc>
          <w:tcPr>
            <w:tcW w:w="1420" w:type="dxa"/>
            <w:tcBorders>
              <w:bottom w:val="single" w:sz="4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Cellules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20" w:color="auto" w:fill="FFFFFF"/>
          </w:tcPr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Réactions à l’</w:t>
            </w:r>
            <w:r w:rsidR="00ED42A8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anti-A</w:t>
            </w:r>
            <w:r w:rsidR="00ED42A8" w:rsidRPr="006E0D74">
              <w:rPr>
                <w:rFonts w:ascii="Arial" w:hAnsi="Arial"/>
                <w:b/>
                <w:sz w:val="22"/>
                <w:szCs w:val="22"/>
                <w:vertAlign w:val="subscript"/>
                <w:lang w:val="fr-CA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auto"/>
              <w:right w:val="double" w:sz="6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Interprétation</w:t>
            </w:r>
          </w:p>
        </w:tc>
        <w:tc>
          <w:tcPr>
            <w:tcW w:w="1324" w:type="dxa"/>
            <w:tcBorders>
              <w:left w:val="double" w:sz="6" w:space="0" w:color="auto"/>
              <w:bottom w:val="single" w:sz="4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Cellules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R</w:t>
            </w:r>
            <w:r w:rsidR="003D5E25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éa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ctions </w:t>
            </w:r>
            <w:r w:rsidR="003D5E25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à l’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anti-A</w:t>
            </w:r>
            <w:r w:rsidRPr="006E0D74">
              <w:rPr>
                <w:rFonts w:ascii="Arial" w:hAnsi="Arial"/>
                <w:b/>
                <w:sz w:val="22"/>
                <w:szCs w:val="22"/>
                <w:vertAlign w:val="subscript"/>
                <w:lang w:val="fr-CA"/>
              </w:rPr>
              <w:t>1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Interprétation</w:t>
            </w:r>
          </w:p>
        </w:tc>
      </w:tr>
      <w:tr w:rsidR="006471CE" w:rsidRPr="006E0D74">
        <w:trPr>
          <w:cantSplit/>
        </w:trPr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Inconnues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Inconnues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2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o</w:t>
            </w:r>
            <w:r w:rsidR="007D1FB5" w:rsidRPr="006E0D74">
              <w:rPr>
                <w:rFonts w:ascii="Arial" w:hAnsi="Arial"/>
                <w:sz w:val="22"/>
                <w:szCs w:val="22"/>
                <w:lang w:val="fr-CA"/>
              </w:rPr>
              <w:t xml:space="preserve">u autre sous-groupe plus faible de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</w:p>
        </w:tc>
      </w:tr>
      <w:tr w:rsidR="006471CE" w:rsidRPr="006E0D74">
        <w:trPr>
          <w:cantSplit/>
          <w:trHeight w:val="342"/>
        </w:trPr>
        <w:tc>
          <w:tcPr>
            <w:tcW w:w="1420" w:type="dxa"/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1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1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64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763" w:type="dxa"/>
            <w:vMerge w:val="restart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6471CE" w:rsidRPr="006E0D74">
        <w:trPr>
          <w:cantSplit/>
          <w:trHeight w:val="420"/>
        </w:trPr>
        <w:tc>
          <w:tcPr>
            <w:tcW w:w="1420" w:type="dxa"/>
            <w:tcBorders>
              <w:bottom w:val="single" w:sz="4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2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2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</w:t>
            </w: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:rsidR="00ED42A8" w:rsidRPr="006E0D74" w:rsidRDefault="00ED42A8">
      <w:pPr>
        <w:jc w:val="center"/>
        <w:rPr>
          <w:sz w:val="22"/>
          <w:szCs w:val="22"/>
          <w:lang w:val="fr-CA"/>
        </w:rPr>
      </w:pPr>
    </w:p>
    <w:tbl>
      <w:tblPr>
        <w:tblW w:w="8902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97"/>
        <w:gridCol w:w="1634"/>
        <w:gridCol w:w="1324"/>
        <w:gridCol w:w="1364"/>
        <w:gridCol w:w="1763"/>
      </w:tblGrid>
      <w:tr w:rsidR="006471CE" w:rsidRPr="006E0D74">
        <w:trPr>
          <w:cantSplit/>
        </w:trPr>
        <w:tc>
          <w:tcPr>
            <w:tcW w:w="1420" w:type="dxa"/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Cell</w:t>
            </w:r>
            <w:r w:rsidR="006471CE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ule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s</w:t>
            </w:r>
          </w:p>
        </w:tc>
        <w:tc>
          <w:tcPr>
            <w:tcW w:w="1397" w:type="dxa"/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R</w:t>
            </w:r>
            <w:r w:rsidR="006471CE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é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actions </w:t>
            </w:r>
            <w:r w:rsidR="006471CE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à l’</w:t>
            </w:r>
            <w:proofErr w:type="spellStart"/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anti-H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right w:val="double" w:sz="6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Interpr</w:t>
            </w:r>
            <w:r w:rsidR="006471CE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é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tation</w:t>
            </w:r>
          </w:p>
        </w:tc>
        <w:tc>
          <w:tcPr>
            <w:tcW w:w="1324" w:type="dxa"/>
            <w:tcBorders>
              <w:left w:val="double" w:sz="6" w:space="0" w:color="auto"/>
            </w:tcBorders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Cell</w:t>
            </w:r>
            <w:r w:rsidR="003D5E25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ule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s</w:t>
            </w:r>
          </w:p>
        </w:tc>
        <w:tc>
          <w:tcPr>
            <w:tcW w:w="1364" w:type="dxa"/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R</w:t>
            </w:r>
            <w:r w:rsidR="003D5E25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é</w:t>
            </w: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actions </w:t>
            </w:r>
            <w:r w:rsidR="003D5E25"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à l’</w:t>
            </w:r>
            <w:proofErr w:type="spellStart"/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anti-H</w:t>
            </w:r>
            <w:proofErr w:type="spellEnd"/>
          </w:p>
        </w:tc>
        <w:tc>
          <w:tcPr>
            <w:tcW w:w="1763" w:type="dxa"/>
            <w:shd w:val="pct20" w:color="auto" w:fill="FFFFFF"/>
          </w:tcPr>
          <w:p w:rsidR="00ED42A8" w:rsidRPr="006E0D74" w:rsidRDefault="00ED42A8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  <w:p w:rsidR="00ED42A8" w:rsidRPr="006E0D74" w:rsidRDefault="006471CE">
            <w:pPr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b/>
                <w:sz w:val="22"/>
                <w:szCs w:val="22"/>
                <w:lang w:val="fr-CA"/>
              </w:rPr>
              <w:t>Interprétation</w:t>
            </w:r>
          </w:p>
        </w:tc>
      </w:tr>
      <w:tr w:rsidR="006471CE" w:rsidRPr="006E0D74">
        <w:trPr>
          <w:cantSplit/>
          <w:trHeight w:val="566"/>
        </w:trPr>
        <w:tc>
          <w:tcPr>
            <w:tcW w:w="1420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Inconnues</w:t>
            </w:r>
          </w:p>
        </w:tc>
        <w:tc>
          <w:tcPr>
            <w:tcW w:w="1397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634" w:type="dxa"/>
            <w:tcBorders>
              <w:right w:val="double" w:sz="6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>2</w:t>
            </w:r>
          </w:p>
        </w:tc>
        <w:tc>
          <w:tcPr>
            <w:tcW w:w="1324" w:type="dxa"/>
            <w:tcBorders>
              <w:left w:val="double" w:sz="6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Inconnues</w:t>
            </w:r>
          </w:p>
        </w:tc>
        <w:tc>
          <w:tcPr>
            <w:tcW w:w="1364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0-1</w:t>
            </w:r>
          </w:p>
        </w:tc>
        <w:tc>
          <w:tcPr>
            <w:tcW w:w="1763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>1</w:t>
            </w:r>
          </w:p>
        </w:tc>
      </w:tr>
      <w:tr w:rsidR="006471CE" w:rsidRPr="006E0D74">
        <w:trPr>
          <w:cantSplit/>
        </w:trPr>
        <w:tc>
          <w:tcPr>
            <w:tcW w:w="1420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1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97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0-1</w:t>
            </w:r>
          </w:p>
        </w:tc>
        <w:tc>
          <w:tcPr>
            <w:tcW w:w="1634" w:type="dxa"/>
            <w:vMerge w:val="restart"/>
            <w:tcBorders>
              <w:right w:val="double" w:sz="6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1324" w:type="dxa"/>
            <w:tcBorders>
              <w:left w:val="double" w:sz="6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1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64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0-1</w:t>
            </w:r>
          </w:p>
        </w:tc>
        <w:tc>
          <w:tcPr>
            <w:tcW w:w="1763" w:type="dxa"/>
            <w:vMerge w:val="restart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6471CE" w:rsidRPr="006E0D74">
        <w:trPr>
          <w:cantSplit/>
          <w:trHeight w:val="449"/>
        </w:trPr>
        <w:tc>
          <w:tcPr>
            <w:tcW w:w="1420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2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97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634" w:type="dxa"/>
            <w:vMerge/>
            <w:tcBorders>
              <w:right w:val="double" w:sz="6" w:space="0" w:color="auto"/>
            </w:tcBorders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1324" w:type="dxa"/>
            <w:tcBorders>
              <w:left w:val="double" w:sz="6" w:space="0" w:color="auto"/>
            </w:tcBorders>
          </w:tcPr>
          <w:p w:rsidR="006471CE" w:rsidRPr="006E0D74" w:rsidRDefault="006471CE" w:rsidP="00ED42A8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z w:val="22"/>
                <w:szCs w:val="22"/>
                <w:vertAlign w:val="subscript"/>
                <w:lang w:val="fr-CA"/>
              </w:rPr>
              <w:t xml:space="preserve">2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témoin</w:t>
            </w:r>
          </w:p>
        </w:tc>
        <w:tc>
          <w:tcPr>
            <w:tcW w:w="1364" w:type="dxa"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763" w:type="dxa"/>
            <w:vMerge/>
          </w:tcPr>
          <w:p w:rsidR="006471CE" w:rsidRPr="006E0D74" w:rsidRDefault="006471CE">
            <w:pPr>
              <w:jc w:val="center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:rsidR="00ED42A8" w:rsidRPr="007023EC" w:rsidRDefault="00ED42A8">
      <w:pPr>
        <w:rPr>
          <w:rFonts w:ascii="Arial" w:hAnsi="Arial"/>
          <w:sz w:val="16"/>
          <w:szCs w:val="16"/>
          <w:lang w:val="fr-CA"/>
        </w:rPr>
      </w:pPr>
    </w:p>
    <w:p w:rsidR="00ED42A8" w:rsidRPr="006E0D74" w:rsidRDefault="006471C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 xml:space="preserve">Remarques </w:t>
      </w:r>
    </w:p>
    <w:p w:rsidR="00C917AE" w:rsidRPr="006E0D74" w:rsidRDefault="006E0D74" w:rsidP="00C917AE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6E0D74">
        <w:rPr>
          <w:rFonts w:ascii="Arial" w:hAnsi="Arial"/>
          <w:sz w:val="24"/>
          <w:szCs w:val="24"/>
          <w:lang w:val="fr-CA"/>
        </w:rPr>
        <w:t>La lectine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="00C917AE" w:rsidRPr="006E0D74">
        <w:rPr>
          <w:rFonts w:ascii="Arial" w:hAnsi="Arial"/>
          <w:sz w:val="24"/>
          <w:szCs w:val="24"/>
          <w:lang w:val="fr-CA"/>
        </w:rPr>
        <w:t>A</w:t>
      </w:r>
      <w:r w:rsidR="00C917AE" w:rsidRPr="006E0D74">
        <w:rPr>
          <w:rFonts w:ascii="Arial" w:hAnsi="Arial"/>
          <w:sz w:val="24"/>
          <w:szCs w:val="24"/>
          <w:vertAlign w:val="subscript"/>
          <w:lang w:val="fr-CA"/>
        </w:rPr>
        <w:t xml:space="preserve">1 </w:t>
      </w:r>
      <w:r w:rsidRPr="006E0D74">
        <w:rPr>
          <w:rFonts w:ascii="Arial" w:hAnsi="Arial"/>
          <w:sz w:val="24"/>
          <w:szCs w:val="24"/>
          <w:lang w:val="fr-CA"/>
        </w:rPr>
        <w:t>devrait faire agglutiner les globules rouges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="00C917AE" w:rsidRPr="006E0D74">
        <w:rPr>
          <w:rFonts w:ascii="Arial" w:hAnsi="Arial"/>
          <w:sz w:val="24"/>
          <w:szCs w:val="24"/>
          <w:lang w:val="fr-CA"/>
        </w:rPr>
        <w:t>A</w:t>
      </w:r>
      <w:r w:rsidR="00C917AE" w:rsidRPr="006E0D74">
        <w:rPr>
          <w:rFonts w:ascii="Arial" w:hAnsi="Arial"/>
          <w:sz w:val="24"/>
          <w:szCs w:val="24"/>
          <w:vertAlign w:val="subscript"/>
          <w:lang w:val="fr-CA"/>
        </w:rPr>
        <w:t xml:space="preserve">1 </w:t>
      </w:r>
      <w:r w:rsidRPr="006E0D74">
        <w:rPr>
          <w:rFonts w:ascii="Arial" w:hAnsi="Arial"/>
          <w:sz w:val="24"/>
          <w:szCs w:val="24"/>
          <w:lang w:val="fr-CA"/>
        </w:rPr>
        <w:t>et</w:t>
      </w:r>
      <w:r w:rsidR="00C917AE" w:rsidRPr="006E0D74">
        <w:rPr>
          <w:rFonts w:ascii="Arial" w:hAnsi="Arial"/>
          <w:sz w:val="24"/>
          <w:szCs w:val="24"/>
          <w:lang w:val="fr-CA"/>
        </w:rPr>
        <w:t xml:space="preserve"> A</w:t>
      </w:r>
      <w:r w:rsidR="00C917AE" w:rsidRPr="006E0D74">
        <w:rPr>
          <w:rFonts w:ascii="Arial" w:hAnsi="Arial"/>
          <w:sz w:val="24"/>
          <w:szCs w:val="24"/>
          <w:vertAlign w:val="subscript"/>
          <w:lang w:val="fr-CA"/>
        </w:rPr>
        <w:t>1</w:t>
      </w:r>
      <w:r w:rsidR="00C917AE" w:rsidRPr="006E0D74">
        <w:rPr>
          <w:rFonts w:ascii="Arial" w:hAnsi="Arial"/>
          <w:sz w:val="24"/>
          <w:szCs w:val="24"/>
          <w:lang w:val="fr-CA"/>
        </w:rPr>
        <w:t>B</w:t>
      </w:r>
      <w:r w:rsidRPr="006E0D74">
        <w:rPr>
          <w:rFonts w:ascii="Arial" w:hAnsi="Arial"/>
          <w:sz w:val="24"/>
          <w:szCs w:val="24"/>
          <w:lang w:val="fr-CA"/>
        </w:rPr>
        <w:t>, mais non les globules rouges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="00C917AE" w:rsidRPr="006E0D74">
        <w:rPr>
          <w:rFonts w:ascii="Arial" w:hAnsi="Arial"/>
          <w:sz w:val="24"/>
          <w:szCs w:val="24"/>
          <w:lang w:val="fr-CA"/>
        </w:rPr>
        <w:t>A</w:t>
      </w:r>
      <w:r w:rsidR="00C917AE" w:rsidRPr="006E0D74">
        <w:rPr>
          <w:rFonts w:ascii="Arial" w:hAnsi="Arial"/>
          <w:sz w:val="24"/>
          <w:szCs w:val="24"/>
          <w:vertAlign w:val="subscript"/>
          <w:lang w:val="fr-CA"/>
        </w:rPr>
        <w:t xml:space="preserve">2, </w:t>
      </w:r>
      <w:r w:rsidR="00C917AE" w:rsidRPr="006E0D74">
        <w:rPr>
          <w:rFonts w:ascii="Arial" w:hAnsi="Arial"/>
          <w:sz w:val="24"/>
          <w:szCs w:val="24"/>
          <w:lang w:val="fr-CA"/>
        </w:rPr>
        <w:t>A</w:t>
      </w:r>
      <w:r w:rsidR="00C917AE" w:rsidRPr="006E0D74">
        <w:rPr>
          <w:rFonts w:ascii="Arial" w:hAnsi="Arial"/>
          <w:sz w:val="24"/>
          <w:szCs w:val="24"/>
          <w:vertAlign w:val="subscript"/>
          <w:lang w:val="fr-CA"/>
        </w:rPr>
        <w:t>2</w:t>
      </w:r>
      <w:r w:rsidR="00C917AE" w:rsidRPr="006E0D74">
        <w:rPr>
          <w:rFonts w:ascii="Arial" w:hAnsi="Arial"/>
          <w:sz w:val="24"/>
          <w:szCs w:val="24"/>
          <w:lang w:val="fr-CA"/>
        </w:rPr>
        <w:t>B, B o</w:t>
      </w:r>
      <w:r w:rsidRPr="006E0D74">
        <w:rPr>
          <w:rFonts w:ascii="Arial" w:hAnsi="Arial"/>
          <w:sz w:val="24"/>
          <w:szCs w:val="24"/>
          <w:lang w:val="fr-CA"/>
        </w:rPr>
        <w:t>u</w:t>
      </w:r>
      <w:r w:rsidR="00C917AE" w:rsidRPr="006E0D74">
        <w:rPr>
          <w:rFonts w:ascii="Arial" w:hAnsi="Arial"/>
          <w:sz w:val="24"/>
          <w:szCs w:val="24"/>
          <w:lang w:val="fr-CA"/>
        </w:rPr>
        <w:t xml:space="preserve"> O</w:t>
      </w:r>
      <w:r w:rsidR="00C917AE" w:rsidRPr="006E0D74">
        <w:rPr>
          <w:rFonts w:ascii="Arial" w:hAnsi="Arial"/>
          <w:sz w:val="24"/>
          <w:szCs w:val="24"/>
          <w:vertAlign w:val="superscript"/>
          <w:lang w:val="fr-CA"/>
        </w:rPr>
        <w:t>9.1</w:t>
      </w:r>
      <w:r w:rsidRPr="006E0D74">
        <w:rPr>
          <w:rFonts w:ascii="Arial" w:hAnsi="Arial"/>
          <w:sz w:val="24"/>
          <w:szCs w:val="24"/>
          <w:lang w:val="fr-CA"/>
        </w:rPr>
        <w:t>.</w:t>
      </w:r>
    </w:p>
    <w:p w:rsidR="00C917AE" w:rsidRPr="006E0D74" w:rsidRDefault="006E0D74" w:rsidP="00C917AE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6E0D74">
        <w:rPr>
          <w:rFonts w:ascii="Arial" w:hAnsi="Arial"/>
          <w:sz w:val="24"/>
          <w:szCs w:val="24"/>
          <w:lang w:val="fr-CA"/>
        </w:rPr>
        <w:t xml:space="preserve">L’intensité de réaction </w:t>
      </w:r>
      <w:r w:rsidR="007023EC">
        <w:rPr>
          <w:rFonts w:ascii="Arial" w:hAnsi="Arial"/>
          <w:sz w:val="24"/>
          <w:szCs w:val="24"/>
          <w:lang w:val="fr-CA"/>
        </w:rPr>
        <w:t>à</w:t>
      </w:r>
      <w:r w:rsidRPr="006E0D74">
        <w:rPr>
          <w:rFonts w:ascii="Arial" w:hAnsi="Arial"/>
          <w:sz w:val="24"/>
          <w:szCs w:val="24"/>
          <w:lang w:val="fr-CA"/>
        </w:rPr>
        <w:t xml:space="preserve"> la lectine </w:t>
      </w:r>
      <w:r w:rsidR="00C917AE" w:rsidRPr="006E0D74">
        <w:rPr>
          <w:rFonts w:ascii="Arial" w:hAnsi="Arial"/>
          <w:sz w:val="24"/>
          <w:szCs w:val="24"/>
          <w:lang w:val="fr-CA"/>
        </w:rPr>
        <w:t xml:space="preserve">H </w:t>
      </w:r>
      <w:r w:rsidRPr="006E0D74">
        <w:rPr>
          <w:rFonts w:ascii="Arial" w:hAnsi="Arial"/>
          <w:sz w:val="24"/>
          <w:szCs w:val="24"/>
          <w:lang w:val="fr-CA"/>
        </w:rPr>
        <w:t>suit la progression suivante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 xml:space="preserve">: </w:t>
      </w:r>
      <w:r w:rsidR="00C917AE" w:rsidRPr="006E0D74">
        <w:rPr>
          <w:rFonts w:ascii="Arial" w:hAnsi="Arial"/>
          <w:sz w:val="24"/>
          <w:szCs w:val="24"/>
          <w:lang w:val="fr-CA"/>
        </w:rPr>
        <w:t xml:space="preserve"> </w:t>
      </w:r>
    </w:p>
    <w:p w:rsidR="00C917AE" w:rsidRPr="006E0D74" w:rsidRDefault="00C917AE" w:rsidP="00C917AE">
      <w:pPr>
        <w:ind w:left="1440"/>
        <w:rPr>
          <w:rFonts w:ascii="Arial" w:hAnsi="Arial"/>
          <w:sz w:val="24"/>
          <w:szCs w:val="24"/>
          <w:vertAlign w:val="superscript"/>
          <w:lang w:val="fr-CA"/>
        </w:rPr>
      </w:pPr>
      <w:r w:rsidRPr="006E0D74">
        <w:rPr>
          <w:rFonts w:ascii="Arial" w:hAnsi="Arial"/>
          <w:sz w:val="24"/>
          <w:szCs w:val="24"/>
          <w:lang w:val="fr-CA"/>
        </w:rPr>
        <w:t>O &gt; 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 xml:space="preserve">2 </w:t>
      </w:r>
      <w:r w:rsidRPr="006E0D74">
        <w:rPr>
          <w:rFonts w:ascii="Arial" w:hAnsi="Arial"/>
          <w:sz w:val="24"/>
          <w:szCs w:val="24"/>
          <w:lang w:val="fr-CA"/>
        </w:rPr>
        <w:t>&gt; B &gt; 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 xml:space="preserve">1 </w:t>
      </w:r>
      <w:r w:rsidRPr="006E0D74">
        <w:rPr>
          <w:rFonts w:ascii="Arial" w:hAnsi="Arial"/>
          <w:sz w:val="24"/>
          <w:szCs w:val="24"/>
          <w:lang w:val="fr-CA"/>
        </w:rPr>
        <w:t>&gt; 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>1</w:t>
      </w:r>
      <w:r w:rsidRPr="006E0D74">
        <w:rPr>
          <w:rFonts w:ascii="Arial" w:hAnsi="Arial"/>
          <w:sz w:val="24"/>
          <w:szCs w:val="24"/>
          <w:lang w:val="fr-CA"/>
        </w:rPr>
        <w:t xml:space="preserve">B </w:t>
      </w:r>
      <w:r w:rsidRPr="006E0D74">
        <w:rPr>
          <w:rFonts w:ascii="Arial" w:hAnsi="Arial"/>
          <w:sz w:val="24"/>
          <w:szCs w:val="24"/>
          <w:vertAlign w:val="superscript"/>
          <w:lang w:val="fr-CA"/>
        </w:rPr>
        <w:t>9.1</w:t>
      </w:r>
    </w:p>
    <w:p w:rsidR="00C917AE" w:rsidRPr="006E0D74" w:rsidRDefault="00C917AE" w:rsidP="006E0D74">
      <w:pPr>
        <w:ind w:left="1418" w:hanging="698"/>
        <w:rPr>
          <w:rFonts w:ascii="Arial" w:hAnsi="Arial"/>
          <w:sz w:val="28"/>
          <w:lang w:val="fr-CA"/>
        </w:rPr>
      </w:pPr>
      <w:r w:rsidRPr="006E0D74">
        <w:rPr>
          <w:rFonts w:ascii="Arial" w:hAnsi="Arial"/>
          <w:sz w:val="24"/>
          <w:szCs w:val="24"/>
          <w:lang w:val="fr-CA"/>
        </w:rPr>
        <w:t xml:space="preserve">8.3      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À peu près </w:t>
      </w:r>
      <w:r w:rsidRPr="006E0D74">
        <w:rPr>
          <w:rFonts w:ascii="Arial" w:hAnsi="Arial"/>
          <w:sz w:val="24"/>
          <w:szCs w:val="24"/>
          <w:lang w:val="fr-CA"/>
        </w:rPr>
        <w:t>20</w:t>
      </w:r>
      <w:r w:rsidR="006E0D74" w:rsidRPr="006E0D74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 xml:space="preserve">% 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du groupe A est </w:t>
      </w:r>
      <w:r w:rsidRPr="006E0D74">
        <w:rPr>
          <w:rFonts w:ascii="Arial" w:hAnsi="Arial"/>
          <w:sz w:val="24"/>
          <w:szCs w:val="24"/>
          <w:lang w:val="fr-CA"/>
        </w:rPr>
        <w:t>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>2</w:t>
      </w:r>
      <w:r w:rsidRPr="006E0D74">
        <w:rPr>
          <w:rFonts w:ascii="Arial" w:hAnsi="Arial"/>
          <w:sz w:val="24"/>
          <w:szCs w:val="24"/>
          <w:lang w:val="fr-CA"/>
        </w:rPr>
        <w:t xml:space="preserve">. 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De </w:t>
      </w:r>
      <w:r w:rsidRPr="006E0D74">
        <w:rPr>
          <w:rFonts w:ascii="Arial" w:hAnsi="Arial"/>
          <w:sz w:val="24"/>
          <w:szCs w:val="24"/>
          <w:lang w:val="fr-CA"/>
        </w:rPr>
        <w:t>1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 à </w:t>
      </w:r>
      <w:r w:rsidRPr="006E0D74">
        <w:rPr>
          <w:rFonts w:ascii="Arial" w:hAnsi="Arial"/>
          <w:sz w:val="24"/>
          <w:szCs w:val="24"/>
          <w:lang w:val="fr-CA"/>
        </w:rPr>
        <w:t>8</w:t>
      </w:r>
      <w:r w:rsidR="006E0D74" w:rsidRPr="006E0D74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 xml:space="preserve">% </w:t>
      </w:r>
      <w:r w:rsidR="006E0D74" w:rsidRPr="006E0D74">
        <w:rPr>
          <w:rFonts w:ascii="Arial" w:hAnsi="Arial"/>
          <w:sz w:val="24"/>
          <w:szCs w:val="24"/>
          <w:lang w:val="fr-CA"/>
        </w:rPr>
        <w:t>des gens de type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>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>2</w:t>
      </w:r>
      <w:r w:rsidRPr="006E0D74">
        <w:rPr>
          <w:rFonts w:ascii="Arial" w:hAnsi="Arial"/>
          <w:sz w:val="24"/>
          <w:szCs w:val="24"/>
          <w:lang w:val="fr-CA"/>
        </w:rPr>
        <w:t xml:space="preserve"> 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et </w:t>
      </w:r>
      <w:r w:rsidRPr="006E0D74">
        <w:rPr>
          <w:rFonts w:ascii="Arial" w:hAnsi="Arial"/>
          <w:sz w:val="24"/>
          <w:szCs w:val="24"/>
          <w:lang w:val="fr-CA"/>
        </w:rPr>
        <w:t>25</w:t>
      </w:r>
      <w:r w:rsidR="006E0D74" w:rsidRPr="006E0D74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 xml:space="preserve">% </w:t>
      </w:r>
      <w:r w:rsidR="006E0D74" w:rsidRPr="006E0D74">
        <w:rPr>
          <w:rFonts w:ascii="Arial" w:hAnsi="Arial"/>
          <w:sz w:val="24"/>
          <w:szCs w:val="24"/>
          <w:lang w:val="fr-CA"/>
        </w:rPr>
        <w:t>de ceux qui ont le type</w:t>
      </w:r>
      <w:r w:rsidR="00ED14CA">
        <w:rPr>
          <w:rFonts w:ascii="Arial" w:hAnsi="Arial"/>
          <w:sz w:val="24"/>
          <w:szCs w:val="24"/>
          <w:lang w:val="fr-CA"/>
        </w:rPr>
        <w:t> </w:t>
      </w:r>
      <w:r w:rsidRPr="006E0D74">
        <w:rPr>
          <w:rFonts w:ascii="Arial" w:hAnsi="Arial"/>
          <w:sz w:val="24"/>
          <w:szCs w:val="24"/>
          <w:lang w:val="fr-CA"/>
        </w:rPr>
        <w:t>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>2</w:t>
      </w:r>
      <w:r w:rsidRPr="006E0D74">
        <w:rPr>
          <w:rFonts w:ascii="Arial" w:hAnsi="Arial"/>
          <w:sz w:val="24"/>
          <w:szCs w:val="24"/>
          <w:lang w:val="fr-CA"/>
        </w:rPr>
        <w:t xml:space="preserve">B </w:t>
      </w:r>
      <w:r w:rsidR="006E0D74" w:rsidRPr="006E0D74">
        <w:rPr>
          <w:rFonts w:ascii="Arial" w:hAnsi="Arial"/>
          <w:sz w:val="24"/>
          <w:szCs w:val="24"/>
          <w:lang w:val="fr-CA"/>
        </w:rPr>
        <w:t xml:space="preserve">auront des </w:t>
      </w:r>
      <w:r w:rsidRPr="006E0D74">
        <w:rPr>
          <w:rFonts w:ascii="Arial" w:hAnsi="Arial"/>
          <w:sz w:val="24"/>
          <w:szCs w:val="24"/>
          <w:lang w:val="fr-CA"/>
        </w:rPr>
        <w:t>alloanti-A</w:t>
      </w:r>
      <w:r w:rsidRPr="006E0D74">
        <w:rPr>
          <w:rFonts w:ascii="Arial" w:hAnsi="Arial"/>
          <w:sz w:val="24"/>
          <w:szCs w:val="24"/>
          <w:vertAlign w:val="subscript"/>
          <w:lang w:val="fr-CA"/>
        </w:rPr>
        <w:t>1</w:t>
      </w:r>
      <w:r w:rsidRPr="006E0D74">
        <w:rPr>
          <w:rFonts w:ascii="Arial" w:hAnsi="Arial"/>
          <w:sz w:val="24"/>
          <w:szCs w:val="24"/>
          <w:lang w:val="fr-CA"/>
        </w:rPr>
        <w:t xml:space="preserve"> </w:t>
      </w:r>
      <w:r w:rsidR="006E0D74" w:rsidRPr="006E0D74">
        <w:rPr>
          <w:rFonts w:ascii="Arial" w:hAnsi="Arial"/>
          <w:sz w:val="24"/>
          <w:szCs w:val="24"/>
          <w:lang w:val="fr-CA"/>
        </w:rPr>
        <w:t>dans leur plasma</w:t>
      </w:r>
      <w:r w:rsidRPr="006E0D74">
        <w:rPr>
          <w:rFonts w:ascii="Arial" w:hAnsi="Arial"/>
          <w:sz w:val="24"/>
          <w:szCs w:val="24"/>
          <w:vertAlign w:val="superscript"/>
          <w:lang w:val="fr-CA"/>
        </w:rPr>
        <w:t>9.1</w:t>
      </w:r>
      <w:r w:rsidR="006E0D74" w:rsidRPr="006E0D74">
        <w:rPr>
          <w:rFonts w:ascii="Arial" w:hAnsi="Arial"/>
          <w:sz w:val="24"/>
          <w:szCs w:val="24"/>
          <w:lang w:val="fr-CA"/>
        </w:rPr>
        <w:t>.</w:t>
      </w:r>
      <w:r w:rsidRPr="006E0D74">
        <w:rPr>
          <w:rFonts w:ascii="Arial" w:hAnsi="Arial"/>
          <w:sz w:val="24"/>
          <w:szCs w:val="24"/>
          <w:lang w:val="fr-CA"/>
        </w:rPr>
        <w:t xml:space="preserve">  </w:t>
      </w:r>
    </w:p>
    <w:p w:rsidR="00ED42A8" w:rsidRPr="007023EC" w:rsidRDefault="00ED42A8">
      <w:pPr>
        <w:rPr>
          <w:rFonts w:ascii="Arial" w:hAnsi="Arial"/>
          <w:sz w:val="16"/>
          <w:szCs w:val="16"/>
          <w:lang w:val="fr-CA"/>
        </w:rPr>
      </w:pPr>
    </w:p>
    <w:p w:rsidR="00ED42A8" w:rsidRPr="006E0D74" w:rsidRDefault="00ED42A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E0D74">
        <w:rPr>
          <w:rFonts w:ascii="Arial" w:hAnsi="Arial"/>
          <w:b/>
          <w:sz w:val="28"/>
          <w:lang w:val="fr-CA"/>
        </w:rPr>
        <w:t>R</w:t>
      </w:r>
      <w:r w:rsidR="006471CE" w:rsidRPr="006E0D74">
        <w:rPr>
          <w:rFonts w:ascii="Arial" w:hAnsi="Arial"/>
          <w:b/>
          <w:sz w:val="28"/>
          <w:lang w:val="fr-CA"/>
        </w:rPr>
        <w:t>é</w:t>
      </w:r>
      <w:r w:rsidRPr="006E0D74">
        <w:rPr>
          <w:rFonts w:ascii="Arial" w:hAnsi="Arial"/>
          <w:b/>
          <w:sz w:val="28"/>
          <w:lang w:val="fr-CA"/>
        </w:rPr>
        <w:t>f</w:t>
      </w:r>
      <w:r w:rsidR="006471CE" w:rsidRPr="006E0D74">
        <w:rPr>
          <w:rFonts w:ascii="Arial" w:hAnsi="Arial"/>
          <w:b/>
          <w:sz w:val="28"/>
          <w:lang w:val="fr-CA"/>
        </w:rPr>
        <w:t>é</w:t>
      </w:r>
      <w:r w:rsidRPr="006E0D74">
        <w:rPr>
          <w:rFonts w:ascii="Arial" w:hAnsi="Arial"/>
          <w:b/>
          <w:sz w:val="28"/>
          <w:lang w:val="fr-CA"/>
        </w:rPr>
        <w:t>rences</w:t>
      </w:r>
    </w:p>
    <w:p w:rsidR="004B5A17" w:rsidRPr="006E0D74" w:rsidRDefault="004B5A1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>ROBACK JD, éd</w:t>
      </w:r>
      <w:r w:rsidRPr="006E0D74">
        <w:rPr>
          <w:rFonts w:ascii="Arial" w:hAnsi="Arial"/>
          <w:i/>
          <w:sz w:val="24"/>
          <w:lang w:val="fr-CA"/>
        </w:rPr>
        <w:t xml:space="preserve">. American Association of Blood Banks </w:t>
      </w:r>
      <w:proofErr w:type="spellStart"/>
      <w:r w:rsidRPr="006E0D74">
        <w:rPr>
          <w:rFonts w:ascii="Arial" w:hAnsi="Arial"/>
          <w:i/>
          <w:sz w:val="24"/>
          <w:lang w:val="fr-CA"/>
        </w:rPr>
        <w:t>Technical</w:t>
      </w:r>
      <w:proofErr w:type="spellEnd"/>
      <w:r w:rsidRPr="006E0D74">
        <w:rPr>
          <w:rFonts w:ascii="Arial" w:hAnsi="Arial"/>
          <w:i/>
          <w:sz w:val="24"/>
          <w:lang w:val="fr-CA"/>
        </w:rPr>
        <w:t xml:space="preserve"> Manual</w:t>
      </w:r>
      <w:r w:rsidRPr="006E0D74">
        <w:rPr>
          <w:rFonts w:ascii="Arial" w:hAnsi="Arial"/>
          <w:sz w:val="24"/>
          <w:lang w:val="fr-CA"/>
        </w:rPr>
        <w:t>, 1</w:t>
      </w:r>
      <w:r w:rsidR="006E0D74" w:rsidRPr="006E0D74">
        <w:rPr>
          <w:rFonts w:ascii="Arial" w:hAnsi="Arial"/>
          <w:sz w:val="24"/>
          <w:lang w:val="fr-CA"/>
        </w:rPr>
        <w:t>7</w:t>
      </w:r>
      <w:r w:rsidRPr="006E0D74">
        <w:rPr>
          <w:rFonts w:ascii="Arial" w:hAnsi="Arial"/>
          <w:sz w:val="24"/>
          <w:vertAlign w:val="superscript"/>
          <w:lang w:val="fr-CA"/>
        </w:rPr>
        <w:t>e</w:t>
      </w:r>
      <w:r w:rsidRPr="006E0D74">
        <w:rPr>
          <w:rFonts w:ascii="Arial" w:hAnsi="Arial"/>
          <w:sz w:val="24"/>
          <w:lang w:val="fr-CA"/>
        </w:rPr>
        <w:t xml:space="preserve"> éd. Bethesda, MD: American Association of Blood Banks (20</w:t>
      </w:r>
      <w:r w:rsidR="006E0D74" w:rsidRPr="006E0D74">
        <w:rPr>
          <w:rFonts w:ascii="Arial" w:hAnsi="Arial"/>
          <w:sz w:val="24"/>
          <w:lang w:val="fr-CA"/>
        </w:rPr>
        <w:t>11</w:t>
      </w:r>
      <w:r w:rsidRPr="006E0D74">
        <w:rPr>
          <w:rFonts w:ascii="Arial" w:hAnsi="Arial"/>
          <w:sz w:val="24"/>
          <w:lang w:val="fr-CA"/>
        </w:rPr>
        <w:t xml:space="preserve">), </w:t>
      </w:r>
      <w:r w:rsidR="004E5907" w:rsidRPr="006E0D74">
        <w:rPr>
          <w:rFonts w:ascii="Arial" w:hAnsi="Arial"/>
          <w:sz w:val="24"/>
          <w:lang w:val="fr-CA"/>
        </w:rPr>
        <w:t>p.</w:t>
      </w:r>
      <w:r w:rsidR="00ED14CA">
        <w:rPr>
          <w:rFonts w:ascii="Arial" w:hAnsi="Arial"/>
          <w:sz w:val="24"/>
          <w:lang w:val="fr-CA"/>
        </w:rPr>
        <w:t> </w:t>
      </w:r>
      <w:r w:rsidRPr="006E0D74">
        <w:rPr>
          <w:rFonts w:ascii="Arial" w:hAnsi="Arial"/>
          <w:sz w:val="24"/>
          <w:lang w:val="fr-CA"/>
        </w:rPr>
        <w:t>36</w:t>
      </w:r>
      <w:r w:rsidR="006E0D74" w:rsidRPr="006E0D74">
        <w:rPr>
          <w:rFonts w:ascii="Arial" w:hAnsi="Arial"/>
          <w:sz w:val="24"/>
          <w:lang w:val="fr-CA"/>
        </w:rPr>
        <w:t>7. 888-889</w:t>
      </w:r>
      <w:r w:rsidR="00ED14CA">
        <w:rPr>
          <w:rFonts w:ascii="Arial" w:hAnsi="Arial"/>
          <w:sz w:val="24"/>
          <w:lang w:val="fr-CA"/>
        </w:rPr>
        <w:t>.</w:t>
      </w:r>
    </w:p>
    <w:p w:rsidR="00ED42A8" w:rsidRPr="006E0D74" w:rsidRDefault="006471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6E0D74">
        <w:rPr>
          <w:rFonts w:ascii="Arial" w:hAnsi="Arial"/>
          <w:sz w:val="24"/>
          <w:lang w:val="fr-CA"/>
        </w:rPr>
        <w:t>Consulter la documentation la plus récente du fabricant sur le produit</w:t>
      </w:r>
      <w:r w:rsidR="00ED42A8" w:rsidRPr="006E0D74">
        <w:rPr>
          <w:rFonts w:ascii="Arial" w:hAnsi="Arial"/>
          <w:sz w:val="24"/>
          <w:lang w:val="fr-CA"/>
        </w:rPr>
        <w:t>.</w:t>
      </w:r>
    </w:p>
    <w:p w:rsidR="00ED42A8" w:rsidRPr="007023EC" w:rsidRDefault="00ED42A8">
      <w:pPr>
        <w:ind w:left="720"/>
        <w:rPr>
          <w:rFonts w:ascii="Arial" w:hAnsi="Arial"/>
          <w:sz w:val="16"/>
          <w:szCs w:val="16"/>
          <w:lang w:val="fr-CA"/>
        </w:rPr>
      </w:pPr>
    </w:p>
    <w:p w:rsidR="00FE5324" w:rsidRPr="006E0D74" w:rsidRDefault="00FE5324" w:rsidP="00FE5324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szCs w:val="28"/>
          <w:lang w:val="fr-CA"/>
        </w:rPr>
      </w:pPr>
      <w:r w:rsidRPr="006E0D74">
        <w:rPr>
          <w:rFonts w:ascii="Arial" w:hAnsi="Arial"/>
          <w:b/>
          <w:sz w:val="28"/>
          <w:szCs w:val="28"/>
          <w:lang w:val="fr-CA"/>
        </w:rPr>
        <w:t>Suivi des révisions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025"/>
      </w:tblGrid>
      <w:tr w:rsidR="00FE5324" w:rsidRPr="006E0D74" w:rsidTr="00FD0B44">
        <w:tc>
          <w:tcPr>
            <w:tcW w:w="2660" w:type="dxa"/>
            <w:shd w:val="clear" w:color="auto" w:fill="D9D9D9"/>
          </w:tcPr>
          <w:p w:rsidR="00FE5324" w:rsidRPr="006E0D74" w:rsidRDefault="00FE5324" w:rsidP="00FD0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D9D9D9"/>
          </w:tcPr>
          <w:p w:rsidR="00FE5324" w:rsidRPr="006E0D74" w:rsidRDefault="00FE5324" w:rsidP="00FD0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E0D74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FE5324" w:rsidRPr="006E0D74" w:rsidTr="00FD0B44">
        <w:tc>
          <w:tcPr>
            <w:tcW w:w="2660" w:type="dxa"/>
          </w:tcPr>
          <w:p w:rsidR="00FE5324" w:rsidRPr="006E0D74" w:rsidRDefault="00FE5324" w:rsidP="00FD0B44">
            <w:p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31 janvier 2014</w:t>
            </w:r>
          </w:p>
        </w:tc>
        <w:tc>
          <w:tcPr>
            <w:tcW w:w="6196" w:type="dxa"/>
          </w:tcPr>
          <w:p w:rsidR="00FE5324" w:rsidRPr="006E0D74" w:rsidRDefault="00FE5324" w:rsidP="00FE5324">
            <w:pPr>
              <w:numPr>
                <w:ilvl w:val="0"/>
                <w:numId w:val="16"/>
              </w:num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7023EC" w:rsidRDefault="007023EC" w:rsidP="00C917AE">
            <w:pPr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Reformatage et renumérotation de la section 6 pour la rendre plus conviviale</w:t>
            </w:r>
          </w:p>
          <w:p w:rsidR="004F4B9E" w:rsidRDefault="006E0D74" w:rsidP="004F4B9E">
            <w:pPr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>Modification du libellé de la section</w:t>
            </w:r>
            <w:r w:rsidR="00ED14CA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C917AE" w:rsidRPr="006E0D74">
              <w:rPr>
                <w:rFonts w:ascii="Arial" w:hAnsi="Arial"/>
                <w:sz w:val="22"/>
                <w:szCs w:val="22"/>
                <w:lang w:val="fr-CA"/>
              </w:rPr>
              <w:t xml:space="preserve">6.1 </w:t>
            </w:r>
            <w:r w:rsidRPr="006E0D74">
              <w:rPr>
                <w:rFonts w:ascii="Arial" w:hAnsi="Arial"/>
                <w:sz w:val="22"/>
                <w:szCs w:val="22"/>
                <w:lang w:val="fr-CA"/>
              </w:rPr>
              <w:t>pour préciser</w:t>
            </w:r>
            <w:r w:rsidR="00C917AE" w:rsidRPr="006E0D74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Pr="006E0D74">
              <w:rPr>
                <w:rFonts w:ascii="Arial" w:hAnsi="Arial"/>
                <w:spacing w:val="-2"/>
                <w:sz w:val="22"/>
                <w:szCs w:val="22"/>
                <w:lang w:val="fr-CA"/>
              </w:rPr>
              <w:t>(1 marqué au nom du patient ou au numéro du donneur, 1 marqué Cellule</w:t>
            </w:r>
            <w:r w:rsidR="00ED14CA">
              <w:rPr>
                <w:rFonts w:ascii="Arial" w:hAnsi="Arial"/>
                <w:spacing w:val="-2"/>
                <w:sz w:val="22"/>
                <w:szCs w:val="22"/>
                <w:lang w:val="fr-CA"/>
              </w:rPr>
              <w:t> </w:t>
            </w:r>
            <w:r w:rsidRPr="006E0D74">
              <w:rPr>
                <w:rFonts w:ascii="Arial" w:hAnsi="Arial"/>
                <w:spacing w:val="-2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pacing w:val="-2"/>
                <w:sz w:val="22"/>
                <w:szCs w:val="22"/>
                <w:vertAlign w:val="subscript"/>
                <w:lang w:val="fr-CA"/>
              </w:rPr>
              <w:t>1</w:t>
            </w:r>
            <w:r w:rsidRPr="006E0D74">
              <w:rPr>
                <w:rFonts w:ascii="Arial" w:hAnsi="Arial"/>
                <w:spacing w:val="-2"/>
                <w:sz w:val="22"/>
                <w:szCs w:val="22"/>
                <w:lang w:val="fr-CA"/>
              </w:rPr>
              <w:t>, 1 marqué Cellule</w:t>
            </w:r>
            <w:r w:rsidR="00ED14CA">
              <w:rPr>
                <w:rFonts w:ascii="Arial" w:hAnsi="Arial"/>
                <w:spacing w:val="-2"/>
                <w:sz w:val="22"/>
                <w:szCs w:val="22"/>
                <w:lang w:val="fr-CA"/>
              </w:rPr>
              <w:t> </w:t>
            </w:r>
            <w:r w:rsidRPr="006E0D74">
              <w:rPr>
                <w:rFonts w:ascii="Arial" w:hAnsi="Arial"/>
                <w:spacing w:val="-2"/>
                <w:sz w:val="22"/>
                <w:szCs w:val="22"/>
                <w:lang w:val="fr-CA"/>
              </w:rPr>
              <w:t>A</w:t>
            </w:r>
            <w:r w:rsidRPr="006E0D74">
              <w:rPr>
                <w:rFonts w:ascii="Arial" w:hAnsi="Arial"/>
                <w:spacing w:val="-2"/>
                <w:sz w:val="22"/>
                <w:szCs w:val="22"/>
                <w:vertAlign w:val="subscript"/>
                <w:lang w:val="fr-CA"/>
              </w:rPr>
              <w:t>2</w:t>
            </w:r>
            <w:r w:rsidRPr="006E0D74">
              <w:rPr>
                <w:rFonts w:ascii="Arial" w:hAnsi="Arial"/>
                <w:spacing w:val="-2"/>
                <w:sz w:val="22"/>
                <w:szCs w:val="22"/>
                <w:lang w:val="fr-CA"/>
              </w:rPr>
              <w:t>)</w:t>
            </w:r>
          </w:p>
          <w:p w:rsidR="00FE5324" w:rsidRPr="004F4B9E" w:rsidRDefault="00FE5324" w:rsidP="004F4B9E">
            <w:pPr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2"/>
                <w:szCs w:val="22"/>
                <w:lang w:val="fr-CA"/>
              </w:rPr>
            </w:pPr>
            <w:r w:rsidRPr="004F4B9E">
              <w:rPr>
                <w:rFonts w:ascii="Arial" w:hAnsi="Arial"/>
                <w:sz w:val="22"/>
                <w:szCs w:val="22"/>
                <w:lang w:val="fr-CA"/>
              </w:rPr>
              <w:t xml:space="preserve">Ajout </w:t>
            </w:r>
            <w:r w:rsidR="00C917AE" w:rsidRPr="004F4B9E">
              <w:rPr>
                <w:rFonts w:ascii="Arial" w:hAnsi="Arial"/>
                <w:sz w:val="22"/>
                <w:szCs w:val="22"/>
                <w:lang w:val="fr-CA"/>
              </w:rPr>
              <w:t>des remarques</w:t>
            </w:r>
            <w:r w:rsidR="00ED14CA" w:rsidRPr="004F4B9E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C917AE" w:rsidRPr="004F4B9E">
              <w:rPr>
                <w:rFonts w:ascii="Arial" w:hAnsi="Arial"/>
                <w:sz w:val="22"/>
                <w:szCs w:val="22"/>
                <w:lang w:val="fr-CA"/>
              </w:rPr>
              <w:t>8.1, 8.2 et 8.3</w:t>
            </w:r>
          </w:p>
          <w:p w:rsidR="00FE5324" w:rsidRPr="006E0D74" w:rsidRDefault="00FE5324" w:rsidP="006E0D74">
            <w:pPr>
              <w:numPr>
                <w:ilvl w:val="0"/>
                <w:numId w:val="16"/>
              </w:num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6E0D74">
              <w:rPr>
                <w:rFonts w:ascii="Arial" w:hAnsi="Arial"/>
                <w:sz w:val="22"/>
                <w:szCs w:val="22"/>
                <w:lang w:val="fr-CA"/>
              </w:rPr>
              <w:t xml:space="preserve">Mise à jour des références </w:t>
            </w:r>
          </w:p>
        </w:tc>
      </w:tr>
      <w:tr w:rsidR="00E12452" w:rsidRPr="006E0D74" w:rsidTr="00FD0B44">
        <w:tc>
          <w:tcPr>
            <w:tcW w:w="2660" w:type="dxa"/>
          </w:tcPr>
          <w:p w:rsidR="00E12452" w:rsidRPr="006E0D74" w:rsidRDefault="00E12452" w:rsidP="00FD0B44">
            <w:p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13 septembre 2016</w:t>
            </w:r>
          </w:p>
        </w:tc>
        <w:tc>
          <w:tcPr>
            <w:tcW w:w="6196" w:type="dxa"/>
          </w:tcPr>
          <w:p w:rsidR="00E12452" w:rsidRPr="006E0D74" w:rsidRDefault="00525E67" w:rsidP="00570401">
            <w:pPr>
              <w:pStyle w:val="HTMLPreformatted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401"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  <w:t>La section 6.5 a été éliminé</w:t>
            </w:r>
          </w:p>
        </w:tc>
      </w:tr>
    </w:tbl>
    <w:p w:rsidR="00FE5324" w:rsidRPr="006E0D74" w:rsidRDefault="00FE5324" w:rsidP="007023EC">
      <w:pPr>
        <w:ind w:left="720"/>
        <w:rPr>
          <w:rFonts w:ascii="Arial" w:hAnsi="Arial"/>
          <w:sz w:val="24"/>
          <w:lang w:val="fr-CA"/>
        </w:rPr>
      </w:pPr>
    </w:p>
    <w:sectPr w:rsidR="00FE5324" w:rsidRPr="006E0D7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36" w:rsidRDefault="00035836">
      <w:r>
        <w:separator/>
      </w:r>
    </w:p>
  </w:endnote>
  <w:endnote w:type="continuationSeparator" w:id="0">
    <w:p w:rsidR="00035836" w:rsidRDefault="0003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E6C8D" w:rsidRPr="007D1FB5">
      <w:trPr>
        <w:trHeight w:val="720"/>
      </w:trPr>
      <w:tc>
        <w:tcPr>
          <w:tcW w:w="1368" w:type="dxa"/>
        </w:tcPr>
        <w:p w:rsidR="001E6C8D" w:rsidRPr="007D1FB5" w:rsidRDefault="001E6C8D">
          <w:pPr>
            <w:pStyle w:val="Footer"/>
            <w:jc w:val="center"/>
            <w:rPr>
              <w:sz w:val="8"/>
              <w:lang w:val="fr-CA"/>
            </w:rPr>
          </w:pPr>
        </w:p>
        <w:p w:rsidR="001E6C8D" w:rsidRPr="007D1FB5" w:rsidRDefault="000C1509">
          <w:pPr>
            <w:pStyle w:val="Footer"/>
            <w:jc w:val="center"/>
            <w:rPr>
              <w:rFonts w:ascii="Verdana" w:hAnsi="Verdana"/>
              <w:sz w:val="8"/>
              <w:lang w:val="fr-CA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E6C8D" w:rsidRPr="007D1FB5" w:rsidRDefault="001E6C8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FE5324" w:rsidRDefault="00FE5324" w:rsidP="00FE532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E6C8D" w:rsidRPr="007D1FB5" w:rsidRDefault="00FE5324" w:rsidP="00FE532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D33DB0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1E6C8D" w:rsidRPr="007D1FB5" w:rsidRDefault="001E6C8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1E6C8D" w:rsidRPr="007D1FB5" w:rsidRDefault="001E6C8D" w:rsidP="00FE532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7D1FB5">
            <w:rPr>
              <w:rFonts w:ascii="Arial" w:hAnsi="Arial"/>
              <w:sz w:val="18"/>
              <w:lang w:val="fr-CA"/>
            </w:rPr>
            <w:t xml:space="preserve">AR.013 </w:t>
          </w:r>
          <w:r w:rsidRPr="007D1FB5">
            <w:rPr>
              <w:rFonts w:ascii="Arial" w:hAnsi="Arial"/>
              <w:sz w:val="18"/>
              <w:lang w:val="fr-CA"/>
            </w:rPr>
            <w:br/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BF6939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BF6939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7D1FB5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1E6C8D" w:rsidRPr="007D1FB5" w:rsidRDefault="001E6C8D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E6C8D">
      <w:trPr>
        <w:trHeight w:val="720"/>
      </w:trPr>
      <w:tc>
        <w:tcPr>
          <w:tcW w:w="1368" w:type="dxa"/>
        </w:tcPr>
        <w:p w:rsidR="001E6C8D" w:rsidRDefault="001E6C8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E6C8D" w:rsidRDefault="000C150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E6C8D" w:rsidRDefault="001E6C8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E5324" w:rsidRDefault="00FE5324" w:rsidP="00FE532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E6C8D" w:rsidRPr="00D33DB0" w:rsidRDefault="00FE5324" w:rsidP="00FE532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D33DB0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1E6C8D" w:rsidRPr="00D33DB0" w:rsidRDefault="001E6C8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1E6C8D" w:rsidRDefault="001E6C8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AR.013 </w:t>
          </w:r>
        </w:p>
        <w:p w:rsidR="001E6C8D" w:rsidRDefault="001E6C8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F693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F693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E6C8D" w:rsidRDefault="001E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36" w:rsidRDefault="00035836">
      <w:r>
        <w:separator/>
      </w:r>
    </w:p>
  </w:footnote>
  <w:footnote w:type="continuationSeparator" w:id="0">
    <w:p w:rsidR="00035836" w:rsidRDefault="0003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8D" w:rsidRPr="00D33DB0" w:rsidRDefault="001E6C8D" w:rsidP="003D5E25">
    <w:pPr>
      <w:pStyle w:val="Header"/>
      <w:jc w:val="center"/>
      <w:rPr>
        <w:rFonts w:ascii="Arial" w:hAnsi="Arial"/>
        <w:b/>
        <w:spacing w:val="-2"/>
        <w:sz w:val="28"/>
        <w:lang w:val="fr-CA"/>
      </w:rPr>
    </w:pPr>
    <w:r w:rsidRPr="00D33DB0">
      <w:rPr>
        <w:rFonts w:ascii="Arial" w:hAnsi="Arial"/>
        <w:b/>
        <w:spacing w:val="-2"/>
        <w:sz w:val="28"/>
        <w:lang w:val="fr-CA"/>
      </w:rPr>
      <w:t>Sous-groupage ABO avec lectine</w:t>
    </w:r>
    <w:r w:rsidR="00ED14CA" w:rsidRPr="00D33DB0">
      <w:rPr>
        <w:rFonts w:ascii="Arial" w:hAnsi="Arial"/>
        <w:b/>
        <w:spacing w:val="-2"/>
        <w:sz w:val="28"/>
        <w:lang w:val="fr-CA"/>
      </w:rPr>
      <w:t> </w:t>
    </w:r>
    <w:r w:rsidRPr="00D33DB0">
      <w:rPr>
        <w:rFonts w:ascii="Arial" w:hAnsi="Arial"/>
        <w:b/>
        <w:spacing w:val="-2"/>
        <w:sz w:val="28"/>
        <w:lang w:val="fr-CA"/>
      </w:rPr>
      <w:t>A1</w:t>
    </w:r>
    <w:r w:rsidRPr="00740A8E">
      <w:rPr>
        <w:rFonts w:ascii="Arial" w:hAnsi="Arial"/>
        <w:b/>
        <w:spacing w:val="-2"/>
        <w:sz w:val="28"/>
        <w:lang w:val="fr-CA"/>
      </w:rPr>
      <w:t xml:space="preserve"> ou</w:t>
    </w:r>
    <w:r w:rsidRPr="00D33DB0">
      <w:rPr>
        <w:rFonts w:ascii="Arial" w:hAnsi="Arial"/>
        <w:b/>
        <w:spacing w:val="-2"/>
        <w:sz w:val="28"/>
        <w:lang w:val="fr-CA"/>
      </w:rPr>
      <w:t xml:space="preserve"> </w:t>
    </w:r>
    <w:proofErr w:type="spellStart"/>
    <w:r w:rsidRPr="00D33DB0">
      <w:rPr>
        <w:rFonts w:ascii="Arial" w:hAnsi="Arial"/>
        <w:b/>
        <w:spacing w:val="-2"/>
        <w:sz w:val="28"/>
        <w:lang w:val="fr-CA"/>
      </w:rPr>
      <w:t>anti-H</w:t>
    </w:r>
    <w:proofErr w:type="spellEnd"/>
  </w:p>
  <w:p w:rsidR="001E6C8D" w:rsidRPr="00D33DB0" w:rsidRDefault="001E6C8D">
    <w:pPr>
      <w:pStyle w:val="Header"/>
      <w:rPr>
        <w:rFonts w:ascii="Arial" w:hAnsi="Arial"/>
        <w:sz w:val="1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8D" w:rsidRDefault="000C1509">
    <w:pPr>
      <w:pStyle w:val="Header"/>
    </w:pPr>
    <w:r>
      <w:rPr>
        <w:noProof/>
      </w:rPr>
      <w:drawing>
        <wp:inline distT="0" distB="0" distL="0" distR="0">
          <wp:extent cx="1162050" cy="39052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DB0" w:rsidRDefault="00D33DB0">
    <w:pPr>
      <w:pStyle w:val="Header"/>
    </w:pPr>
  </w:p>
  <w:p w:rsidR="00FE5324" w:rsidRPr="00D33DB0" w:rsidRDefault="00FE5324" w:rsidP="00FE5324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D33DB0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1E6C8D" w:rsidRPr="00D33DB0" w:rsidRDefault="00FE5324" w:rsidP="00FE5324">
    <w:pPr>
      <w:pStyle w:val="Header"/>
      <w:jc w:val="center"/>
      <w:rPr>
        <w:rFonts w:ascii="Arial" w:hAnsi="Arial" w:cs="Arial"/>
        <w:b/>
        <w:bCs/>
        <w:lang w:val="fr-CA"/>
      </w:rPr>
    </w:pPr>
    <w:r w:rsidRPr="00D33DB0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1E6C8D" w:rsidRPr="003D5E25" w:rsidRDefault="001E6C8D">
    <w:pPr>
      <w:pStyle w:val="Header"/>
      <w:jc w:val="center"/>
      <w:rPr>
        <w:rFonts w:ascii="Arial" w:hAnsi="Arial"/>
        <w:b/>
        <w:spacing w:val="-2"/>
        <w:sz w:val="28"/>
        <w:lang w:val="fr-CA"/>
      </w:rPr>
    </w:pPr>
  </w:p>
  <w:p w:rsidR="001E6C8D" w:rsidRPr="00E90F68" w:rsidRDefault="001E6C8D">
    <w:pPr>
      <w:pStyle w:val="Header"/>
      <w:jc w:val="center"/>
      <w:rPr>
        <w:rFonts w:ascii="Arial" w:hAnsi="Arial"/>
        <w:b/>
        <w:spacing w:val="-2"/>
        <w:sz w:val="28"/>
        <w:lang w:val="fr-CA"/>
      </w:rPr>
    </w:pPr>
    <w:r w:rsidRPr="00E90F68">
      <w:rPr>
        <w:rFonts w:ascii="Arial" w:hAnsi="Arial"/>
        <w:b/>
        <w:spacing w:val="-2"/>
        <w:sz w:val="28"/>
        <w:lang w:val="fr-CA"/>
      </w:rPr>
      <w:t>Sous-groupage ABO avec lectine</w:t>
    </w:r>
    <w:r w:rsidR="00ED14CA">
      <w:rPr>
        <w:rFonts w:ascii="Arial" w:hAnsi="Arial"/>
        <w:b/>
        <w:spacing w:val="-2"/>
        <w:sz w:val="28"/>
        <w:lang w:val="fr-CA"/>
      </w:rPr>
      <w:t> </w:t>
    </w:r>
    <w:r w:rsidRPr="00E90F68">
      <w:rPr>
        <w:rFonts w:ascii="Arial" w:hAnsi="Arial"/>
        <w:b/>
        <w:spacing w:val="-2"/>
        <w:sz w:val="28"/>
        <w:lang w:val="fr-CA"/>
      </w:rPr>
      <w:t xml:space="preserve">A1 ou </w:t>
    </w:r>
    <w:proofErr w:type="spellStart"/>
    <w:r w:rsidRPr="00E90F68">
      <w:rPr>
        <w:rFonts w:ascii="Arial" w:hAnsi="Arial"/>
        <w:b/>
        <w:spacing w:val="-2"/>
        <w:sz w:val="28"/>
        <w:lang w:val="fr-CA"/>
      </w:rPr>
      <w:t>anti-H</w:t>
    </w:r>
    <w:proofErr w:type="spellEnd"/>
  </w:p>
  <w:p w:rsidR="001E6C8D" w:rsidRPr="003D5E25" w:rsidRDefault="001E6C8D">
    <w:pPr>
      <w:pStyle w:val="Header"/>
      <w:jc w:val="center"/>
      <w:rPr>
        <w:rFonts w:ascii="Arial" w:hAnsi="Arial"/>
        <w:b/>
        <w:sz w:val="28"/>
        <w:lang w:val="fr-CA"/>
      </w:rPr>
    </w:pPr>
  </w:p>
  <w:p w:rsidR="001E6C8D" w:rsidRPr="003D5E25" w:rsidRDefault="001E6C8D">
    <w:pPr>
      <w:pStyle w:val="Header"/>
      <w:jc w:val="center"/>
      <w:rPr>
        <w:rFonts w:ascii="Arial" w:hAnsi="Arial" w:cs="Arial"/>
        <w:b/>
        <w:bCs/>
        <w:lang w:val="fr-CA"/>
      </w:rPr>
    </w:pPr>
    <w:r w:rsidRPr="003D5E25">
      <w:rPr>
        <w:rFonts w:ascii="Arial" w:hAnsi="Arial" w:cs="Arial"/>
        <w:b/>
        <w:bCs/>
        <w:lang w:val="fr-CA"/>
      </w:rPr>
      <w:tab/>
    </w:r>
    <w:r w:rsidR="000C1509" w:rsidRPr="003D5E25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C74A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4"/>
      <w:gridCol w:w="4316"/>
    </w:tblGrid>
    <w:tr w:rsidR="004B5A17" w:rsidRPr="003D5E25">
      <w:tc>
        <w:tcPr>
          <w:tcW w:w="4428" w:type="dxa"/>
        </w:tcPr>
        <w:p w:rsidR="004B5A17" w:rsidRDefault="00740A8E" w:rsidP="00E260C5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="004B5A17">
            <w:rPr>
              <w:rFonts w:ascii="Arial" w:hAnsi="Arial" w:cs="Arial"/>
              <w:lang w:val="fr-CA"/>
            </w:rPr>
            <w:t>: D</w:t>
          </w:r>
          <w:r w:rsidR="004B5A17" w:rsidRPr="00DB21A4">
            <w:rPr>
              <w:rFonts w:ascii="Arial" w:hAnsi="Arial" w:cs="Arial"/>
              <w:vertAlign w:val="superscript"/>
              <w:lang w:val="fr-CA"/>
            </w:rPr>
            <w:t xml:space="preserve">r </w:t>
          </w:r>
          <w:r w:rsidR="004B5A17">
            <w:rPr>
              <w:rFonts w:ascii="Arial" w:hAnsi="Arial" w:cs="Arial"/>
              <w:lang w:val="fr-CA"/>
            </w:rPr>
            <w:t xml:space="preserve">Antonio </w:t>
          </w:r>
          <w:proofErr w:type="spellStart"/>
          <w:r w:rsidR="004B5A17">
            <w:rPr>
              <w:rFonts w:ascii="Arial" w:hAnsi="Arial" w:cs="Arial"/>
              <w:lang w:val="fr-CA"/>
            </w:rPr>
            <w:t>Giulivi</w:t>
          </w:r>
          <w:proofErr w:type="spellEnd"/>
        </w:p>
      </w:tc>
      <w:tc>
        <w:tcPr>
          <w:tcW w:w="4428" w:type="dxa"/>
        </w:tcPr>
        <w:p w:rsidR="004B5A17" w:rsidRPr="003D5E25" w:rsidRDefault="004B5A17">
          <w:pPr>
            <w:pStyle w:val="Header"/>
            <w:rPr>
              <w:rFonts w:ascii="Arial" w:hAnsi="Arial" w:cs="Arial"/>
              <w:lang w:val="fr-CA"/>
            </w:rPr>
          </w:pPr>
          <w:r w:rsidRPr="003D5E25">
            <w:rPr>
              <w:rFonts w:ascii="Arial" w:hAnsi="Arial" w:cs="Arial"/>
              <w:lang w:val="fr-CA"/>
            </w:rPr>
            <w:t>Document n</w:t>
          </w:r>
          <w:r w:rsidRPr="001708F0">
            <w:rPr>
              <w:rFonts w:ascii="Arial" w:hAnsi="Arial" w:cs="Arial"/>
              <w:vertAlign w:val="superscript"/>
              <w:lang w:val="fr-CA"/>
            </w:rPr>
            <w:t>o</w:t>
          </w:r>
          <w:r w:rsidR="00ED14CA">
            <w:rPr>
              <w:rFonts w:ascii="Arial" w:hAnsi="Arial" w:cs="Arial"/>
              <w:lang w:val="fr-CA"/>
            </w:rPr>
            <w:t> </w:t>
          </w:r>
          <w:r w:rsidRPr="003D5E25">
            <w:rPr>
              <w:rFonts w:ascii="Arial" w:hAnsi="Arial" w:cs="Arial"/>
              <w:lang w:val="fr-CA"/>
            </w:rPr>
            <w:t>: AR.013</w:t>
          </w:r>
        </w:p>
      </w:tc>
    </w:tr>
    <w:tr w:rsidR="004B5A17" w:rsidRPr="003D5E25">
      <w:tc>
        <w:tcPr>
          <w:tcW w:w="4428" w:type="dxa"/>
        </w:tcPr>
        <w:p w:rsidR="004B5A17" w:rsidRPr="003D5E25" w:rsidRDefault="004B5A17">
          <w:pPr>
            <w:pStyle w:val="Header"/>
            <w:rPr>
              <w:rFonts w:ascii="Arial" w:hAnsi="Arial" w:cs="Arial"/>
              <w:lang w:val="fr-CA"/>
            </w:rPr>
          </w:pPr>
          <w:r w:rsidRPr="003D5E25">
            <w:rPr>
              <w:rFonts w:ascii="Arial" w:hAnsi="Arial" w:cs="Arial"/>
              <w:lang w:val="fr-CA"/>
            </w:rPr>
            <w:t xml:space="preserve">Date de </w:t>
          </w:r>
          <w:r w:rsidR="00740A8E">
            <w:rPr>
              <w:rFonts w:ascii="Arial" w:hAnsi="Arial" w:cs="Arial"/>
              <w:lang w:val="fr-CA"/>
            </w:rPr>
            <w:t>publication </w:t>
          </w:r>
          <w:r w:rsidRPr="003D5E25">
            <w:rPr>
              <w:rFonts w:ascii="Arial" w:hAnsi="Arial" w:cs="Arial"/>
              <w:lang w:val="fr-CA"/>
            </w:rPr>
            <w:t>: 2006/0</w:t>
          </w:r>
          <w:r>
            <w:rPr>
              <w:rFonts w:ascii="Arial" w:hAnsi="Arial" w:cs="Arial"/>
              <w:lang w:val="fr-CA"/>
            </w:rPr>
            <w:t>8</w:t>
          </w:r>
          <w:r w:rsidRPr="003D5E25"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4B5A17" w:rsidRPr="003D5E25" w:rsidRDefault="00740A8E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 </w:t>
          </w:r>
          <w:r w:rsidR="004B5A17" w:rsidRPr="003D5E25">
            <w:rPr>
              <w:rFonts w:ascii="Arial" w:hAnsi="Arial" w:cs="Arial"/>
              <w:lang w:val="fr-CA"/>
            </w:rPr>
            <w:t>: Analyses de routine</w:t>
          </w:r>
        </w:p>
      </w:tc>
    </w:tr>
    <w:tr w:rsidR="004B5A17" w:rsidRPr="003D5E25">
      <w:tc>
        <w:tcPr>
          <w:tcW w:w="4428" w:type="dxa"/>
        </w:tcPr>
        <w:p w:rsidR="004B5A17" w:rsidRPr="003D5E25" w:rsidRDefault="004B5A17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Date de </w:t>
          </w:r>
          <w:r w:rsidR="00740A8E">
            <w:rPr>
              <w:rFonts w:ascii="Arial" w:hAnsi="Arial" w:cs="Arial"/>
              <w:lang w:val="fr-CA"/>
            </w:rPr>
            <w:t>révision </w:t>
          </w:r>
          <w:r>
            <w:rPr>
              <w:rFonts w:ascii="Arial" w:hAnsi="Arial" w:cs="Arial"/>
              <w:lang w:val="fr-CA"/>
            </w:rPr>
            <w:t>: 2009/12/31</w:t>
          </w:r>
          <w:r w:rsidR="00727B26">
            <w:rPr>
              <w:rFonts w:ascii="Arial" w:hAnsi="Arial" w:cs="Arial"/>
              <w:lang w:val="fr-CA"/>
            </w:rPr>
            <w:t>; 2014/01/31</w:t>
          </w:r>
          <w:r w:rsidR="00E12452">
            <w:rPr>
              <w:rFonts w:ascii="Arial" w:hAnsi="Arial" w:cs="Arial"/>
              <w:lang w:val="fr-CA"/>
            </w:rPr>
            <w:t>; 2016/09/13</w:t>
          </w:r>
        </w:p>
      </w:tc>
      <w:tc>
        <w:tcPr>
          <w:tcW w:w="4428" w:type="dxa"/>
        </w:tcPr>
        <w:p w:rsidR="004B5A17" w:rsidRPr="003D5E25" w:rsidRDefault="004B5A17">
          <w:pPr>
            <w:pStyle w:val="Header"/>
            <w:rPr>
              <w:rFonts w:ascii="Arial" w:hAnsi="Arial" w:cs="Arial"/>
              <w:lang w:val="fr-CA"/>
            </w:rPr>
          </w:pPr>
          <w:r w:rsidRPr="003D5E25">
            <w:rPr>
              <w:rFonts w:ascii="Arial" w:hAnsi="Arial" w:cs="Arial"/>
              <w:lang w:val="fr-CA"/>
            </w:rPr>
            <w:t>Pages</w:t>
          </w:r>
          <w:r w:rsidR="00ED14CA">
            <w:rPr>
              <w:rFonts w:ascii="Arial" w:hAnsi="Arial" w:cs="Arial"/>
              <w:lang w:val="fr-CA"/>
            </w:rPr>
            <w:t> </w:t>
          </w:r>
          <w:r w:rsidRPr="003D5E25">
            <w:rPr>
              <w:rFonts w:ascii="Arial" w:hAnsi="Arial" w:cs="Arial"/>
              <w:lang w:val="fr-CA"/>
            </w:rPr>
            <w:t xml:space="preserve">: </w:t>
          </w:r>
          <w:r w:rsidRPr="003D5E25">
            <w:rPr>
              <w:rFonts w:ascii="Arial" w:hAnsi="Arial" w:cs="Arial"/>
              <w:lang w:val="fr-CA"/>
            </w:rPr>
            <w:fldChar w:fldCharType="begin"/>
          </w:r>
          <w:r w:rsidRPr="003D5E25">
            <w:rPr>
              <w:rFonts w:ascii="Arial" w:hAnsi="Arial" w:cs="Arial"/>
              <w:lang w:val="fr-CA"/>
            </w:rPr>
            <w:instrText xml:space="preserve"> NUMPAGES </w:instrText>
          </w:r>
          <w:r w:rsidRPr="003D5E25">
            <w:rPr>
              <w:rFonts w:ascii="Arial" w:hAnsi="Arial" w:cs="Arial"/>
              <w:lang w:val="fr-CA"/>
            </w:rPr>
            <w:fldChar w:fldCharType="separate"/>
          </w:r>
          <w:r w:rsidR="00BF6939">
            <w:rPr>
              <w:rFonts w:ascii="Arial" w:hAnsi="Arial" w:cs="Arial"/>
              <w:noProof/>
              <w:lang w:val="fr-CA"/>
            </w:rPr>
            <w:t>1</w:t>
          </w:r>
          <w:r w:rsidRPr="003D5E25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1E6C8D" w:rsidRDefault="000C1509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7DD7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1E6C8D">
      <w:rPr>
        <w:rFonts w:ascii="Arial" w:hAnsi="Arial" w:cs="Arial"/>
      </w:rPr>
      <w:tab/>
    </w:r>
    <w:r w:rsidR="001E6C8D">
      <w:rPr>
        <w:rFonts w:ascii="Arial" w:hAnsi="Arial" w:cs="Arial"/>
      </w:rPr>
      <w:tab/>
    </w:r>
  </w:p>
  <w:p w:rsidR="001E6C8D" w:rsidRDefault="001E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77C"/>
    <w:multiLevelType w:val="hybridMultilevel"/>
    <w:tmpl w:val="0FC67B76"/>
    <w:lvl w:ilvl="0" w:tplc="4E50BE36">
      <w:start w:val="1"/>
      <w:numFmt w:val="decimal"/>
      <w:lvlText w:val="6.4.%1."/>
      <w:lvlJc w:val="left"/>
      <w:pPr>
        <w:ind w:left="502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2862F3"/>
    <w:multiLevelType w:val="hybridMultilevel"/>
    <w:tmpl w:val="96A243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7750"/>
    <w:multiLevelType w:val="hybridMultilevel"/>
    <w:tmpl w:val="F3E8C71E"/>
    <w:lvl w:ilvl="0" w:tplc="A4BEB31E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7E5746"/>
    <w:multiLevelType w:val="hybridMultilevel"/>
    <w:tmpl w:val="D4565DBE"/>
    <w:lvl w:ilvl="0" w:tplc="F4CA69B4">
      <w:start w:val="1"/>
      <w:numFmt w:val="decimal"/>
      <w:lvlText w:val="6.5.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951CE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30A52CF"/>
    <w:multiLevelType w:val="hybridMultilevel"/>
    <w:tmpl w:val="12C42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E923207"/>
    <w:multiLevelType w:val="hybridMultilevel"/>
    <w:tmpl w:val="09148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D2235"/>
    <w:multiLevelType w:val="hybridMultilevel"/>
    <w:tmpl w:val="CC020074"/>
    <w:lvl w:ilvl="0" w:tplc="FF08A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D78EB"/>
    <w:multiLevelType w:val="hybridMultilevel"/>
    <w:tmpl w:val="CCA44E8E"/>
    <w:lvl w:ilvl="0" w:tplc="5120B44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D7E71"/>
    <w:multiLevelType w:val="hybridMultilevel"/>
    <w:tmpl w:val="1F6A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25208"/>
    <w:multiLevelType w:val="hybridMultilevel"/>
    <w:tmpl w:val="8D268B08"/>
    <w:lvl w:ilvl="0" w:tplc="4E50BE36">
      <w:start w:val="1"/>
      <w:numFmt w:val="decimal"/>
      <w:lvlText w:val="6.4.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626A5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C6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4D44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866636"/>
    <w:multiLevelType w:val="hybridMultilevel"/>
    <w:tmpl w:val="09766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22"/>
  </w:num>
  <w:num w:numId="6">
    <w:abstractNumId w:val="21"/>
  </w:num>
  <w:num w:numId="7">
    <w:abstractNumId w:val="20"/>
  </w:num>
  <w:num w:numId="8">
    <w:abstractNumId w:val="5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17"/>
  </w:num>
  <w:num w:numId="12">
    <w:abstractNumId w:val="19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CE"/>
    <w:rsid w:val="00035836"/>
    <w:rsid w:val="000C1509"/>
    <w:rsid w:val="001708F0"/>
    <w:rsid w:val="001E6C8D"/>
    <w:rsid w:val="00253D51"/>
    <w:rsid w:val="002A0F68"/>
    <w:rsid w:val="002C01CC"/>
    <w:rsid w:val="003319F0"/>
    <w:rsid w:val="00382273"/>
    <w:rsid w:val="003D5E25"/>
    <w:rsid w:val="004B5A17"/>
    <w:rsid w:val="004E5907"/>
    <w:rsid w:val="004F0A31"/>
    <w:rsid w:val="004F4B9E"/>
    <w:rsid w:val="00525E67"/>
    <w:rsid w:val="005339E0"/>
    <w:rsid w:val="00570401"/>
    <w:rsid w:val="00593A64"/>
    <w:rsid w:val="005C1C1F"/>
    <w:rsid w:val="00637EE2"/>
    <w:rsid w:val="006471CE"/>
    <w:rsid w:val="006655D3"/>
    <w:rsid w:val="006932D4"/>
    <w:rsid w:val="006C1B45"/>
    <w:rsid w:val="006E0D74"/>
    <w:rsid w:val="007023EC"/>
    <w:rsid w:val="0070500F"/>
    <w:rsid w:val="00727B26"/>
    <w:rsid w:val="00740A8E"/>
    <w:rsid w:val="00745D68"/>
    <w:rsid w:val="007D1FB5"/>
    <w:rsid w:val="008C5EDE"/>
    <w:rsid w:val="0096048B"/>
    <w:rsid w:val="009732A8"/>
    <w:rsid w:val="009C005C"/>
    <w:rsid w:val="009D4C22"/>
    <w:rsid w:val="009F672B"/>
    <w:rsid w:val="00A1690F"/>
    <w:rsid w:val="00AD0FCA"/>
    <w:rsid w:val="00B34221"/>
    <w:rsid w:val="00B813EB"/>
    <w:rsid w:val="00BB5384"/>
    <w:rsid w:val="00BF6939"/>
    <w:rsid w:val="00C917AE"/>
    <w:rsid w:val="00C93827"/>
    <w:rsid w:val="00CE2AD1"/>
    <w:rsid w:val="00D33DB0"/>
    <w:rsid w:val="00DF0AB7"/>
    <w:rsid w:val="00E12452"/>
    <w:rsid w:val="00E260C5"/>
    <w:rsid w:val="00E90F68"/>
    <w:rsid w:val="00ED14CA"/>
    <w:rsid w:val="00ED42A8"/>
    <w:rsid w:val="00F10B6A"/>
    <w:rsid w:val="00F52033"/>
    <w:rsid w:val="00F56FB4"/>
    <w:rsid w:val="00F82625"/>
    <w:rsid w:val="00FD0B44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4C562-BA95-41AB-A9CC-FD1AA10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spacing w:after="54"/>
      <w:jc w:val="center"/>
    </w:pPr>
    <w:rPr>
      <w:spacing w:val="-2"/>
      <w:lang w:val="en-GB"/>
    </w:rPr>
  </w:style>
  <w:style w:type="paragraph" w:styleId="BalloonText">
    <w:name w:val="Balloon Text"/>
    <w:basedOn w:val="Normal"/>
    <w:semiHidden/>
    <w:rsid w:val="00AD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2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25E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RT.013 Anti-A1 Lectin or Anti-H</vt:lpstr>
      <vt:lpstr>RT.013 Anti-A1 Lectin or Anti-H</vt:lpstr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RT.013 Anti-A1 Lectin or Anti-H</dc:title>
  <dc:subject/>
  <dc:creator>Transfusion Ontario Program Office</dc:creator>
  <cp:keywords/>
  <cp:lastModifiedBy>Nesrallah, Heather</cp:lastModifiedBy>
  <cp:revision>2</cp:revision>
  <cp:lastPrinted>2011-01-11T21:54:00Z</cp:lastPrinted>
  <dcterms:created xsi:type="dcterms:W3CDTF">2020-08-10T17:53:00Z</dcterms:created>
  <dcterms:modified xsi:type="dcterms:W3CDTF">2020-08-10T17:53:00Z</dcterms:modified>
</cp:coreProperties>
</file>