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900"/>
        <w:gridCol w:w="540"/>
        <w:gridCol w:w="540"/>
        <w:gridCol w:w="360"/>
        <w:gridCol w:w="724"/>
        <w:gridCol w:w="4768"/>
        <w:gridCol w:w="360"/>
      </w:tblGrid>
      <w:tr w:rsidR="00983BB5" w:rsidRPr="00064FAE">
        <w:trPr>
          <w:cantSplit/>
          <w:trHeight w:val="2818"/>
        </w:trPr>
        <w:tc>
          <w:tcPr>
            <w:tcW w:w="5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before="20" w:line="228" w:lineRule="auto"/>
              <w:rPr>
                <w:rFonts w:cs="Arial"/>
                <w:b/>
                <w:sz w:val="16"/>
                <w:lang w:val="fr-CA"/>
              </w:rPr>
            </w:pPr>
            <w:bookmarkStart w:id="0" w:name="_GoBack"/>
            <w:bookmarkEnd w:id="0"/>
            <w:r w:rsidRPr="00064FAE">
              <w:rPr>
                <w:rFonts w:cs="Arial"/>
                <w:b/>
                <w:sz w:val="16"/>
                <w:lang w:val="fr-CA"/>
              </w:rPr>
              <w:t>Instructions destinées au personnel infirmier :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sz w:val="16"/>
                <w:lang w:val="fr-CA"/>
              </w:rPr>
              <w:t>En présence de symptômes qui pourraient être reli</w:t>
            </w:r>
            <w:r>
              <w:rPr>
                <w:rFonts w:cs="Arial"/>
                <w:sz w:val="16"/>
                <w:lang w:val="fr-CA"/>
              </w:rPr>
              <w:t>é</w:t>
            </w:r>
            <w:r w:rsidRPr="00064FAE">
              <w:rPr>
                <w:rFonts w:cs="Arial"/>
                <w:sz w:val="16"/>
                <w:lang w:val="fr-CA"/>
              </w:rPr>
              <w:t xml:space="preserve">s à la transfusion de produits sanguins, </w:t>
            </w:r>
            <w:r w:rsidRPr="00064FAE">
              <w:rPr>
                <w:rFonts w:cs="Arial"/>
                <w:b/>
                <w:sz w:val="16"/>
                <w:lang w:val="fr-CA"/>
              </w:rPr>
              <w:t xml:space="preserve">peu importe le type de produit transfusé </w:t>
            </w:r>
            <w:r w:rsidRPr="00064FAE">
              <w:rPr>
                <w:rFonts w:cs="Arial"/>
                <w:sz w:val="16"/>
                <w:lang w:val="fr-CA"/>
              </w:rPr>
              <w:t>:</w:t>
            </w:r>
          </w:p>
          <w:p w:rsidR="00983BB5" w:rsidRPr="00064FAE" w:rsidRDefault="00983BB5" w:rsidP="004F59FB">
            <w:pPr>
              <w:numPr>
                <w:ilvl w:val="0"/>
                <w:numId w:val="3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b/>
                <w:sz w:val="16"/>
                <w:lang w:val="fr-CA"/>
              </w:rPr>
              <w:t xml:space="preserve">Arrêter </w:t>
            </w:r>
            <w:r w:rsidRPr="00064FAE">
              <w:rPr>
                <w:rFonts w:cs="Arial"/>
                <w:sz w:val="16"/>
                <w:lang w:val="fr-CA"/>
              </w:rPr>
              <w:t xml:space="preserve">la transfusion. </w:t>
            </w:r>
          </w:p>
          <w:p w:rsidR="00983BB5" w:rsidRPr="00064FAE" w:rsidRDefault="00983BB5" w:rsidP="004F59FB">
            <w:pPr>
              <w:numPr>
                <w:ilvl w:val="0"/>
                <w:numId w:val="3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b/>
                <w:sz w:val="16"/>
                <w:lang w:val="fr-CA"/>
              </w:rPr>
              <w:t xml:space="preserve">Vérifier </w:t>
            </w:r>
            <w:r w:rsidRPr="00064FAE">
              <w:rPr>
                <w:rFonts w:cs="Arial"/>
                <w:sz w:val="16"/>
                <w:lang w:val="fr-CA"/>
              </w:rPr>
              <w:t>que les données du patient sur l’étiquette de compatibilité correspondent aux données du bracelet d’identification du patient</w:t>
            </w:r>
          </w:p>
          <w:p w:rsidR="00983BB5" w:rsidRPr="00064FAE" w:rsidRDefault="00983BB5" w:rsidP="004F59FB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sz w:val="16"/>
                <w:lang w:val="fr-CA"/>
              </w:rPr>
              <w:t>Faire passer une solution saline dans les tubulures.</w:t>
            </w:r>
          </w:p>
          <w:p w:rsidR="00983BB5" w:rsidRPr="00064FAE" w:rsidRDefault="00983BB5" w:rsidP="004F59FB">
            <w:pPr>
              <w:numPr>
                <w:ilvl w:val="0"/>
                <w:numId w:val="5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b/>
                <w:sz w:val="16"/>
                <w:lang w:val="fr-CA"/>
              </w:rPr>
              <w:t>Aviser</w:t>
            </w:r>
            <w:r w:rsidRPr="00064FAE">
              <w:rPr>
                <w:rFonts w:cs="Arial"/>
                <w:sz w:val="16"/>
                <w:lang w:val="fr-CA"/>
              </w:rPr>
              <w:t xml:space="preserve"> le médecin traitant des symptômes.</w:t>
            </w:r>
          </w:p>
          <w:p w:rsidR="00983BB5" w:rsidRPr="00064FAE" w:rsidRDefault="00983BB5" w:rsidP="004F59FB">
            <w:pPr>
              <w:numPr>
                <w:ilvl w:val="0"/>
                <w:numId w:val="6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b/>
                <w:sz w:val="16"/>
                <w:lang w:val="fr-CA"/>
              </w:rPr>
              <w:t>Inscrire</w:t>
            </w:r>
            <w:r w:rsidRPr="00064FAE">
              <w:rPr>
                <w:rFonts w:cs="Arial"/>
                <w:sz w:val="16"/>
                <w:lang w:val="fr-CA"/>
              </w:rPr>
              <w:t xml:space="preserve"> sur ce formulaire les symptômes et les mesures prises.</w:t>
            </w:r>
          </w:p>
          <w:p w:rsidR="00983BB5" w:rsidRPr="00064FAE" w:rsidRDefault="00983BB5" w:rsidP="004F59FB">
            <w:pPr>
              <w:numPr>
                <w:ilvl w:val="0"/>
                <w:numId w:val="7"/>
              </w:numPr>
              <w:spacing w:line="228" w:lineRule="auto"/>
              <w:rPr>
                <w:rFonts w:cs="Arial"/>
                <w:sz w:val="16"/>
                <w:lang w:val="fr-CA"/>
              </w:rPr>
            </w:pPr>
            <w:r w:rsidRPr="00064FAE">
              <w:rPr>
                <w:rFonts w:cs="Arial"/>
                <w:sz w:val="16"/>
                <w:lang w:val="fr-CA"/>
              </w:rPr>
              <w:t>Si les symptômes se limitent à un érythème ou à des démangeaisons, soupçonner une réaction allergique. Le médecin pourrait prescrire un antihistaminique s</w:t>
            </w:r>
            <w:r>
              <w:rPr>
                <w:rFonts w:cs="Arial"/>
                <w:sz w:val="16"/>
                <w:lang w:val="fr-CA"/>
              </w:rPr>
              <w:t>’il n’y a que des</w:t>
            </w:r>
            <w:r w:rsidRPr="00064FAE">
              <w:rPr>
                <w:rFonts w:cs="Arial"/>
                <w:sz w:val="16"/>
                <w:lang w:val="fr-CA"/>
              </w:rPr>
              <w:t xml:space="preserve"> symptômes allergiques. Si les symptômes se résorbent après l’administration de l’antihistaminique, reprendre la transfusion.</w:t>
            </w:r>
          </w:p>
          <w:p w:rsidR="00983BB5" w:rsidRPr="006664B2" w:rsidRDefault="00983BB5" w:rsidP="004F59FB">
            <w:pPr>
              <w:numPr>
                <w:ilvl w:val="0"/>
                <w:numId w:val="9"/>
              </w:num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sz w:val="16"/>
                <w:lang w:val="fr-CA"/>
              </w:rPr>
              <w:t xml:space="preserve">Si les symptômes réapparaissent ou ne disparaissent pas, </w:t>
            </w:r>
            <w:r w:rsidRPr="00064FAE">
              <w:rPr>
                <w:rFonts w:cs="Arial"/>
                <w:b/>
                <w:sz w:val="16"/>
                <w:lang w:val="fr-CA"/>
              </w:rPr>
              <w:t xml:space="preserve">discontinuer </w:t>
            </w:r>
            <w:r w:rsidRPr="00064FAE">
              <w:rPr>
                <w:rFonts w:cs="Arial"/>
                <w:sz w:val="16"/>
                <w:lang w:val="fr-CA"/>
              </w:rPr>
              <w:t xml:space="preserve">la transfusion et </w:t>
            </w:r>
            <w:r w:rsidRPr="00064FAE">
              <w:rPr>
                <w:rFonts w:cs="Arial"/>
                <w:b/>
                <w:sz w:val="16"/>
                <w:lang w:val="fr-CA"/>
              </w:rPr>
              <w:t>envoyer</w:t>
            </w:r>
            <w:r w:rsidRPr="00064FAE">
              <w:rPr>
                <w:rFonts w:cs="Arial"/>
                <w:sz w:val="16"/>
                <w:lang w:val="fr-CA"/>
              </w:rPr>
              <w:t xml:space="preserve"> le sac et le dispositif de transfusion au </w:t>
            </w:r>
            <w:r w:rsidR="00647880">
              <w:rPr>
                <w:rFonts w:cs="Arial"/>
                <w:sz w:val="16"/>
                <w:lang w:val="fr-CA"/>
              </w:rPr>
              <w:t xml:space="preserve">Laboratoire de </w:t>
            </w:r>
            <w:proofErr w:type="gramStart"/>
            <w:r w:rsidR="00647880">
              <w:rPr>
                <w:rFonts w:cs="Arial"/>
                <w:sz w:val="16"/>
                <w:lang w:val="fr-CA"/>
              </w:rPr>
              <w:t xml:space="preserve">médecine </w:t>
            </w:r>
            <w:r w:rsidRPr="00064FAE">
              <w:rPr>
                <w:rFonts w:cs="Arial"/>
                <w:sz w:val="16"/>
                <w:lang w:val="fr-CA"/>
              </w:rPr>
              <w:t xml:space="preserve"> transfusionnel</w:t>
            </w:r>
            <w:r w:rsidR="00647880">
              <w:rPr>
                <w:rFonts w:cs="Arial"/>
                <w:sz w:val="16"/>
                <w:lang w:val="fr-CA"/>
              </w:rPr>
              <w:t>le</w:t>
            </w:r>
            <w:proofErr w:type="gramEnd"/>
            <w:r w:rsidRPr="00064FAE">
              <w:rPr>
                <w:rFonts w:cs="Arial"/>
                <w:sz w:val="16"/>
                <w:lang w:val="fr-CA"/>
              </w:rPr>
              <w:t xml:space="preserve"> (</w:t>
            </w:r>
            <w:r w:rsidR="00647880">
              <w:rPr>
                <w:rFonts w:cs="Arial"/>
                <w:sz w:val="16"/>
                <w:lang w:val="fr-CA"/>
              </w:rPr>
              <w:t>LMT</w:t>
            </w:r>
            <w:r w:rsidRPr="00064FAE">
              <w:rPr>
                <w:rFonts w:cs="Arial"/>
                <w:sz w:val="16"/>
                <w:lang w:val="fr-CA"/>
              </w:rPr>
              <w:t>) pour investigation.</w:t>
            </w:r>
          </w:p>
          <w:p w:rsidR="00983BB5" w:rsidRPr="00064FAE" w:rsidRDefault="00983BB5" w:rsidP="004F59FB">
            <w:pPr>
              <w:numPr>
                <w:ilvl w:val="0"/>
                <w:numId w:val="9"/>
              </w:num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sz w:val="16"/>
                <w:lang w:val="fr-CA"/>
              </w:rPr>
              <w:t xml:space="preserve">Demander </w:t>
            </w:r>
            <w:r>
              <w:rPr>
                <w:rFonts w:cs="Arial"/>
                <w:sz w:val="16"/>
                <w:lang w:val="fr-CA"/>
              </w:rPr>
              <w:t>la</w:t>
            </w:r>
            <w:r w:rsidRPr="00064FAE">
              <w:rPr>
                <w:rFonts w:cs="Arial"/>
                <w:sz w:val="16"/>
                <w:lang w:val="fr-CA"/>
              </w:rPr>
              <w:t xml:space="preserve"> collecte </w:t>
            </w:r>
            <w:r>
              <w:rPr>
                <w:rFonts w:cs="Arial"/>
                <w:sz w:val="16"/>
                <w:lang w:val="fr-CA"/>
              </w:rPr>
              <w:t>d’un échantillon</w:t>
            </w:r>
            <w:r w:rsidRPr="00064FAE">
              <w:rPr>
                <w:rFonts w:cs="Arial"/>
                <w:sz w:val="16"/>
                <w:lang w:val="fr-CA"/>
              </w:rPr>
              <w:t xml:space="preserve"> post-transfusionnel. Collecter la première urine et l’envoyer au ST.</w:t>
            </w:r>
            <w:r w:rsidRPr="00064FAE">
              <w:rPr>
                <w:rFonts w:cs="Arial"/>
                <w:sz w:val="18"/>
                <w:lang w:val="fr-CA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Espace réservé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lang w:val="fr-CA"/>
              </w:rPr>
            </w:pPr>
          </w:p>
        </w:tc>
      </w:tr>
      <w:tr w:rsidR="00983BB5" w:rsidRPr="00064FAE">
        <w:trPr>
          <w:cantSplit/>
          <w:trHeight w:val="496"/>
        </w:trPr>
        <w:tc>
          <w:tcPr>
            <w:tcW w:w="51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jc w:val="center"/>
              <w:rPr>
                <w:rFonts w:cs="Arial"/>
                <w:b/>
                <w:sz w:val="16"/>
                <w:u w:val="single"/>
                <w:lang w:val="fr-CA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pStyle w:val="Header"/>
              <w:spacing w:before="20" w:line="228" w:lineRule="auto"/>
              <w:rPr>
                <w:rFonts w:cs="Arial"/>
                <w:b/>
                <w:sz w:val="24"/>
                <w:lang w:val="fr-CA"/>
              </w:rPr>
            </w:pPr>
            <w:r w:rsidRPr="00064FAE">
              <w:rPr>
                <w:rFonts w:cs="Arial"/>
                <w:b/>
                <w:sz w:val="24"/>
                <w:lang w:val="fr-CA"/>
              </w:rPr>
              <w:t xml:space="preserve">Signes et symptômes </w:t>
            </w:r>
            <w:r>
              <w:rPr>
                <w:rFonts w:cs="Arial"/>
                <w:b/>
                <w:sz w:val="24"/>
                <w:lang w:val="fr-CA"/>
              </w:rPr>
              <w:t>qui peuvent être</w:t>
            </w:r>
            <w:r w:rsidRPr="00064FAE">
              <w:rPr>
                <w:rFonts w:cs="Arial"/>
                <w:b/>
                <w:sz w:val="24"/>
                <w:lang w:val="fr-CA"/>
              </w:rPr>
              <w:t xml:space="preserve"> </w:t>
            </w:r>
            <w:r>
              <w:rPr>
                <w:rFonts w:cs="Arial"/>
                <w:b/>
                <w:sz w:val="24"/>
                <w:lang w:val="fr-CA"/>
              </w:rPr>
              <w:t>liés</w:t>
            </w:r>
            <w:r w:rsidRPr="00064FAE">
              <w:rPr>
                <w:rFonts w:cs="Arial"/>
                <w:b/>
                <w:sz w:val="24"/>
                <w:lang w:val="fr-CA"/>
              </w:rPr>
              <w:t xml:space="preserve"> à une réaction transfusionnelle aiguë </w:t>
            </w:r>
            <w:r>
              <w:rPr>
                <w:rFonts w:cs="Arial"/>
                <w:b/>
                <w:sz w:val="24"/>
                <w:lang w:val="fr-CA"/>
              </w:rPr>
              <w:br/>
            </w:r>
            <w:r w:rsidRPr="00064FAE">
              <w:rPr>
                <w:rFonts w:cs="Arial"/>
                <w:sz w:val="18"/>
                <w:lang w:val="fr-CA"/>
              </w:rPr>
              <w:t>(cocher tous les symptômes pertinents) :</w:t>
            </w:r>
          </w:p>
        </w:tc>
      </w:tr>
      <w:tr w:rsidR="00983BB5" w:rsidRPr="00064FAE">
        <w:trPr>
          <w:cantSplit/>
          <w:trHeight w:val="1070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jc w:val="center"/>
              <w:rPr>
                <w:rFonts w:cs="Arial"/>
                <w:b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pStyle w:val="Heading1"/>
              <w:spacing w:line="228" w:lineRule="auto"/>
              <w:rPr>
                <w:rFonts w:ascii="Arial" w:hAnsi="Arial" w:cs="Arial"/>
                <w:lang w:val="fr-CA"/>
              </w:rPr>
            </w:pPr>
            <w:r w:rsidRPr="00064FAE">
              <w:rPr>
                <w:rFonts w:ascii="Arial" w:hAnsi="Arial" w:cs="Arial"/>
                <w:lang w:val="fr-CA"/>
              </w:rPr>
              <w:t>Signes vitaux</w:t>
            </w:r>
          </w:p>
          <w:p w:rsidR="00983BB5" w:rsidRPr="00064FAE" w:rsidRDefault="00983BB5" w:rsidP="004F59FB">
            <w:pPr>
              <w:spacing w:line="228" w:lineRule="auto"/>
              <w:ind w:left="720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ind w:left="720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Température</w:t>
            </w:r>
          </w:p>
          <w:p w:rsidR="00983BB5" w:rsidRPr="00064FAE" w:rsidRDefault="00983BB5" w:rsidP="004F59FB">
            <w:pPr>
              <w:spacing w:line="228" w:lineRule="auto"/>
              <w:ind w:left="720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Tension artérielle</w:t>
            </w:r>
          </w:p>
          <w:p w:rsidR="00983BB5" w:rsidRPr="00064FAE" w:rsidRDefault="00983BB5" w:rsidP="004F59FB">
            <w:pPr>
              <w:spacing w:line="228" w:lineRule="auto"/>
              <w:ind w:left="720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Pouls</w:t>
            </w:r>
          </w:p>
          <w:p w:rsidR="00983BB5" w:rsidRPr="00064FAE" w:rsidRDefault="00983BB5" w:rsidP="004F59FB">
            <w:pPr>
              <w:spacing w:line="228" w:lineRule="auto"/>
              <w:ind w:left="720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Nom du médecin avisé :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_______________________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Avis transmis par :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_______________________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pStyle w:val="BodyText2"/>
              <w:spacing w:line="228" w:lineRule="auto"/>
              <w:rPr>
                <w:lang w:val="fr-CA"/>
              </w:rPr>
            </w:pPr>
            <w:r w:rsidRPr="00064FAE">
              <w:rPr>
                <w:lang w:val="fr-CA"/>
              </w:rPr>
              <w:t>Pré-transfusion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</w:t>
            </w:r>
            <w:proofErr w:type="spellStart"/>
            <w:r w:rsidRPr="00064FAE">
              <w:rPr>
                <w:rFonts w:cs="Arial"/>
                <w:b/>
                <w:vertAlign w:val="superscript"/>
                <w:lang w:val="fr-CA"/>
              </w:rPr>
              <w:t>o</w:t>
            </w:r>
            <w:r w:rsidRPr="00064FAE">
              <w:rPr>
                <w:rFonts w:cs="Arial"/>
                <w:b/>
                <w:lang w:val="fr-CA"/>
              </w:rPr>
              <w:t>C</w:t>
            </w:r>
            <w:proofErr w:type="spellEnd"/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  <w:r w:rsidRPr="00064FAE">
              <w:rPr>
                <w:rFonts w:cs="Arial"/>
                <w:b/>
                <w:sz w:val="16"/>
                <w:u w:val="single"/>
                <w:lang w:val="fr-CA"/>
              </w:rPr>
              <w:t>Date/heure</w:t>
            </w:r>
          </w:p>
          <w:p w:rsidR="00983BB5" w:rsidRPr="00064FAE" w:rsidRDefault="00983BB5" w:rsidP="004F59FB">
            <w:pPr>
              <w:pBdr>
                <w:bottom w:val="single" w:sz="12" w:space="1" w:color="auto"/>
              </w:pBd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  <w:r w:rsidRPr="00064FAE">
              <w:rPr>
                <w:rFonts w:cs="Arial"/>
                <w:b/>
                <w:sz w:val="16"/>
                <w:u w:val="single"/>
                <w:lang w:val="fr-CA"/>
              </w:rPr>
              <w:t>_________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pStyle w:val="BodyText2"/>
              <w:spacing w:line="228" w:lineRule="auto"/>
              <w:rPr>
                <w:lang w:val="fr-CA"/>
              </w:rPr>
            </w:pPr>
            <w:r w:rsidRPr="00064FAE">
              <w:rPr>
                <w:lang w:val="fr-CA"/>
              </w:rPr>
              <w:t>Post- transfusion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</w:t>
            </w:r>
            <w:r w:rsidRPr="00064FAE">
              <w:rPr>
                <w:rFonts w:cs="Arial"/>
                <w:b/>
                <w:vertAlign w:val="superscript"/>
                <w:lang w:val="fr-CA"/>
              </w:rPr>
              <w:t xml:space="preserve"> </w:t>
            </w:r>
            <w:proofErr w:type="spellStart"/>
            <w:r w:rsidRPr="00064FAE">
              <w:rPr>
                <w:rFonts w:cs="Arial"/>
                <w:b/>
                <w:vertAlign w:val="superscript"/>
                <w:lang w:val="fr-CA"/>
              </w:rPr>
              <w:t>o</w:t>
            </w:r>
            <w:r w:rsidRPr="00064FAE">
              <w:rPr>
                <w:rFonts w:cs="Arial"/>
                <w:b/>
                <w:lang w:val="fr-CA"/>
              </w:rPr>
              <w:t>C</w:t>
            </w:r>
            <w:proofErr w:type="spellEnd"/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  <w:r w:rsidRPr="00064FAE">
              <w:rPr>
                <w:rFonts w:cs="Arial"/>
                <w:b/>
                <w:sz w:val="16"/>
                <w:u w:val="single"/>
                <w:lang w:val="fr-CA"/>
              </w:rPr>
              <w:t>Date/heure</w:t>
            </w:r>
          </w:p>
          <w:p w:rsidR="00983BB5" w:rsidRPr="00064FAE" w:rsidRDefault="00983BB5" w:rsidP="004F59FB">
            <w:pPr>
              <w:pBdr>
                <w:bottom w:val="single" w:sz="12" w:space="1" w:color="auto"/>
              </w:pBdr>
              <w:spacing w:line="228" w:lineRule="auto"/>
              <w:rPr>
                <w:rFonts w:cs="Arial"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Cs/>
                <w:sz w:val="16"/>
                <w:u w:val="single"/>
                <w:lang w:val="fr-CA"/>
              </w:rPr>
            </w:pPr>
            <w:r w:rsidRPr="00064FAE">
              <w:rPr>
                <w:rFonts w:cs="Arial"/>
                <w:bCs/>
                <w:sz w:val="16"/>
                <w:u w:val="single"/>
                <w:lang w:val="fr-CA"/>
              </w:rPr>
              <w:t>_________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before="20"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Frissons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Fièvre (hausse de 1 </w:t>
            </w:r>
            <w:proofErr w:type="spellStart"/>
            <w:r w:rsidRPr="00064FAE">
              <w:rPr>
                <w:rFonts w:cs="Arial"/>
                <w:vertAlign w:val="superscript"/>
                <w:lang w:val="fr-CA"/>
              </w:rPr>
              <w:t>o</w:t>
            </w:r>
            <w:r w:rsidRPr="00064FAE">
              <w:rPr>
                <w:rFonts w:cs="Arial"/>
                <w:lang w:val="fr-CA"/>
              </w:rPr>
              <w:t>C</w:t>
            </w:r>
            <w:proofErr w:type="spellEnd"/>
            <w:r w:rsidRPr="00064FAE">
              <w:rPr>
                <w:rFonts w:cs="Arial"/>
                <w:lang w:val="fr-CA"/>
              </w:rPr>
              <w:t xml:space="preserve"> ou plus) 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Frissons solennels avec ou sans fièvre  </w:t>
            </w:r>
          </w:p>
          <w:p w:rsidR="00983BB5" w:rsidRPr="00064FAE" w:rsidRDefault="00983BB5" w:rsidP="004F59FB">
            <w:pPr>
              <w:tabs>
                <w:tab w:val="left" w:pos="239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Douleur au point de ponction, douleur abdominale, </w:t>
            </w:r>
            <w:r>
              <w:rPr>
                <w:rFonts w:cs="Arial"/>
                <w:lang w:val="fr-CA"/>
              </w:rPr>
              <w:tab/>
            </w:r>
            <w:r w:rsidRPr="00064FAE">
              <w:rPr>
                <w:rFonts w:cs="Arial"/>
                <w:lang w:val="fr-CA"/>
              </w:rPr>
              <w:t>thoracique ou dorsale</w:t>
            </w:r>
          </w:p>
          <w:p w:rsidR="00983BB5" w:rsidRPr="00064FAE" w:rsidRDefault="00983BB5" w:rsidP="004F59FB">
            <w:pPr>
              <w:pStyle w:val="BodyTextIndent"/>
              <w:spacing w:line="228" w:lineRule="auto"/>
              <w:rPr>
                <w:rFonts w:ascii="Arial" w:hAnsi="Arial" w:cs="Arial"/>
                <w:lang w:val="fr-CA"/>
              </w:rPr>
            </w:pPr>
            <w:r w:rsidRPr="00064FAE">
              <w:rPr>
                <w:rFonts w:ascii="Arial" w:hAnsi="Arial" w:cs="Arial"/>
                <w:lang w:val="fr-CA"/>
              </w:rPr>
              <w:t>Changement subit de la TA (habituellement hypertension ou hypotension aiguë)</w:t>
            </w:r>
          </w:p>
          <w:p w:rsidR="00983BB5" w:rsidRPr="00064FAE" w:rsidRDefault="00983BB5" w:rsidP="004F59FB">
            <w:pPr>
              <w:tabs>
                <w:tab w:val="left" w:pos="239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Détresse respiratoire (dyspnée, tachycardie ou </w:t>
            </w:r>
            <w:r>
              <w:rPr>
                <w:rFonts w:cs="Arial"/>
                <w:lang w:val="fr-CA"/>
              </w:rPr>
              <w:tab/>
            </w:r>
            <w:r w:rsidRPr="00064FAE">
              <w:rPr>
                <w:rFonts w:cs="Arial"/>
                <w:lang w:val="fr-CA"/>
              </w:rPr>
              <w:t xml:space="preserve">hypoxémie) 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Changements cutanés (bouffées vasomotrices, démangeaisons, urticaire, œdème)  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Nausée, avec ou sans vomissements   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Choc</w:t>
            </w:r>
            <w:r>
              <w:rPr>
                <w:rFonts w:cs="Arial"/>
                <w:lang w:val="fr-CA"/>
              </w:rPr>
              <w:t xml:space="preserve"> circulatoire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Changement de couleur de l’urine   </w:t>
            </w:r>
          </w:p>
          <w:p w:rsidR="00983BB5" w:rsidRPr="00064FAE" w:rsidRDefault="00983BB5" w:rsidP="004F59FB">
            <w:pPr>
              <w:tabs>
                <w:tab w:val="left" w:pos="239"/>
              </w:tabs>
              <w:spacing w:line="228" w:lineRule="auto"/>
              <w:rPr>
                <w:rFonts w:cs="Arial"/>
                <w:b/>
                <w:lang w:val="fr-CA"/>
              </w:rPr>
            </w:pPr>
            <w:r w:rsidRPr="00CB51A5">
              <w:rPr>
                <w:rFonts w:cs="Arial"/>
                <w:b/>
                <w:lang w:val="fr-CA"/>
              </w:rPr>
              <w:t>Numéro de l’unité ou du lot transfusé au moment de la manifestation des symptômes (utiliser le collant, si possible)</w:t>
            </w:r>
            <w:r w:rsidRPr="00064FAE">
              <w:rPr>
                <w:rFonts w:cs="Arial"/>
                <w:lang w:val="fr-CA"/>
              </w:rPr>
              <w:t xml:space="preserve"> </w:t>
            </w:r>
            <w:r w:rsidRPr="00064FAE">
              <w:rPr>
                <w:rFonts w:cs="Arial"/>
                <w:b/>
                <w:lang w:val="fr-CA"/>
              </w:rPr>
              <w:t>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r w:rsidRPr="00064FAE">
              <w:rPr>
                <w:rFonts w:cs="Arial"/>
                <w:b/>
                <w:lang w:val="fr-CA"/>
              </w:rPr>
              <w:t></w:t>
            </w:r>
          </w:p>
        </w:tc>
      </w:tr>
      <w:tr w:rsidR="00983BB5" w:rsidRPr="00064FAE">
        <w:trPr>
          <w:cantSplit/>
          <w:trHeight w:val="795"/>
        </w:trPr>
        <w:tc>
          <w:tcPr>
            <w:tcW w:w="2986" w:type="dxa"/>
            <w:gridSpan w:val="2"/>
            <w:vMerge/>
            <w:tcBorders>
              <w:top w:val="nil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bottom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152"/>
        </w:trPr>
        <w:tc>
          <w:tcPr>
            <w:tcW w:w="10278" w:type="dxa"/>
            <w:gridSpan w:val="8"/>
            <w:tcBorders>
              <w:left w:val="nil"/>
              <w:right w:val="nil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before="20" w:after="20" w:line="228" w:lineRule="auto"/>
              <w:rPr>
                <w:rFonts w:cs="Arial"/>
                <w:sz w:val="18"/>
                <w:lang w:val="fr-CA"/>
              </w:rPr>
            </w:pPr>
            <w:r w:rsidRPr="00064FAE">
              <w:rPr>
                <w:rFonts w:cs="Arial"/>
                <w:b/>
                <w:sz w:val="24"/>
                <w:lang w:val="fr-CA"/>
              </w:rPr>
              <w:t xml:space="preserve">Investigation faite au laboratoire </w:t>
            </w:r>
            <w:r w:rsidRPr="00064FAE">
              <w:rPr>
                <w:rFonts w:cs="Arial"/>
                <w:lang w:val="fr-CA"/>
              </w:rPr>
              <w:t>(voir</w:t>
            </w:r>
            <w:r w:rsidRPr="00064FAE">
              <w:rPr>
                <w:rFonts w:cs="Arial"/>
                <w:sz w:val="18"/>
                <w:lang w:val="fr-CA"/>
              </w:rPr>
              <w:t xml:space="preserve"> AR.012 – Investigation des complications transfusionnelles)</w:t>
            </w:r>
          </w:p>
        </w:tc>
      </w:tr>
      <w:tr w:rsidR="00983BB5" w:rsidRPr="00064FAE">
        <w:trPr>
          <w:cantSplit/>
          <w:trHeight w:val="226"/>
        </w:trPr>
        <w:tc>
          <w:tcPr>
            <w:tcW w:w="2088" w:type="dxa"/>
            <w:vMerge w:val="restart"/>
            <w:tcBorders>
              <w:bottom w:val="double" w:sz="4" w:space="0" w:color="auto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Date/heure du prélèvement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</w:tcPr>
          <w:p w:rsidR="00983BB5" w:rsidRPr="00064FAE" w:rsidRDefault="00983BB5" w:rsidP="004F59FB">
            <w:pPr>
              <w:pStyle w:val="Heading2"/>
              <w:spacing w:line="228" w:lineRule="auto"/>
              <w:rPr>
                <w:rFonts w:ascii="Arial" w:hAnsi="Arial" w:cs="Arial"/>
                <w:lang w:val="fr-CA"/>
              </w:rPr>
            </w:pPr>
            <w:r w:rsidRPr="00064FAE">
              <w:rPr>
                <w:rFonts w:ascii="Arial" w:hAnsi="Arial" w:cs="Arial"/>
                <w:lang w:val="fr-CA"/>
              </w:rPr>
              <w:t>Pré-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proofErr w:type="gramStart"/>
            <w:r w:rsidRPr="00064FAE">
              <w:rPr>
                <w:rFonts w:cs="Arial"/>
                <w:b/>
                <w:lang w:val="fr-CA"/>
              </w:rPr>
              <w:t>transfusion</w:t>
            </w:r>
            <w:proofErr w:type="gramEnd"/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lang w:val="fr-CA"/>
              </w:rPr>
            </w:pPr>
            <w:proofErr w:type="spellStart"/>
            <w:r w:rsidRPr="00064FAE">
              <w:rPr>
                <w:rFonts w:cs="Arial"/>
                <w:b/>
                <w:lang w:val="fr-CA"/>
              </w:rPr>
              <w:t>Post-transfusion</w:t>
            </w:r>
            <w:proofErr w:type="spellEnd"/>
          </w:p>
        </w:tc>
        <w:tc>
          <w:tcPr>
            <w:tcW w:w="513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pStyle w:val="Heading3"/>
              <w:spacing w:line="228" w:lineRule="auto"/>
              <w:rPr>
                <w:rFonts w:ascii="Arial" w:hAnsi="Arial" w:cs="Arial"/>
                <w:sz w:val="24"/>
                <w:lang w:val="fr-CA"/>
              </w:rPr>
            </w:pPr>
            <w:r w:rsidRPr="00064FAE">
              <w:rPr>
                <w:rFonts w:ascii="Arial" w:hAnsi="Arial" w:cs="Arial"/>
                <w:sz w:val="24"/>
                <w:lang w:val="fr-CA"/>
              </w:rPr>
              <w:t>Interprétation :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Pathologiste ou </w:t>
            </w:r>
            <w:r>
              <w:rPr>
                <w:rFonts w:cs="Arial"/>
                <w:lang w:val="fr-CA"/>
              </w:rPr>
              <w:t xml:space="preserve">son </w:t>
            </w:r>
            <w:r w:rsidRPr="00064FAE">
              <w:rPr>
                <w:rFonts w:cs="Arial"/>
                <w:lang w:val="fr-CA"/>
              </w:rPr>
              <w:t>représentant</w:t>
            </w:r>
            <w:proofErr w:type="gramStart"/>
            <w:r w:rsidRPr="00064FAE">
              <w:rPr>
                <w:rFonts w:cs="Arial"/>
                <w:lang w:val="fr-CA"/>
              </w:rPr>
              <w:t> :_</w:t>
            </w:r>
            <w:proofErr w:type="gramEnd"/>
            <w:r w:rsidRPr="00064FAE">
              <w:rPr>
                <w:rFonts w:cs="Arial"/>
                <w:lang w:val="fr-CA"/>
              </w:rPr>
              <w:t>_______________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22"/>
                <w:szCs w:val="22"/>
                <w:u w:val="single"/>
                <w:lang w:val="fr-CA"/>
              </w:rPr>
            </w:pPr>
            <w:r w:rsidRPr="00064FAE">
              <w:rPr>
                <w:rFonts w:cs="Arial"/>
                <w:b/>
                <w:sz w:val="22"/>
                <w:szCs w:val="22"/>
                <w:u w:val="single"/>
                <w:lang w:val="fr-CA"/>
              </w:rPr>
              <w:t>Exigences pour transfusions subséquentes :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sz w:val="22"/>
                <w:szCs w:val="22"/>
                <w:lang w:val="fr-CA"/>
              </w:rPr>
            </w:pPr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>Prémédication recommandée</w:t>
            </w:r>
            <w:proofErr w:type="gramStart"/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 xml:space="preserve"> :</w:t>
            </w:r>
            <w:r w:rsidRPr="00064FAE">
              <w:rPr>
                <w:rFonts w:cs="Arial"/>
                <w:sz w:val="22"/>
                <w:szCs w:val="22"/>
                <w:lang w:val="fr-CA"/>
              </w:rPr>
              <w:t>_</w:t>
            </w:r>
            <w:proofErr w:type="gramEnd"/>
            <w:r w:rsidRPr="00064FAE">
              <w:rPr>
                <w:rFonts w:cs="Arial"/>
                <w:sz w:val="22"/>
                <w:szCs w:val="22"/>
                <w:lang w:val="fr-CA"/>
              </w:rPr>
              <w:t>_________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szCs w:val="16"/>
                <w:u w:val="single"/>
                <w:lang w:val="fr-CA"/>
              </w:rPr>
            </w:pPr>
          </w:p>
          <w:p w:rsidR="00983BB5" w:rsidRPr="00064FAE" w:rsidRDefault="00983BB5" w:rsidP="004F59FB">
            <w:pPr>
              <w:pStyle w:val="Heading4"/>
              <w:spacing w:line="228" w:lineRule="auto"/>
              <w:rPr>
                <w:rFonts w:ascii="Arial" w:hAnsi="Arial" w:cs="Arial"/>
                <w:b w:val="0"/>
                <w:sz w:val="22"/>
                <w:szCs w:val="22"/>
                <w:lang w:val="fr-CA"/>
              </w:rPr>
            </w:pPr>
            <w:r w:rsidRPr="00064FAE">
              <w:rPr>
                <w:rFonts w:ascii="Arial" w:hAnsi="Arial" w:cs="Arial"/>
                <w:sz w:val="22"/>
                <w:szCs w:val="22"/>
                <w:lang w:val="fr-CA"/>
              </w:rPr>
              <w:t xml:space="preserve">Composants sanguins lavés : </w:t>
            </w:r>
            <w:r w:rsidRPr="00064FAE">
              <w:rPr>
                <w:rFonts w:ascii="Arial" w:hAnsi="Arial" w:cs="Arial"/>
                <w:b w:val="0"/>
                <w:sz w:val="22"/>
                <w:szCs w:val="22"/>
                <w:lang w:val="fr-CA"/>
              </w:rPr>
              <w:t>____________</w:t>
            </w:r>
          </w:p>
          <w:p w:rsidR="00983BB5" w:rsidRPr="00064FAE" w:rsidRDefault="00983BB5" w:rsidP="004F59FB">
            <w:pPr>
              <w:spacing w:line="228" w:lineRule="auto"/>
              <w:rPr>
                <w:sz w:val="16"/>
                <w:szCs w:val="16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sz w:val="22"/>
                <w:szCs w:val="22"/>
                <w:lang w:val="fr-CA"/>
              </w:rPr>
            </w:pPr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 xml:space="preserve">Composants déficients en </w:t>
            </w:r>
            <w:proofErr w:type="spellStart"/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>IgA</w:t>
            </w:r>
            <w:proofErr w:type="spellEnd"/>
            <w:proofErr w:type="gramStart"/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 xml:space="preserve"> :</w:t>
            </w:r>
            <w:r w:rsidRPr="00064FAE">
              <w:rPr>
                <w:rFonts w:cs="Arial"/>
                <w:sz w:val="22"/>
                <w:szCs w:val="22"/>
                <w:lang w:val="fr-CA"/>
              </w:rPr>
              <w:t>_</w:t>
            </w:r>
            <w:proofErr w:type="gramEnd"/>
            <w:r w:rsidRPr="00064FAE">
              <w:rPr>
                <w:rFonts w:cs="Arial"/>
                <w:sz w:val="22"/>
                <w:szCs w:val="22"/>
                <w:lang w:val="fr-CA"/>
              </w:rPr>
              <w:t>____________</w:t>
            </w: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16"/>
                <w:szCs w:val="16"/>
                <w:lang w:val="fr-CA"/>
              </w:rPr>
            </w:pPr>
          </w:p>
          <w:p w:rsidR="00983BB5" w:rsidRPr="00064FAE" w:rsidRDefault="00983BB5" w:rsidP="004F59FB">
            <w:pPr>
              <w:spacing w:line="228" w:lineRule="auto"/>
              <w:rPr>
                <w:rFonts w:cs="Arial"/>
                <w:b/>
                <w:sz w:val="24"/>
                <w:lang w:val="fr-CA"/>
              </w:rPr>
            </w:pPr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>Autre :</w:t>
            </w:r>
          </w:p>
        </w:tc>
      </w:tr>
      <w:tr w:rsidR="00983BB5" w:rsidRPr="00064FAE">
        <w:trPr>
          <w:cantSplit/>
          <w:trHeight w:val="226"/>
        </w:trPr>
        <w:tc>
          <w:tcPr>
            <w:tcW w:w="2086" w:type="dxa"/>
            <w:vMerge/>
            <w:tcBorders>
              <w:bottom w:val="doub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152"/>
        </w:trPr>
        <w:tc>
          <w:tcPr>
            <w:tcW w:w="2088" w:type="dxa"/>
            <w:tcBorders>
              <w:top w:val="nil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Vérification</w:t>
            </w:r>
            <w:r>
              <w:rPr>
                <w:rFonts w:cs="Arial"/>
                <w:lang w:val="fr-CA"/>
              </w:rPr>
              <w:t xml:space="preserve"> - </w:t>
            </w:r>
            <w:r w:rsidRPr="00064FAE">
              <w:rPr>
                <w:rFonts w:cs="Arial"/>
                <w:lang w:val="fr-CA"/>
              </w:rPr>
              <w:t>données</w:t>
            </w:r>
            <w:r>
              <w:rPr>
                <w:rFonts w:cs="Arial"/>
                <w:lang w:val="fr-CA"/>
              </w:rPr>
              <w:t xml:space="preserve"> erronées</w:t>
            </w: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top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150"/>
        </w:trPr>
        <w:tc>
          <w:tcPr>
            <w:tcW w:w="2088" w:type="dxa"/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Inspection visuelle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150"/>
        </w:trPr>
        <w:tc>
          <w:tcPr>
            <w:tcW w:w="2088" w:type="dxa"/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Test direct à l’</w:t>
            </w:r>
            <w:proofErr w:type="spellStart"/>
            <w:r w:rsidRPr="00064FAE">
              <w:rPr>
                <w:rFonts w:cs="Arial"/>
                <w:lang w:val="fr-CA"/>
              </w:rPr>
              <w:t>antiglobuline</w:t>
            </w:r>
            <w:proofErr w:type="spellEnd"/>
            <w:r w:rsidRPr="00064FAE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75"/>
        </w:trPr>
        <w:tc>
          <w:tcPr>
            <w:tcW w:w="2088" w:type="dxa"/>
            <w:vMerge w:val="restart"/>
          </w:tcPr>
          <w:p w:rsidR="00983BB5" w:rsidRPr="00064FAE" w:rsidRDefault="00647880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vertAlign w:val="superscript"/>
                <w:lang w:val="fr-CA"/>
              </w:rPr>
            </w:pPr>
            <w:r>
              <w:rPr>
                <w:rFonts w:cs="Arial"/>
                <w:lang w:val="fr-CA"/>
              </w:rPr>
              <w:br/>
            </w:r>
            <w:r w:rsidR="00983BB5" w:rsidRPr="00647880">
              <w:rPr>
                <w:rFonts w:cs="Arial"/>
                <w:lang w:val="fr-CA"/>
              </w:rPr>
              <w:t>Autre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75"/>
        </w:trPr>
        <w:tc>
          <w:tcPr>
            <w:tcW w:w="2088" w:type="dxa"/>
            <w:vMerge/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vertAlign w:val="superscript"/>
                <w:lang w:val="fr-CA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75"/>
        </w:trPr>
        <w:tc>
          <w:tcPr>
            <w:tcW w:w="2088" w:type="dxa"/>
            <w:vMerge/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vertAlign w:val="superscript"/>
                <w:lang w:val="fr-CA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cantSplit/>
          <w:trHeight w:val="356"/>
        </w:trPr>
        <w:tc>
          <w:tcPr>
            <w:tcW w:w="2088" w:type="dxa"/>
            <w:tcBorders>
              <w:bottom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Technologue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nil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1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</w:p>
        </w:tc>
      </w:tr>
      <w:tr w:rsidR="00983BB5" w:rsidRPr="00064FAE">
        <w:trPr>
          <w:trHeight w:val="583"/>
        </w:trPr>
        <w:tc>
          <w:tcPr>
            <w:tcW w:w="10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spacing w:line="228" w:lineRule="auto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Commentaires :</w:t>
            </w:r>
          </w:p>
        </w:tc>
      </w:tr>
      <w:tr w:rsidR="00983BB5" w:rsidRPr="00064FAE">
        <w:trPr>
          <w:trHeight w:val="549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B5" w:rsidRPr="00064FAE" w:rsidRDefault="00983BB5" w:rsidP="00983BB5">
            <w:pPr>
              <w:spacing w:before="20" w:line="228" w:lineRule="auto"/>
              <w:rPr>
                <w:rFonts w:cs="Arial"/>
                <w:b/>
                <w:sz w:val="22"/>
                <w:szCs w:val="22"/>
                <w:lang w:val="fr-CA"/>
              </w:rPr>
            </w:pPr>
            <w:r w:rsidRPr="00064FAE">
              <w:rPr>
                <w:rFonts w:cs="Arial"/>
                <w:b/>
                <w:sz w:val="22"/>
                <w:szCs w:val="22"/>
                <w:lang w:val="fr-CA"/>
              </w:rPr>
              <w:t>Avis envoyé au fournisseur de sang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lang w:val="fr-CA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jc w:val="both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 xml:space="preserve">Fournisseur avisé? Oui </w:t>
            </w:r>
            <w:r w:rsidRPr="00064FAE">
              <w:rPr>
                <w:rFonts w:cs="Arial"/>
                <w:lang w:val="fr-CA"/>
              </w:rPr>
              <w:t xml:space="preserve"> </w:t>
            </w:r>
            <w:proofErr w:type="gramStart"/>
            <w:r w:rsidRPr="00064FAE">
              <w:rPr>
                <w:rFonts w:cs="Arial"/>
                <w:lang w:val="fr-CA"/>
              </w:rPr>
              <w:t xml:space="preserve">Non  </w:t>
            </w:r>
            <w:r w:rsidRPr="00064FAE">
              <w:rPr>
                <w:rFonts w:cs="Arial"/>
                <w:lang w:val="fr-CA"/>
              </w:rPr>
              <w:t></w:t>
            </w:r>
            <w:proofErr w:type="gramEnd"/>
            <w:r w:rsidRPr="00064FAE">
              <w:rPr>
                <w:rFonts w:cs="Arial"/>
                <w:lang w:val="fr-CA"/>
              </w:rPr>
              <w:t xml:space="preserve">  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jc w:val="both"/>
              <w:rPr>
                <w:rFonts w:cs="Arial"/>
                <w:lang w:val="fr-CA"/>
              </w:rPr>
            </w:pPr>
            <w:r w:rsidRPr="00064FAE">
              <w:rPr>
                <w:rFonts w:cs="Arial"/>
                <w:lang w:val="fr-CA"/>
              </w:rPr>
              <w:t>Date, le cas échéant</w:t>
            </w:r>
            <w:r>
              <w:rPr>
                <w:rFonts w:cs="Arial"/>
                <w:lang w:val="fr-CA"/>
              </w:rPr>
              <w:t> :</w:t>
            </w:r>
          </w:p>
          <w:p w:rsidR="00983BB5" w:rsidRPr="00064FAE" w:rsidRDefault="00983BB5" w:rsidP="004F59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rPr>
                <w:rFonts w:cs="Arial"/>
                <w:lang w:val="fr-CA"/>
              </w:rPr>
            </w:pPr>
          </w:p>
        </w:tc>
      </w:tr>
    </w:tbl>
    <w:p w:rsidR="00804824" w:rsidRPr="00064FAE" w:rsidRDefault="004708D2">
      <w:pPr>
        <w:spacing w:line="228" w:lineRule="auto"/>
        <w:rPr>
          <w:lang w:val="fr-CA"/>
        </w:rPr>
      </w:pPr>
      <w:r w:rsidRPr="00064FAE">
        <w:rPr>
          <w:rFonts w:ascii="Garamond" w:hAnsi="Garamond"/>
          <w:lang w:val="fr-CA"/>
        </w:rPr>
        <w:t>Une copie de ce document doit rester indéfiniment dans le dossier médical du patient</w:t>
      </w:r>
      <w:r w:rsidR="007519DC" w:rsidRPr="00064FAE">
        <w:rPr>
          <w:rFonts w:ascii="Garamond" w:hAnsi="Garamond"/>
          <w:lang w:val="fr-CA"/>
        </w:rPr>
        <w:t>.</w:t>
      </w:r>
    </w:p>
    <w:sectPr w:rsidR="00804824" w:rsidRPr="00064FAE" w:rsidSect="00983BB5">
      <w:headerReference w:type="default" r:id="rId7"/>
      <w:footerReference w:type="default" r:id="rId8"/>
      <w:pgSz w:w="12240" w:h="15840" w:code="1"/>
      <w:pgMar w:top="1166" w:right="1151" w:bottom="662" w:left="1151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5D" w:rsidRDefault="000F395D">
      <w:r>
        <w:separator/>
      </w:r>
    </w:p>
  </w:endnote>
  <w:endnote w:type="continuationSeparator" w:id="0">
    <w:p w:rsidR="000F395D" w:rsidRDefault="000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88"/>
      <w:gridCol w:w="7560"/>
      <w:gridCol w:w="1404"/>
    </w:tblGrid>
    <w:tr w:rsidR="00EC5301">
      <w:tc>
        <w:tcPr>
          <w:tcW w:w="1188" w:type="dxa"/>
        </w:tcPr>
        <w:p w:rsidR="00EC5301" w:rsidRDefault="00EC5301">
          <w:pPr>
            <w:pStyle w:val="Footer"/>
            <w:jc w:val="center"/>
            <w:rPr>
              <w:sz w:val="8"/>
            </w:rPr>
          </w:pPr>
        </w:p>
        <w:p w:rsidR="00EC5301" w:rsidRDefault="00607044">
          <w:pPr>
            <w:pStyle w:val="Footer"/>
            <w:jc w:val="center"/>
            <w:rPr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EC5301" w:rsidRDefault="00EC5301">
          <w:pPr>
            <w:pStyle w:val="Footer"/>
            <w:jc w:val="center"/>
            <w:rPr>
              <w:sz w:val="8"/>
            </w:rPr>
          </w:pPr>
        </w:p>
        <w:p w:rsidR="009E1534" w:rsidRPr="00D52543" w:rsidRDefault="009E1534" w:rsidP="009E1534">
          <w:pPr>
            <w:pStyle w:val="Footer"/>
            <w:jc w:val="center"/>
            <w:rPr>
              <w:sz w:val="18"/>
              <w:lang w:val="fr-CA"/>
            </w:rPr>
          </w:pPr>
          <w:r w:rsidRPr="00D52543">
            <w:rPr>
              <w:sz w:val="18"/>
              <w:lang w:val="fr-CA"/>
            </w:rPr>
            <w:t>Réseau r</w:t>
          </w:r>
          <w:r>
            <w:rPr>
              <w:sz w:val="18"/>
              <w:lang w:val="fr-CA"/>
            </w:rPr>
            <w:t>é</w:t>
          </w:r>
          <w:r w:rsidRPr="00D52543">
            <w:rPr>
              <w:sz w:val="18"/>
              <w:lang w:val="fr-CA"/>
            </w:rPr>
            <w:t xml:space="preserve">gional ontarien de coordination du sang </w:t>
          </w:r>
        </w:p>
        <w:p w:rsidR="009E1534" w:rsidRDefault="009E1534" w:rsidP="009E1534">
          <w:pPr>
            <w:pStyle w:val="Footer"/>
            <w:jc w:val="center"/>
            <w:rPr>
              <w:sz w:val="18"/>
              <w:lang w:val="fr-CA"/>
            </w:rPr>
          </w:pPr>
        </w:p>
        <w:p w:rsidR="009E1534" w:rsidRPr="00D52543" w:rsidRDefault="009E1534" w:rsidP="009E1534">
          <w:pPr>
            <w:pStyle w:val="Footer"/>
            <w:jc w:val="center"/>
            <w:rPr>
              <w:sz w:val="18"/>
              <w:lang w:val="fr-CA"/>
            </w:rPr>
          </w:pPr>
          <w:r>
            <w:rPr>
              <w:sz w:val="18"/>
              <w:lang w:val="fr-CA"/>
            </w:rPr>
            <w:t>Manuel des d</w:t>
          </w:r>
          <w:r w:rsidRPr="00D52543">
            <w:rPr>
              <w:sz w:val="18"/>
              <w:lang w:val="fr-CA"/>
            </w:rPr>
            <w:t>irectives de travail normalisées</w:t>
          </w:r>
        </w:p>
        <w:p w:rsidR="00EC5301" w:rsidRDefault="00EC5301">
          <w:pPr>
            <w:pStyle w:val="Footer"/>
            <w:jc w:val="center"/>
            <w:rPr>
              <w:sz w:val="18"/>
            </w:rPr>
          </w:pPr>
        </w:p>
      </w:tc>
      <w:tc>
        <w:tcPr>
          <w:tcW w:w="1404" w:type="dxa"/>
        </w:tcPr>
        <w:p w:rsidR="00EC5301" w:rsidRDefault="00EC5301">
          <w:pPr>
            <w:pStyle w:val="Footer"/>
            <w:rPr>
              <w:sz w:val="8"/>
            </w:rPr>
          </w:pPr>
          <w:r>
            <w:t xml:space="preserve">    </w:t>
          </w:r>
        </w:p>
        <w:p w:rsidR="00EC5301" w:rsidRDefault="00EC5301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AR.012F1 </w:t>
          </w:r>
        </w:p>
        <w:p w:rsidR="00EC5301" w:rsidRDefault="00EC5301">
          <w:pPr>
            <w:pStyle w:val="Footer"/>
            <w:jc w:val="right"/>
            <w:rPr>
              <w:sz w:val="18"/>
            </w:rPr>
          </w:pPr>
        </w:p>
        <w:p w:rsidR="00EC5301" w:rsidRDefault="00EC5301">
          <w:pPr>
            <w:pStyle w:val="Footer"/>
            <w:jc w:val="right"/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6C27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6C27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C5301" w:rsidRDefault="00EC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5D" w:rsidRDefault="000F395D">
      <w:r>
        <w:separator/>
      </w:r>
    </w:p>
  </w:footnote>
  <w:footnote w:type="continuationSeparator" w:id="0">
    <w:p w:rsidR="000F395D" w:rsidRDefault="000F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01" w:rsidRPr="00011232" w:rsidRDefault="00EC5301">
    <w:pPr>
      <w:pStyle w:val="Header"/>
      <w:jc w:val="center"/>
      <w:rPr>
        <w:rFonts w:cs="Arial"/>
        <w:b/>
        <w:sz w:val="28"/>
        <w:lang w:val="fr-CA"/>
      </w:rPr>
    </w:pPr>
    <w:r w:rsidRPr="00011232">
      <w:rPr>
        <w:rFonts w:cs="Arial"/>
        <w:b/>
        <w:sz w:val="28"/>
        <w:lang w:val="fr-CA"/>
      </w:rPr>
      <w:t>Investigation d</w:t>
    </w:r>
    <w:r>
      <w:rPr>
        <w:rFonts w:cs="Arial"/>
        <w:b/>
        <w:sz w:val="28"/>
        <w:lang w:val="fr-CA"/>
      </w:rPr>
      <w:t>’</w:t>
    </w:r>
    <w:r w:rsidRPr="00011232">
      <w:rPr>
        <w:rFonts w:cs="Arial"/>
        <w:b/>
        <w:sz w:val="28"/>
        <w:lang w:val="fr-CA"/>
      </w:rPr>
      <w:t>une complication transfusion</w:t>
    </w:r>
    <w:r>
      <w:rPr>
        <w:rFonts w:cs="Arial"/>
        <w:b/>
        <w:sz w:val="28"/>
        <w:lang w:val="fr-CA"/>
      </w:rPr>
      <w:t>nelle</w:t>
    </w:r>
    <w:r w:rsidRPr="00011232">
      <w:rPr>
        <w:rFonts w:cs="Arial"/>
        <w:b/>
        <w:sz w:val="28"/>
        <w:lang w:val="fr-CA"/>
      </w:rPr>
      <w:t xml:space="preserve"> </w:t>
    </w:r>
  </w:p>
  <w:p w:rsidR="00EC5301" w:rsidRPr="00011232" w:rsidRDefault="00EC5301">
    <w:pPr>
      <w:pStyle w:val="Header"/>
      <w:jc w:val="center"/>
      <w:rPr>
        <w:rFonts w:cs="Arial"/>
        <w:b/>
        <w:sz w:val="28"/>
        <w:lang w:val="fr-CA"/>
      </w:rPr>
    </w:pPr>
    <w:r w:rsidRPr="00011232">
      <w:rPr>
        <w:rFonts w:cs="Arial"/>
        <w:b/>
        <w:sz w:val="28"/>
        <w:lang w:val="fr-CA"/>
      </w:rPr>
      <w:t>Avis de réaction transfusionnelle</w:t>
    </w:r>
  </w:p>
  <w:p w:rsidR="00EC5301" w:rsidRPr="00011232" w:rsidRDefault="00EC5301">
    <w:pPr>
      <w:pStyle w:val="Header"/>
      <w:rPr>
        <w:rFonts w:cs="Arial"/>
        <w:sz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2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03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8B4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615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FD6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502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DF1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8B32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593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32"/>
    <w:rsid w:val="00011232"/>
    <w:rsid w:val="00062C52"/>
    <w:rsid w:val="00064FAE"/>
    <w:rsid w:val="000A66DC"/>
    <w:rsid w:val="000B4A15"/>
    <w:rsid w:val="000D08E8"/>
    <w:rsid w:val="000F395D"/>
    <w:rsid w:val="0016489A"/>
    <w:rsid w:val="00314D54"/>
    <w:rsid w:val="003B4030"/>
    <w:rsid w:val="003E35AB"/>
    <w:rsid w:val="004453C9"/>
    <w:rsid w:val="004708D2"/>
    <w:rsid w:val="004F59FB"/>
    <w:rsid w:val="0050685B"/>
    <w:rsid w:val="005C27B1"/>
    <w:rsid w:val="00607044"/>
    <w:rsid w:val="00647880"/>
    <w:rsid w:val="006664B2"/>
    <w:rsid w:val="006C2714"/>
    <w:rsid w:val="00734601"/>
    <w:rsid w:val="007519DC"/>
    <w:rsid w:val="00755417"/>
    <w:rsid w:val="007712E1"/>
    <w:rsid w:val="007B3DDD"/>
    <w:rsid w:val="00804824"/>
    <w:rsid w:val="00983BB5"/>
    <w:rsid w:val="009E1534"/>
    <w:rsid w:val="00A334BE"/>
    <w:rsid w:val="00A82D06"/>
    <w:rsid w:val="00AB0368"/>
    <w:rsid w:val="00C10BF0"/>
    <w:rsid w:val="00C62262"/>
    <w:rsid w:val="00C90245"/>
    <w:rsid w:val="00CB51A5"/>
    <w:rsid w:val="00D5549F"/>
    <w:rsid w:val="00EC5301"/>
    <w:rsid w:val="00ED4B2C"/>
    <w:rsid w:val="00F0112D"/>
    <w:rsid w:val="00F0598A"/>
    <w:rsid w:val="00F17435"/>
    <w:rsid w:val="00F4783E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D8CFC-9DFC-49D9-8C60-C24EA16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b/>
    </w:rPr>
  </w:style>
  <w:style w:type="paragraph" w:styleId="BodyTextIndent">
    <w:name w:val="Body Text Indent"/>
    <w:basedOn w:val="Normal"/>
    <w:pPr>
      <w:ind w:left="239" w:hanging="239"/>
    </w:pPr>
    <w:rPr>
      <w:rFonts w:ascii="Garamond" w:hAnsi="Garamond"/>
    </w:rPr>
  </w:style>
  <w:style w:type="paragraph" w:styleId="BodyText2">
    <w:name w:val="Body Text 2"/>
    <w:basedOn w:val="Normal"/>
    <w:pPr>
      <w:jc w:val="center"/>
    </w:pPr>
    <w:rPr>
      <w:rFonts w:cs="Arial"/>
      <w:bCs/>
      <w:sz w:val="16"/>
      <w:u w:val="single"/>
    </w:rPr>
  </w:style>
  <w:style w:type="paragraph" w:styleId="BalloonText">
    <w:name w:val="Balloon Text"/>
    <w:basedOn w:val="Normal"/>
    <w:semiHidden/>
    <w:rsid w:val="00CB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RT.012F1 Investigation of Transfusion Complications</vt:lpstr>
    </vt:vector>
  </TitlesOfParts>
  <Company>The Ottawa Hospital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RT.012F1 Investigation of Transfusion Complications</dc:title>
  <dc:subject/>
  <dc:creator>Transfusion Ontario Program Office</dc:creator>
  <cp:keywords/>
  <cp:lastModifiedBy>Nesrallah, Heather</cp:lastModifiedBy>
  <cp:revision>2</cp:revision>
  <cp:lastPrinted>2011-01-11T21:46:00Z</cp:lastPrinted>
  <dcterms:created xsi:type="dcterms:W3CDTF">2020-08-10T17:53:00Z</dcterms:created>
  <dcterms:modified xsi:type="dcterms:W3CDTF">2020-08-10T17:53:00Z</dcterms:modified>
</cp:coreProperties>
</file>