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999" w:rsidRPr="00DC53E5" w:rsidRDefault="00C74999">
      <w:pPr>
        <w:numPr>
          <w:ilvl w:val="0"/>
          <w:numId w:val="1"/>
        </w:numPr>
        <w:rPr>
          <w:rFonts w:ascii="Arial" w:hAnsi="Arial"/>
          <w:b/>
          <w:sz w:val="28"/>
          <w:lang w:val="fr-CA"/>
        </w:rPr>
      </w:pPr>
      <w:bookmarkStart w:id="0" w:name="_GoBack"/>
      <w:bookmarkEnd w:id="0"/>
      <w:r w:rsidRPr="00DC53E5">
        <w:rPr>
          <w:rFonts w:ascii="Arial" w:hAnsi="Arial"/>
          <w:b/>
          <w:sz w:val="28"/>
          <w:lang w:val="fr-CA"/>
        </w:rPr>
        <w:t>Principe</w:t>
      </w:r>
    </w:p>
    <w:p w:rsidR="00C74999" w:rsidRPr="00DC53E5" w:rsidRDefault="00C74999">
      <w:pPr>
        <w:pStyle w:val="Header"/>
        <w:tabs>
          <w:tab w:val="clear" w:pos="4320"/>
          <w:tab w:val="clear" w:pos="8640"/>
        </w:tabs>
        <w:rPr>
          <w:rFonts w:ascii="Arial" w:hAnsi="Arial"/>
          <w:lang w:val="fr-CA"/>
        </w:rPr>
      </w:pPr>
    </w:p>
    <w:p w:rsidR="00C74999" w:rsidRPr="00DC53E5" w:rsidRDefault="00C74999">
      <w:pPr>
        <w:ind w:left="720"/>
        <w:rPr>
          <w:rFonts w:ascii="Arial" w:hAnsi="Arial"/>
          <w:sz w:val="24"/>
          <w:lang w:val="fr-CA"/>
        </w:rPr>
      </w:pPr>
      <w:r w:rsidRPr="00DC53E5">
        <w:rPr>
          <w:rFonts w:ascii="Arial" w:hAnsi="Arial"/>
          <w:sz w:val="24"/>
          <w:lang w:val="fr-CA"/>
        </w:rPr>
        <w:t xml:space="preserve">Pour investiguer les </w:t>
      </w:r>
      <w:r w:rsidR="003A226B" w:rsidRPr="00DC53E5">
        <w:rPr>
          <w:rFonts w:ascii="Arial" w:hAnsi="Arial"/>
          <w:sz w:val="24"/>
          <w:lang w:val="fr-CA"/>
        </w:rPr>
        <w:t xml:space="preserve">soupçons de </w:t>
      </w:r>
      <w:r w:rsidRPr="00DC53E5">
        <w:rPr>
          <w:rFonts w:ascii="Arial" w:hAnsi="Arial"/>
          <w:sz w:val="24"/>
          <w:lang w:val="fr-CA"/>
        </w:rPr>
        <w:t>complications transfusionnelles.</w:t>
      </w:r>
    </w:p>
    <w:p w:rsidR="00C74999" w:rsidRPr="00DC53E5" w:rsidRDefault="00C74999">
      <w:pPr>
        <w:ind w:left="720"/>
        <w:rPr>
          <w:rFonts w:ascii="Arial" w:hAnsi="Arial"/>
          <w:lang w:val="fr-CA"/>
        </w:rPr>
      </w:pPr>
    </w:p>
    <w:p w:rsidR="00C74999" w:rsidRPr="00DC53E5" w:rsidRDefault="00C74999">
      <w:pPr>
        <w:numPr>
          <w:ilvl w:val="0"/>
          <w:numId w:val="1"/>
        </w:numPr>
        <w:rPr>
          <w:rFonts w:ascii="Arial" w:hAnsi="Arial"/>
          <w:b/>
          <w:sz w:val="28"/>
          <w:lang w:val="fr-CA"/>
        </w:rPr>
      </w:pPr>
      <w:r w:rsidRPr="00DC53E5">
        <w:rPr>
          <w:rFonts w:ascii="Arial" w:hAnsi="Arial"/>
          <w:b/>
          <w:sz w:val="28"/>
          <w:lang w:val="fr-CA"/>
        </w:rPr>
        <w:t>Portée et politiques connexes</w:t>
      </w:r>
    </w:p>
    <w:p w:rsidR="00C74999" w:rsidRPr="00DC53E5" w:rsidRDefault="00C74999">
      <w:pPr>
        <w:pStyle w:val="Header"/>
        <w:tabs>
          <w:tab w:val="clear" w:pos="4320"/>
          <w:tab w:val="clear" w:pos="8640"/>
        </w:tabs>
        <w:rPr>
          <w:rFonts w:ascii="Arial" w:hAnsi="Arial"/>
          <w:lang w:val="fr-CA"/>
        </w:rPr>
      </w:pPr>
    </w:p>
    <w:p w:rsidR="00C74999" w:rsidRPr="00DC53E5" w:rsidRDefault="00C74999">
      <w:pPr>
        <w:ind w:left="720"/>
        <w:rPr>
          <w:rFonts w:ascii="Arial" w:hAnsi="Arial"/>
          <w:sz w:val="24"/>
          <w:lang w:val="fr-CA"/>
        </w:rPr>
      </w:pPr>
      <w:r w:rsidRPr="00DC53E5">
        <w:rPr>
          <w:rFonts w:ascii="Arial" w:hAnsi="Arial"/>
          <w:sz w:val="24"/>
          <w:lang w:val="fr-CA"/>
        </w:rPr>
        <w:t>Lors de l’investigation initiale, utiliser les mêmes méthodes que celles utilisées dans le cadre des épreuves de compatibilité croisée.</w:t>
      </w:r>
    </w:p>
    <w:p w:rsidR="00C74999" w:rsidRPr="00DC53E5" w:rsidRDefault="00C74999">
      <w:pPr>
        <w:pStyle w:val="Header"/>
        <w:tabs>
          <w:tab w:val="clear" w:pos="4320"/>
          <w:tab w:val="clear" w:pos="8640"/>
        </w:tabs>
        <w:rPr>
          <w:rFonts w:ascii="Arial" w:hAnsi="Arial"/>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Il y aura des politiques et procédures </w:t>
      </w:r>
      <w:r w:rsidR="003A226B" w:rsidRPr="00DC53E5">
        <w:rPr>
          <w:rFonts w:ascii="Arial" w:hAnsi="Arial"/>
          <w:sz w:val="24"/>
          <w:lang w:val="fr-CA"/>
        </w:rPr>
        <w:t xml:space="preserve">relatives à la </w:t>
      </w:r>
      <w:r w:rsidRPr="00DC53E5">
        <w:rPr>
          <w:rFonts w:ascii="Arial" w:hAnsi="Arial"/>
          <w:sz w:val="24"/>
          <w:lang w:val="fr-CA"/>
        </w:rPr>
        <w:t xml:space="preserve">documentation, </w:t>
      </w:r>
      <w:r w:rsidR="003A226B" w:rsidRPr="00DC53E5">
        <w:rPr>
          <w:rFonts w:ascii="Arial" w:hAnsi="Arial"/>
          <w:sz w:val="24"/>
          <w:lang w:val="fr-CA"/>
        </w:rPr>
        <w:t xml:space="preserve">à </w:t>
      </w:r>
      <w:r w:rsidRPr="00DC53E5">
        <w:rPr>
          <w:rFonts w:ascii="Arial" w:hAnsi="Arial"/>
          <w:sz w:val="24"/>
          <w:lang w:val="fr-CA"/>
        </w:rPr>
        <w:t xml:space="preserve">la production de rapports, </w:t>
      </w:r>
      <w:r w:rsidR="003A226B" w:rsidRPr="00DC53E5">
        <w:rPr>
          <w:rFonts w:ascii="Arial" w:hAnsi="Arial"/>
          <w:sz w:val="24"/>
          <w:lang w:val="fr-CA"/>
        </w:rPr>
        <w:t xml:space="preserve">à </w:t>
      </w:r>
      <w:r w:rsidRPr="00DC53E5">
        <w:rPr>
          <w:rFonts w:ascii="Arial" w:hAnsi="Arial"/>
          <w:sz w:val="24"/>
          <w:lang w:val="fr-CA"/>
        </w:rPr>
        <w:t xml:space="preserve">l’évaluation et </w:t>
      </w:r>
      <w:r w:rsidR="003A226B" w:rsidRPr="00DC53E5">
        <w:rPr>
          <w:rFonts w:ascii="Arial" w:hAnsi="Arial"/>
          <w:sz w:val="24"/>
          <w:lang w:val="fr-CA"/>
        </w:rPr>
        <w:t>au</w:t>
      </w:r>
      <w:r w:rsidRPr="00DC53E5">
        <w:rPr>
          <w:rFonts w:ascii="Arial" w:hAnsi="Arial"/>
          <w:sz w:val="24"/>
          <w:lang w:val="fr-CA"/>
        </w:rPr>
        <w:t xml:space="preserve"> suivi de toutes les réactions transfusionnelles. Une liste de signes et symptômes co</w:t>
      </w:r>
      <w:r w:rsidR="009F54E0">
        <w:rPr>
          <w:rFonts w:ascii="Arial" w:hAnsi="Arial"/>
          <w:sz w:val="24"/>
          <w:lang w:val="fr-CA"/>
        </w:rPr>
        <w:t>urants</w:t>
      </w:r>
      <w:r w:rsidRPr="00DC53E5">
        <w:rPr>
          <w:rFonts w:ascii="Arial" w:hAnsi="Arial"/>
          <w:sz w:val="24"/>
          <w:lang w:val="fr-CA"/>
        </w:rPr>
        <w:t xml:space="preserve"> de réactions transfusionnelles doit être incluse dans les manuels de politiques </w:t>
      </w:r>
      <w:r w:rsidR="003A226B" w:rsidRPr="00DC53E5">
        <w:rPr>
          <w:rFonts w:ascii="Arial" w:hAnsi="Arial"/>
          <w:sz w:val="24"/>
          <w:lang w:val="fr-CA"/>
        </w:rPr>
        <w:t>du</w:t>
      </w:r>
      <w:r w:rsidR="009F54E0">
        <w:rPr>
          <w:rFonts w:ascii="Arial" w:hAnsi="Arial"/>
          <w:sz w:val="24"/>
          <w:lang w:val="fr-CA"/>
        </w:rPr>
        <w:t> Laboratoire de médecine transfusionnelle (LMT)</w:t>
      </w:r>
      <w:r w:rsidRPr="00DC53E5">
        <w:rPr>
          <w:rFonts w:ascii="Arial" w:hAnsi="Arial"/>
          <w:sz w:val="24"/>
          <w:lang w:val="fr-CA"/>
        </w:rPr>
        <w:t xml:space="preserve"> et des soins infirmiers</w:t>
      </w:r>
      <w:r w:rsidR="003A226B" w:rsidRPr="00DC53E5">
        <w:rPr>
          <w:rFonts w:ascii="Arial" w:hAnsi="Arial"/>
          <w:sz w:val="24"/>
          <w:lang w:val="fr-CA"/>
        </w:rPr>
        <w:t xml:space="preserve"> de l’hôpital</w:t>
      </w:r>
      <w:r w:rsidR="003A226B" w:rsidRPr="00DC53E5">
        <w:rPr>
          <w:rFonts w:ascii="Arial" w:hAnsi="Arial"/>
          <w:sz w:val="24"/>
          <w:vertAlign w:val="superscript"/>
          <w:lang w:val="fr-CA"/>
        </w:rPr>
        <w:t>9.1</w:t>
      </w:r>
      <w:r w:rsidRPr="00DC53E5">
        <w:rPr>
          <w:rFonts w:ascii="Arial" w:hAnsi="Arial"/>
          <w:sz w:val="24"/>
          <w:lang w:val="fr-CA"/>
        </w:rPr>
        <w:t>.</w:t>
      </w:r>
    </w:p>
    <w:p w:rsidR="00C74999" w:rsidRPr="00DC53E5" w:rsidRDefault="00C74999">
      <w:pPr>
        <w:ind w:left="720"/>
        <w:rPr>
          <w:rFonts w:ascii="Arial" w:hAnsi="Arial"/>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En cas de </w:t>
      </w:r>
      <w:r w:rsidR="003A226B" w:rsidRPr="00DC53E5">
        <w:rPr>
          <w:rFonts w:ascii="Arial" w:hAnsi="Arial"/>
          <w:sz w:val="24"/>
          <w:lang w:val="fr-CA"/>
        </w:rPr>
        <w:t xml:space="preserve">soupçon de </w:t>
      </w:r>
      <w:r w:rsidRPr="00DC53E5">
        <w:rPr>
          <w:rFonts w:ascii="Arial" w:hAnsi="Arial"/>
          <w:sz w:val="24"/>
          <w:lang w:val="fr-CA"/>
        </w:rPr>
        <w:t xml:space="preserve">complication transfusionnelle, le personnel traitant doit en aviser sans tarder le </w:t>
      </w:r>
      <w:r w:rsidR="009F54E0">
        <w:rPr>
          <w:rFonts w:ascii="Arial" w:hAnsi="Arial"/>
          <w:sz w:val="24"/>
          <w:lang w:val="fr-CA"/>
        </w:rPr>
        <w:t>LMT</w:t>
      </w:r>
      <w:r w:rsidR="003A226B" w:rsidRPr="00DC53E5">
        <w:rPr>
          <w:rFonts w:ascii="Arial" w:hAnsi="Arial"/>
          <w:sz w:val="24"/>
          <w:lang w:val="fr-CA"/>
        </w:rPr>
        <w:t xml:space="preserve"> </w:t>
      </w:r>
      <w:r w:rsidRPr="00DC53E5">
        <w:rPr>
          <w:rFonts w:ascii="Arial" w:hAnsi="Arial"/>
          <w:sz w:val="24"/>
          <w:lang w:val="fr-CA"/>
        </w:rPr>
        <w:t>et le médecin ayant demandé la transfusion. Inclure dans le dossier médical du patient toute information relative aux complications</w:t>
      </w:r>
      <w:r w:rsidRPr="00DC53E5">
        <w:rPr>
          <w:rFonts w:ascii="Arial" w:hAnsi="Arial"/>
          <w:sz w:val="24"/>
          <w:vertAlign w:val="superscript"/>
          <w:lang w:val="fr-CA"/>
        </w:rPr>
        <w:t>9.2</w:t>
      </w:r>
      <w:r w:rsidRPr="00DC53E5">
        <w:rPr>
          <w:rFonts w:ascii="Arial" w:hAnsi="Arial"/>
          <w:sz w:val="24"/>
          <w:lang w:val="fr-CA"/>
        </w:rPr>
        <w:t>.</w:t>
      </w:r>
    </w:p>
    <w:p w:rsidR="00C74999" w:rsidRPr="00DC53E5" w:rsidRDefault="00C74999">
      <w:pPr>
        <w:pStyle w:val="Header"/>
        <w:tabs>
          <w:tab w:val="clear" w:pos="4320"/>
          <w:tab w:val="clear" w:pos="8640"/>
        </w:tabs>
        <w:rPr>
          <w:rFonts w:ascii="Arial" w:hAnsi="Arial"/>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Surveiller le patient durant la transfusion et pendant une période appropriée </w:t>
      </w:r>
      <w:r w:rsidR="009F54E0">
        <w:rPr>
          <w:rFonts w:ascii="Arial" w:hAnsi="Arial"/>
          <w:sz w:val="24"/>
          <w:lang w:val="fr-CA"/>
        </w:rPr>
        <w:t xml:space="preserve">par la suite, à l’affût de </w:t>
      </w:r>
      <w:r w:rsidR="003A226B" w:rsidRPr="00DC53E5">
        <w:rPr>
          <w:rFonts w:ascii="Arial" w:hAnsi="Arial"/>
          <w:sz w:val="24"/>
          <w:lang w:val="fr-CA"/>
        </w:rPr>
        <w:t xml:space="preserve">ce qui </w:t>
      </w:r>
      <w:r w:rsidR="009F54E0">
        <w:rPr>
          <w:rFonts w:ascii="Arial" w:hAnsi="Arial"/>
          <w:sz w:val="24"/>
          <w:lang w:val="fr-CA"/>
        </w:rPr>
        <w:t xml:space="preserve">pourrait </w:t>
      </w:r>
      <w:r w:rsidR="003A226B" w:rsidRPr="00DC53E5">
        <w:rPr>
          <w:rFonts w:ascii="Arial" w:hAnsi="Arial"/>
          <w:sz w:val="24"/>
          <w:lang w:val="fr-CA"/>
        </w:rPr>
        <w:t>être une</w:t>
      </w:r>
      <w:r w:rsidRPr="00DC53E5">
        <w:rPr>
          <w:rFonts w:ascii="Arial" w:hAnsi="Arial"/>
          <w:sz w:val="24"/>
          <w:lang w:val="fr-CA"/>
        </w:rPr>
        <w:t xml:space="preserve"> réaction indésirable.</w:t>
      </w:r>
    </w:p>
    <w:p w:rsidR="00C74999" w:rsidRPr="00DC53E5" w:rsidRDefault="00C74999">
      <w:pPr>
        <w:pStyle w:val="Header"/>
        <w:tabs>
          <w:tab w:val="clear" w:pos="4320"/>
          <w:tab w:val="clear" w:pos="8640"/>
        </w:tabs>
        <w:rPr>
          <w:rFonts w:ascii="Arial" w:hAnsi="Arial"/>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Investiguer immédiatement tout</w:t>
      </w:r>
      <w:r w:rsidR="003A226B" w:rsidRPr="00DC53E5">
        <w:rPr>
          <w:rFonts w:ascii="Arial" w:hAnsi="Arial"/>
          <w:sz w:val="24"/>
          <w:lang w:val="fr-CA"/>
        </w:rPr>
        <w:t xml:space="preserve"> soupçon d</w:t>
      </w:r>
      <w:r w:rsidRPr="00DC53E5">
        <w:rPr>
          <w:rFonts w:ascii="Arial" w:hAnsi="Arial"/>
          <w:sz w:val="24"/>
          <w:lang w:val="fr-CA"/>
        </w:rPr>
        <w:t>e réaction transfusionnelle qui pourrait être de nature hémolytique. On doit interrompre la transfusion tout en laissant une ligne de perfusion ouverte</w:t>
      </w:r>
      <w:r w:rsidRPr="00DC53E5">
        <w:rPr>
          <w:rFonts w:ascii="Arial" w:hAnsi="Arial"/>
          <w:sz w:val="24"/>
          <w:vertAlign w:val="superscript"/>
          <w:lang w:val="fr-CA"/>
        </w:rPr>
        <w:t>9.1</w:t>
      </w:r>
      <w:r w:rsidRPr="00DC53E5">
        <w:rPr>
          <w:rFonts w:ascii="Arial" w:hAnsi="Arial"/>
          <w:sz w:val="24"/>
          <w:lang w:val="fr-CA"/>
        </w:rPr>
        <w:t>.</w:t>
      </w:r>
    </w:p>
    <w:p w:rsidR="00C74999" w:rsidRPr="00DC53E5" w:rsidRDefault="00C74999">
      <w:pPr>
        <w:pStyle w:val="Header"/>
        <w:tabs>
          <w:tab w:val="clear" w:pos="4320"/>
          <w:tab w:val="clear" w:pos="8640"/>
        </w:tabs>
        <w:rPr>
          <w:rFonts w:ascii="Arial" w:hAnsi="Arial"/>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 xml:space="preserve">En cas de symptômes ou </w:t>
      </w:r>
      <w:r w:rsidR="0037302B">
        <w:rPr>
          <w:rFonts w:ascii="Arial" w:hAnsi="Arial"/>
          <w:sz w:val="24"/>
          <w:lang w:val="fr-CA"/>
        </w:rPr>
        <w:t xml:space="preserve">d’observations </w:t>
      </w:r>
      <w:r w:rsidRPr="00DC53E5">
        <w:rPr>
          <w:rFonts w:ascii="Arial" w:hAnsi="Arial"/>
          <w:sz w:val="24"/>
          <w:lang w:val="fr-CA"/>
        </w:rPr>
        <w:t xml:space="preserve">suggérant une réaction transfusionnelle immédiate, interrompre </w:t>
      </w:r>
      <w:r w:rsidR="009F54E0">
        <w:rPr>
          <w:rFonts w:ascii="Arial" w:hAnsi="Arial"/>
          <w:sz w:val="24"/>
          <w:lang w:val="fr-CA"/>
        </w:rPr>
        <w:t xml:space="preserve">la transfusion et </w:t>
      </w:r>
      <w:r w:rsidR="0037302B" w:rsidRPr="00DC53E5">
        <w:rPr>
          <w:rFonts w:ascii="Arial" w:hAnsi="Arial"/>
          <w:sz w:val="24"/>
          <w:lang w:val="fr-CA"/>
        </w:rPr>
        <w:t xml:space="preserve">évaluer </w:t>
      </w:r>
      <w:r w:rsidRPr="00DC53E5">
        <w:rPr>
          <w:rFonts w:ascii="Arial" w:hAnsi="Arial"/>
          <w:sz w:val="24"/>
          <w:lang w:val="fr-CA"/>
        </w:rPr>
        <w:t xml:space="preserve">la </w:t>
      </w:r>
      <w:r w:rsidR="009F54E0">
        <w:rPr>
          <w:rFonts w:ascii="Arial" w:hAnsi="Arial"/>
          <w:sz w:val="24"/>
          <w:lang w:val="fr-CA"/>
        </w:rPr>
        <w:t>situation</w:t>
      </w:r>
      <w:r w:rsidRPr="00DC53E5">
        <w:rPr>
          <w:rFonts w:ascii="Arial" w:hAnsi="Arial"/>
          <w:sz w:val="24"/>
          <w:lang w:val="fr-CA"/>
        </w:rPr>
        <w:t>. L’évaluation ne doit pas retarder la gestion clinique appropriée du patient.</w:t>
      </w:r>
    </w:p>
    <w:p w:rsidR="00C74999" w:rsidRPr="00DC53E5" w:rsidRDefault="00C74999">
      <w:pPr>
        <w:ind w:left="1440"/>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lastRenderedPageBreak/>
        <w:t>Il n’est pas nécessaire d’évaluer une surcharge circulatoire ou une réaction allergique légère (par ex., urtica</w:t>
      </w:r>
      <w:r w:rsidR="003A226B" w:rsidRPr="00DC53E5">
        <w:rPr>
          <w:rFonts w:ascii="Arial" w:hAnsi="Arial"/>
          <w:sz w:val="24"/>
          <w:lang w:val="fr-CA"/>
        </w:rPr>
        <w:t>ire</w:t>
      </w:r>
      <w:r w:rsidRPr="00DC53E5">
        <w:rPr>
          <w:rFonts w:ascii="Arial" w:hAnsi="Arial"/>
          <w:sz w:val="24"/>
          <w:lang w:val="fr-CA"/>
        </w:rPr>
        <w:t xml:space="preserve">) </w:t>
      </w:r>
      <w:r w:rsidR="003A226B" w:rsidRPr="00DC53E5">
        <w:rPr>
          <w:rFonts w:ascii="Arial" w:hAnsi="Arial"/>
          <w:sz w:val="24"/>
          <w:lang w:val="fr-CA"/>
        </w:rPr>
        <w:t xml:space="preserve">à titre de </w:t>
      </w:r>
      <w:r w:rsidRPr="00DC53E5">
        <w:rPr>
          <w:rFonts w:ascii="Arial" w:hAnsi="Arial"/>
          <w:sz w:val="24"/>
          <w:lang w:val="fr-CA"/>
        </w:rPr>
        <w:t xml:space="preserve"> réaction transfusionnelle hémolytique possible.</w:t>
      </w:r>
    </w:p>
    <w:p w:rsidR="00C74999" w:rsidRPr="00DC53E5" w:rsidRDefault="00C74999">
      <w:pPr>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Le </w:t>
      </w:r>
      <w:r w:rsidR="00837A0F">
        <w:rPr>
          <w:rFonts w:ascii="Arial" w:hAnsi="Arial"/>
          <w:sz w:val="24"/>
          <w:lang w:val="fr-CA"/>
        </w:rPr>
        <w:t>LMT</w:t>
      </w:r>
      <w:r w:rsidRPr="00DC53E5">
        <w:rPr>
          <w:rFonts w:ascii="Arial" w:hAnsi="Arial"/>
          <w:sz w:val="24"/>
          <w:lang w:val="fr-CA"/>
        </w:rPr>
        <w:t xml:space="preserve"> de l’hôpital doit conserver pendant une période indéfinie les dossiers de patients ayant présenté des complications transfusionnelles sérieuses ou des signes d’allo</w:t>
      </w:r>
      <w:r w:rsidR="00C934BA">
        <w:rPr>
          <w:rFonts w:ascii="Arial" w:hAnsi="Arial"/>
          <w:sz w:val="24"/>
          <w:lang w:val="fr-CA"/>
        </w:rPr>
        <w:t>-</w:t>
      </w:r>
      <w:r w:rsidRPr="00DC53E5">
        <w:rPr>
          <w:rFonts w:ascii="Arial" w:hAnsi="Arial"/>
          <w:sz w:val="24"/>
          <w:lang w:val="fr-CA"/>
        </w:rPr>
        <w:t>immunisation. Conserver les dossiers d’autres complications transfusionnelles pendant au moins 5 ans</w:t>
      </w:r>
      <w:r w:rsidR="00837A0F" w:rsidRPr="00837A0F">
        <w:rPr>
          <w:rFonts w:ascii="Arial" w:hAnsi="Arial"/>
          <w:sz w:val="24"/>
          <w:vertAlign w:val="superscript"/>
          <w:lang w:val="fr-CA"/>
        </w:rPr>
        <w:t>9.1</w:t>
      </w:r>
      <w:r w:rsidRPr="00DC53E5">
        <w:rPr>
          <w:rFonts w:ascii="Arial" w:hAnsi="Arial"/>
          <w:sz w:val="24"/>
          <w:lang w:val="fr-CA"/>
        </w:rPr>
        <w:t>.</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Inscrire au dossier médical du patient l</w:t>
      </w:r>
      <w:r w:rsidR="009F54E0">
        <w:rPr>
          <w:rFonts w:ascii="Arial" w:hAnsi="Arial"/>
          <w:sz w:val="24"/>
          <w:lang w:val="fr-CA"/>
        </w:rPr>
        <w:t>es conclusions de l’investigation</w:t>
      </w:r>
      <w:r w:rsidR="003A226B" w:rsidRPr="00DC53E5">
        <w:rPr>
          <w:rFonts w:ascii="Arial" w:hAnsi="Arial"/>
          <w:sz w:val="24"/>
          <w:lang w:val="fr-CA"/>
        </w:rPr>
        <w:t xml:space="preserve">. En </w:t>
      </w:r>
      <w:r w:rsidRPr="00DC53E5">
        <w:rPr>
          <w:rFonts w:ascii="Arial" w:hAnsi="Arial"/>
          <w:sz w:val="24"/>
          <w:lang w:val="fr-CA"/>
        </w:rPr>
        <w:t xml:space="preserve">cas de réaction hémolytique </w:t>
      </w:r>
      <w:r w:rsidR="005A53D5">
        <w:rPr>
          <w:rFonts w:ascii="Arial" w:hAnsi="Arial"/>
          <w:sz w:val="24"/>
          <w:lang w:val="fr-CA"/>
        </w:rPr>
        <w:t>transfusionnelle</w:t>
      </w:r>
      <w:r w:rsidRPr="00DC53E5">
        <w:rPr>
          <w:rFonts w:ascii="Arial" w:hAnsi="Arial"/>
          <w:sz w:val="24"/>
          <w:lang w:val="fr-CA"/>
        </w:rPr>
        <w:t xml:space="preserve">, de contamination bactérienne ou d’une autre complication transfusionnelle sérieuse, avertir </w:t>
      </w:r>
      <w:r w:rsidR="003A226B" w:rsidRPr="00DC53E5">
        <w:rPr>
          <w:rFonts w:ascii="Arial" w:hAnsi="Arial"/>
          <w:sz w:val="24"/>
          <w:lang w:val="fr-CA"/>
        </w:rPr>
        <w:t xml:space="preserve">sans délai </w:t>
      </w:r>
      <w:r w:rsidRPr="00DC53E5">
        <w:rPr>
          <w:rFonts w:ascii="Arial" w:hAnsi="Arial"/>
          <w:sz w:val="24"/>
          <w:lang w:val="fr-CA"/>
        </w:rPr>
        <w:t>le médecin traitant</w:t>
      </w:r>
      <w:r w:rsidRPr="00DC53E5">
        <w:rPr>
          <w:rFonts w:ascii="Arial" w:hAnsi="Arial"/>
          <w:sz w:val="24"/>
          <w:vertAlign w:val="superscript"/>
          <w:lang w:val="fr-CA"/>
        </w:rPr>
        <w:t>9.2</w:t>
      </w:r>
      <w:r w:rsidRPr="00DC53E5">
        <w:rPr>
          <w:rFonts w:ascii="Arial" w:hAnsi="Arial"/>
          <w:sz w:val="24"/>
          <w:lang w:val="fr-CA"/>
        </w:rPr>
        <w:t>.</w:t>
      </w:r>
    </w:p>
    <w:p w:rsidR="00C74999" w:rsidRPr="00DC53E5" w:rsidRDefault="00C74999">
      <w:pPr>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Signaler au fournisseur de sang toute réaction transfusionnelle cliniquement significative dans les délais prescrits pour en permettre le signalement à Santé Canada</w:t>
      </w:r>
      <w:r w:rsidR="009F54E0">
        <w:rPr>
          <w:rFonts w:ascii="Arial" w:hAnsi="Arial"/>
          <w:sz w:val="24"/>
          <w:lang w:val="fr-CA"/>
        </w:rPr>
        <w:t xml:space="preserve"> ou au fabricant</w:t>
      </w:r>
      <w:r w:rsidR="0036061A" w:rsidRPr="00DC53E5">
        <w:rPr>
          <w:rFonts w:ascii="Arial" w:hAnsi="Arial"/>
          <w:sz w:val="24"/>
          <w:lang w:val="fr-CA"/>
        </w:rPr>
        <w:t>,</w:t>
      </w:r>
      <w:r w:rsidRPr="00DC53E5">
        <w:rPr>
          <w:rFonts w:ascii="Arial" w:hAnsi="Arial"/>
          <w:sz w:val="24"/>
          <w:lang w:val="fr-CA"/>
        </w:rPr>
        <w:t xml:space="preserve"> le cas échéant</w:t>
      </w:r>
      <w:r w:rsidRPr="00DC53E5">
        <w:rPr>
          <w:rFonts w:ascii="Arial" w:hAnsi="Arial"/>
          <w:sz w:val="24"/>
          <w:vertAlign w:val="superscript"/>
          <w:lang w:val="fr-CA"/>
        </w:rPr>
        <w:t>9.1</w:t>
      </w:r>
      <w:r w:rsidRPr="00DC53E5">
        <w:rPr>
          <w:rFonts w:ascii="Arial" w:hAnsi="Arial"/>
          <w:sz w:val="24"/>
          <w:lang w:val="fr-CA"/>
        </w:rPr>
        <w:t>.</w:t>
      </w:r>
    </w:p>
    <w:p w:rsidR="00C74999" w:rsidRPr="00DC53E5" w:rsidRDefault="00C74999">
      <w:pPr>
        <w:rPr>
          <w:rFonts w:ascii="Arial" w:hAnsi="Arial"/>
          <w:sz w:val="24"/>
          <w:lang w:val="fr-CA"/>
        </w:rPr>
      </w:pPr>
    </w:p>
    <w:p w:rsidR="00C74999" w:rsidRPr="00DC53E5" w:rsidRDefault="00793235">
      <w:pPr>
        <w:numPr>
          <w:ilvl w:val="1"/>
          <w:numId w:val="1"/>
        </w:numPr>
        <w:rPr>
          <w:rFonts w:ascii="Arial" w:hAnsi="Arial"/>
          <w:sz w:val="24"/>
          <w:lang w:val="fr-CA"/>
        </w:rPr>
      </w:pPr>
      <w:r>
        <w:rPr>
          <w:rFonts w:ascii="Arial" w:hAnsi="Arial"/>
          <w:sz w:val="24"/>
          <w:lang w:val="fr-CA"/>
        </w:rPr>
        <w:t>T</w:t>
      </w:r>
      <w:r w:rsidR="0037302B">
        <w:rPr>
          <w:rFonts w:ascii="Arial" w:hAnsi="Arial"/>
          <w:sz w:val="24"/>
          <w:lang w:val="fr-CA"/>
        </w:rPr>
        <w:t>ou</w:t>
      </w:r>
      <w:r w:rsidR="005A53D5">
        <w:rPr>
          <w:rFonts w:ascii="Arial" w:hAnsi="Arial"/>
          <w:sz w:val="24"/>
          <w:lang w:val="fr-CA"/>
        </w:rPr>
        <w:t>t</w:t>
      </w:r>
      <w:r w:rsidR="0037302B">
        <w:rPr>
          <w:rFonts w:ascii="Arial" w:hAnsi="Arial"/>
          <w:sz w:val="24"/>
          <w:lang w:val="fr-CA"/>
        </w:rPr>
        <w:t xml:space="preserve"> </w:t>
      </w:r>
      <w:r w:rsidR="005A53D5">
        <w:rPr>
          <w:rFonts w:ascii="Arial" w:hAnsi="Arial"/>
          <w:sz w:val="24"/>
          <w:lang w:val="fr-CA"/>
        </w:rPr>
        <w:t xml:space="preserve">cas de maladie que l’on soupçonne </w:t>
      </w:r>
      <w:r w:rsidR="0065780B">
        <w:rPr>
          <w:rFonts w:ascii="Arial" w:hAnsi="Arial"/>
          <w:sz w:val="24"/>
          <w:lang w:val="fr-CA"/>
        </w:rPr>
        <w:t>avoir été transmise par un</w:t>
      </w:r>
      <w:r w:rsidR="005A53D5">
        <w:rPr>
          <w:rFonts w:ascii="Arial" w:hAnsi="Arial"/>
          <w:sz w:val="24"/>
          <w:lang w:val="fr-CA"/>
        </w:rPr>
        <w:t>e transfusion</w:t>
      </w:r>
      <w:r w:rsidR="00C74999" w:rsidRPr="00DC53E5">
        <w:rPr>
          <w:rFonts w:ascii="Arial" w:hAnsi="Arial"/>
          <w:sz w:val="24"/>
          <w:lang w:val="fr-CA"/>
        </w:rPr>
        <w:t xml:space="preserve"> doit être signalé au </w:t>
      </w:r>
      <w:r w:rsidR="009F54E0">
        <w:rPr>
          <w:rFonts w:ascii="Arial" w:hAnsi="Arial"/>
          <w:sz w:val="24"/>
          <w:lang w:val="fr-CA"/>
        </w:rPr>
        <w:t>LMT</w:t>
      </w:r>
      <w:r w:rsidR="0036061A" w:rsidRPr="00DC53E5">
        <w:rPr>
          <w:rFonts w:ascii="Arial" w:hAnsi="Arial"/>
          <w:sz w:val="24"/>
          <w:lang w:val="fr-CA"/>
        </w:rPr>
        <w:t xml:space="preserve"> </w:t>
      </w:r>
      <w:r w:rsidR="00C74999" w:rsidRPr="00DC53E5">
        <w:rPr>
          <w:rFonts w:ascii="Arial" w:hAnsi="Arial"/>
          <w:sz w:val="24"/>
          <w:lang w:val="fr-CA"/>
        </w:rPr>
        <w:t>de l’hôpital et au fournisseur de sang</w:t>
      </w:r>
      <w:r w:rsidR="009F54E0">
        <w:rPr>
          <w:rFonts w:ascii="Arial" w:hAnsi="Arial"/>
          <w:sz w:val="24"/>
          <w:lang w:val="fr-CA"/>
        </w:rPr>
        <w:t xml:space="preserve"> ou au fabricant du produit sanguin</w:t>
      </w:r>
      <w:r w:rsidR="00C74999" w:rsidRPr="00DC53E5">
        <w:rPr>
          <w:rFonts w:ascii="Arial" w:hAnsi="Arial"/>
          <w:sz w:val="24"/>
          <w:vertAlign w:val="superscript"/>
          <w:lang w:val="fr-CA"/>
        </w:rPr>
        <w:t>9.1</w:t>
      </w:r>
      <w:r w:rsidR="00C74999" w:rsidRPr="00DC53E5">
        <w:rPr>
          <w:rFonts w:ascii="Arial" w:hAnsi="Arial"/>
          <w:sz w:val="24"/>
          <w:lang w:val="fr-CA"/>
        </w:rPr>
        <w:t>.</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Il y aura en place un système p</w:t>
      </w:r>
      <w:r w:rsidR="0036061A" w:rsidRPr="00DC53E5">
        <w:rPr>
          <w:rFonts w:ascii="Arial" w:hAnsi="Arial"/>
          <w:sz w:val="24"/>
          <w:lang w:val="fr-CA"/>
        </w:rPr>
        <w:t>ermettant d’</w:t>
      </w:r>
      <w:r w:rsidRPr="00DC53E5">
        <w:rPr>
          <w:rFonts w:ascii="Arial" w:hAnsi="Arial"/>
          <w:sz w:val="24"/>
          <w:lang w:val="fr-CA"/>
        </w:rPr>
        <w:t xml:space="preserve">identifier tous les produits sanguins </w:t>
      </w:r>
      <w:r w:rsidR="005A53D5">
        <w:rPr>
          <w:rFonts w:ascii="Arial" w:hAnsi="Arial"/>
          <w:sz w:val="24"/>
          <w:lang w:val="fr-CA"/>
        </w:rPr>
        <w:t xml:space="preserve">en cause dans </w:t>
      </w:r>
      <w:r w:rsidR="00793235">
        <w:rPr>
          <w:rFonts w:ascii="Arial" w:hAnsi="Arial"/>
          <w:sz w:val="24"/>
          <w:lang w:val="fr-CA"/>
        </w:rPr>
        <w:t xml:space="preserve">les cas </w:t>
      </w:r>
      <w:r w:rsidR="0065780B">
        <w:rPr>
          <w:rFonts w:ascii="Arial" w:hAnsi="Arial"/>
          <w:sz w:val="24"/>
          <w:lang w:val="fr-CA"/>
        </w:rPr>
        <w:t xml:space="preserve">de maladies que l’on soupçonne avoir été transmises par </w:t>
      </w:r>
      <w:r w:rsidR="00793235">
        <w:rPr>
          <w:rFonts w:ascii="Arial" w:hAnsi="Arial"/>
          <w:sz w:val="24"/>
          <w:lang w:val="fr-CA"/>
        </w:rPr>
        <w:t>transfusion</w:t>
      </w:r>
      <w:r w:rsidRPr="00DC53E5">
        <w:rPr>
          <w:rFonts w:ascii="Arial" w:hAnsi="Arial"/>
          <w:sz w:val="24"/>
          <w:lang w:val="fr-CA"/>
        </w:rPr>
        <w:t xml:space="preserve">. Envoyer au fournisseur de sang </w:t>
      </w:r>
      <w:r w:rsidR="00793235">
        <w:rPr>
          <w:rFonts w:ascii="Arial" w:hAnsi="Arial"/>
          <w:sz w:val="24"/>
          <w:lang w:val="fr-CA"/>
        </w:rPr>
        <w:t>un</w:t>
      </w:r>
      <w:r w:rsidR="0065780B">
        <w:rPr>
          <w:rFonts w:ascii="Arial" w:hAnsi="Arial"/>
          <w:sz w:val="24"/>
          <w:lang w:val="fr-CA"/>
        </w:rPr>
        <w:t>e liste</w:t>
      </w:r>
      <w:r w:rsidRPr="00DC53E5">
        <w:rPr>
          <w:rFonts w:ascii="Arial" w:hAnsi="Arial"/>
          <w:sz w:val="24"/>
          <w:lang w:val="fr-CA"/>
        </w:rPr>
        <w:t xml:space="preserve"> de ces produits sanguins ainsi que leur numéro de série</w:t>
      </w:r>
      <w:r w:rsidRPr="00DC53E5">
        <w:rPr>
          <w:rFonts w:ascii="Arial" w:hAnsi="Arial"/>
          <w:sz w:val="24"/>
          <w:vertAlign w:val="superscript"/>
          <w:lang w:val="fr-CA"/>
        </w:rPr>
        <w:t>9.1</w:t>
      </w:r>
      <w:r w:rsidRPr="00DC53E5">
        <w:rPr>
          <w:rFonts w:ascii="Arial" w:hAnsi="Arial"/>
          <w:sz w:val="24"/>
          <w:lang w:val="fr-CA"/>
        </w:rPr>
        <w:t>.</w:t>
      </w:r>
    </w:p>
    <w:p w:rsidR="00C74999" w:rsidRPr="00DC53E5" w:rsidRDefault="00C74999">
      <w:pPr>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Les sacs vides de produit sanguin doivent être retournés au </w:t>
      </w:r>
      <w:r w:rsidR="00837A0F">
        <w:rPr>
          <w:rFonts w:ascii="Arial" w:hAnsi="Arial"/>
          <w:sz w:val="24"/>
          <w:lang w:val="fr-CA"/>
        </w:rPr>
        <w:t>LMT</w:t>
      </w:r>
      <w:r w:rsidRPr="00DC53E5">
        <w:rPr>
          <w:rFonts w:ascii="Arial" w:hAnsi="Arial"/>
          <w:sz w:val="24"/>
          <w:lang w:val="fr-CA"/>
        </w:rPr>
        <w:t xml:space="preserve"> d</w:t>
      </w:r>
      <w:r w:rsidR="0036061A" w:rsidRPr="00DC53E5">
        <w:rPr>
          <w:rFonts w:ascii="Arial" w:hAnsi="Arial"/>
          <w:sz w:val="24"/>
          <w:lang w:val="fr-CA"/>
        </w:rPr>
        <w:t>ans tous les cas de</w:t>
      </w:r>
      <w:r w:rsidRPr="00DC53E5">
        <w:rPr>
          <w:rFonts w:ascii="Arial" w:hAnsi="Arial"/>
          <w:sz w:val="24"/>
          <w:lang w:val="fr-CA"/>
        </w:rPr>
        <w:t xml:space="preserve"> réaction transfusionnelle signalée</w:t>
      </w:r>
      <w:r w:rsidR="00837A0F">
        <w:rPr>
          <w:rFonts w:ascii="Arial" w:hAnsi="Arial"/>
          <w:sz w:val="24"/>
          <w:lang w:val="fr-CA"/>
        </w:rPr>
        <w:t xml:space="preserve"> si le LMT les demande</w:t>
      </w:r>
      <w:r w:rsidRPr="00DC53E5">
        <w:rPr>
          <w:rFonts w:ascii="Arial" w:hAnsi="Arial"/>
          <w:sz w:val="24"/>
          <w:lang w:val="fr-CA"/>
        </w:rPr>
        <w:t>.</w:t>
      </w:r>
    </w:p>
    <w:p w:rsidR="00C74999" w:rsidRPr="00DC53E5" w:rsidRDefault="00C74999">
      <w:pPr>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Si une</w:t>
      </w:r>
      <w:r w:rsidR="0036061A" w:rsidRPr="00DC53E5">
        <w:rPr>
          <w:rFonts w:ascii="Arial" w:hAnsi="Arial"/>
          <w:sz w:val="24"/>
          <w:lang w:val="fr-CA"/>
        </w:rPr>
        <w:t xml:space="preserve"> </w:t>
      </w:r>
      <w:r w:rsidRPr="00DC53E5">
        <w:rPr>
          <w:rFonts w:ascii="Arial" w:hAnsi="Arial"/>
          <w:sz w:val="24"/>
          <w:lang w:val="fr-CA"/>
        </w:rPr>
        <w:t xml:space="preserve">erreur a entraîné l’identification incorrecte d’un patient ou d’un échantillon, ou si on découvre une erreur de laboratoire, chaque étape du processus sera vérifiée pour trouver la source de l’erreur et des mesures correctives seront </w:t>
      </w:r>
      <w:r w:rsidR="0036061A" w:rsidRPr="00DC53E5">
        <w:rPr>
          <w:rFonts w:ascii="Arial" w:hAnsi="Arial"/>
          <w:sz w:val="24"/>
          <w:lang w:val="fr-CA"/>
        </w:rPr>
        <w:t>mises en place</w:t>
      </w:r>
      <w:r w:rsidRPr="00DC53E5">
        <w:rPr>
          <w:rFonts w:ascii="Arial" w:hAnsi="Arial"/>
          <w:sz w:val="24"/>
          <w:lang w:val="fr-CA"/>
        </w:rPr>
        <w:t xml:space="preserve"> afin d’éviter que ce genre d’erreur ne se reproduise.</w:t>
      </w:r>
    </w:p>
    <w:p w:rsidR="00C74999" w:rsidRPr="00DC53E5" w:rsidRDefault="00C74999">
      <w:pPr>
        <w:rPr>
          <w:rFonts w:ascii="Arial" w:hAnsi="Arial"/>
          <w:sz w:val="24"/>
          <w:lang w:val="fr-CA"/>
        </w:rPr>
      </w:pPr>
    </w:p>
    <w:p w:rsidR="00C74999" w:rsidRPr="00DC53E5" w:rsidRDefault="00C74999">
      <w:pPr>
        <w:numPr>
          <w:ilvl w:val="0"/>
          <w:numId w:val="1"/>
        </w:numPr>
        <w:rPr>
          <w:rFonts w:ascii="Arial" w:hAnsi="Arial"/>
          <w:b/>
          <w:sz w:val="28"/>
          <w:lang w:val="fr-CA"/>
        </w:rPr>
      </w:pPr>
      <w:r w:rsidRPr="00DC53E5">
        <w:rPr>
          <w:rFonts w:ascii="Arial" w:hAnsi="Arial"/>
          <w:b/>
          <w:sz w:val="28"/>
          <w:lang w:val="fr-CA"/>
        </w:rPr>
        <w:t>Échantillons</w:t>
      </w:r>
    </w:p>
    <w:p w:rsidR="00C74999" w:rsidRPr="00DC53E5" w:rsidRDefault="00C74999">
      <w:pPr>
        <w:ind w:left="720"/>
        <w:rPr>
          <w:rFonts w:ascii="Arial" w:hAnsi="Arial"/>
          <w:sz w:val="24"/>
          <w:lang w:val="fr-CA"/>
        </w:rPr>
      </w:pPr>
    </w:p>
    <w:p w:rsidR="00C74999" w:rsidRPr="00DC53E5" w:rsidRDefault="00C74999">
      <w:pPr>
        <w:pStyle w:val="Heading1"/>
        <w:rPr>
          <w:rFonts w:cs="Arial"/>
          <w:lang w:val="fr-CA"/>
        </w:rPr>
      </w:pPr>
      <w:r w:rsidRPr="00DC53E5">
        <w:rPr>
          <w:lang w:val="fr-CA"/>
        </w:rPr>
        <w:t xml:space="preserve">Échantillon </w:t>
      </w:r>
      <w:r w:rsidRPr="00DC53E5">
        <w:rPr>
          <w:rFonts w:cs="Arial"/>
          <w:lang w:val="fr-CA"/>
        </w:rPr>
        <w:t xml:space="preserve">pré-transfusionnel </w:t>
      </w:r>
    </w:p>
    <w:p w:rsidR="00C74999" w:rsidRPr="00DC53E5" w:rsidRDefault="00C74999">
      <w:pPr>
        <w:ind w:left="720"/>
        <w:rPr>
          <w:rFonts w:ascii="Arial" w:hAnsi="Arial"/>
          <w:sz w:val="24"/>
          <w:lang w:val="fr-CA"/>
        </w:rPr>
      </w:pPr>
      <w:r w:rsidRPr="00DC53E5">
        <w:rPr>
          <w:rFonts w:ascii="Arial" w:hAnsi="Arial" w:cs="Arial"/>
          <w:sz w:val="24"/>
          <w:lang w:val="fr-CA"/>
        </w:rPr>
        <w:t>Échantillon post-transfusionnel</w:t>
      </w:r>
    </w:p>
    <w:p w:rsidR="00C74999" w:rsidRPr="00DC53E5" w:rsidRDefault="00C74999">
      <w:pPr>
        <w:ind w:left="720"/>
        <w:rPr>
          <w:rFonts w:ascii="Arial" w:hAnsi="Arial"/>
          <w:sz w:val="24"/>
          <w:lang w:val="fr-CA"/>
        </w:rPr>
      </w:pPr>
      <w:r w:rsidRPr="00DC53E5">
        <w:rPr>
          <w:rFonts w:ascii="Arial" w:hAnsi="Arial"/>
          <w:sz w:val="24"/>
          <w:lang w:val="fr-CA"/>
        </w:rPr>
        <w:t xml:space="preserve">Restant de l’unité (ou sac vide) </w:t>
      </w:r>
      <w:r w:rsidR="0036061A" w:rsidRPr="00DC53E5">
        <w:rPr>
          <w:rFonts w:ascii="Arial" w:hAnsi="Arial"/>
          <w:sz w:val="24"/>
          <w:lang w:val="fr-CA"/>
        </w:rPr>
        <w:t xml:space="preserve">associée à </w:t>
      </w:r>
      <w:r w:rsidRPr="00DC53E5">
        <w:rPr>
          <w:rFonts w:ascii="Arial" w:hAnsi="Arial"/>
          <w:sz w:val="24"/>
          <w:lang w:val="fr-CA"/>
        </w:rPr>
        <w:t xml:space="preserve">la complication, si </w:t>
      </w:r>
      <w:r w:rsidR="0036061A" w:rsidRPr="00DC53E5">
        <w:rPr>
          <w:rFonts w:ascii="Arial" w:hAnsi="Arial"/>
          <w:sz w:val="24"/>
          <w:lang w:val="fr-CA"/>
        </w:rPr>
        <w:t>possible</w:t>
      </w:r>
      <w:r w:rsidRPr="00DC53E5">
        <w:rPr>
          <w:rFonts w:ascii="Arial" w:hAnsi="Arial"/>
          <w:sz w:val="24"/>
          <w:lang w:val="fr-CA"/>
        </w:rPr>
        <w:t xml:space="preserve"> </w:t>
      </w:r>
    </w:p>
    <w:p w:rsidR="00C74999" w:rsidRPr="00DC53E5" w:rsidRDefault="00C74999">
      <w:pPr>
        <w:ind w:left="720"/>
        <w:rPr>
          <w:rFonts w:ascii="Arial" w:hAnsi="Arial"/>
          <w:sz w:val="24"/>
          <w:lang w:val="fr-CA"/>
        </w:rPr>
      </w:pPr>
      <w:r w:rsidRPr="00DC53E5">
        <w:rPr>
          <w:rFonts w:ascii="Arial" w:hAnsi="Arial"/>
          <w:sz w:val="24"/>
          <w:lang w:val="fr-CA"/>
        </w:rPr>
        <w:t xml:space="preserve">Tubulure de transfusion, si </w:t>
      </w:r>
      <w:r w:rsidR="0036061A" w:rsidRPr="00DC53E5">
        <w:rPr>
          <w:rFonts w:ascii="Arial" w:hAnsi="Arial"/>
          <w:sz w:val="24"/>
          <w:lang w:val="fr-CA"/>
        </w:rPr>
        <w:t>possible</w:t>
      </w:r>
      <w:r w:rsidRPr="00DC53E5">
        <w:rPr>
          <w:rFonts w:ascii="Arial" w:hAnsi="Arial"/>
          <w:sz w:val="24"/>
          <w:lang w:val="fr-CA"/>
        </w:rPr>
        <w:t xml:space="preserve"> </w:t>
      </w:r>
    </w:p>
    <w:p w:rsidR="00C74999" w:rsidRPr="00DC53E5" w:rsidRDefault="00C74999">
      <w:pPr>
        <w:ind w:left="720"/>
        <w:rPr>
          <w:rFonts w:ascii="Arial" w:hAnsi="Arial"/>
          <w:sz w:val="24"/>
          <w:lang w:val="fr-CA"/>
        </w:rPr>
      </w:pPr>
      <w:r w:rsidRPr="00DC53E5">
        <w:rPr>
          <w:rFonts w:ascii="Arial" w:hAnsi="Arial"/>
          <w:sz w:val="24"/>
          <w:lang w:val="fr-CA"/>
        </w:rPr>
        <w:t>Échantillon d’urine post-transfusionnel (si indiqué)</w:t>
      </w:r>
    </w:p>
    <w:p w:rsidR="00C74999" w:rsidRPr="00DC53E5" w:rsidRDefault="00C74999">
      <w:pPr>
        <w:ind w:left="720"/>
        <w:rPr>
          <w:rFonts w:ascii="Arial" w:hAnsi="Arial"/>
          <w:lang w:val="fr-CA"/>
        </w:rPr>
      </w:pPr>
    </w:p>
    <w:p w:rsidR="00C74999" w:rsidRPr="00DC53E5" w:rsidRDefault="00C74999">
      <w:pPr>
        <w:numPr>
          <w:ilvl w:val="0"/>
          <w:numId w:val="1"/>
        </w:numPr>
        <w:rPr>
          <w:rFonts w:ascii="Arial" w:hAnsi="Arial"/>
          <w:b/>
          <w:sz w:val="28"/>
          <w:lang w:val="fr-CA"/>
        </w:rPr>
      </w:pPr>
      <w:r w:rsidRPr="00DC53E5">
        <w:rPr>
          <w:rFonts w:ascii="Arial" w:hAnsi="Arial"/>
          <w:b/>
          <w:sz w:val="28"/>
          <w:lang w:val="fr-CA"/>
        </w:rPr>
        <w:t>Matériel</w:t>
      </w:r>
    </w:p>
    <w:p w:rsidR="00C74999" w:rsidRPr="00DC53E5" w:rsidRDefault="00C74999">
      <w:pPr>
        <w:rPr>
          <w:rFonts w:ascii="Arial" w:hAnsi="Arial"/>
          <w:b/>
          <w:lang w:val="fr-CA"/>
        </w:rPr>
      </w:pPr>
    </w:p>
    <w:p w:rsidR="00C74999" w:rsidRPr="00DC53E5" w:rsidRDefault="00C74999">
      <w:pPr>
        <w:pStyle w:val="Heading1"/>
        <w:rPr>
          <w:lang w:val="fr-CA"/>
        </w:rPr>
      </w:pPr>
      <w:r w:rsidRPr="00DC53E5">
        <w:rPr>
          <w:b/>
          <w:bCs/>
          <w:lang w:val="fr-CA"/>
        </w:rPr>
        <w:t>Fournitures :</w:t>
      </w:r>
      <w:r w:rsidRPr="00DC53E5">
        <w:rPr>
          <w:lang w:val="fr-CA"/>
        </w:rPr>
        <w:tab/>
        <w:t xml:space="preserve">avis de réaction transfusionnelle </w:t>
      </w:r>
      <w:r w:rsidR="00837A0F">
        <w:rPr>
          <w:lang w:val="fr-CA"/>
        </w:rPr>
        <w:t>de Santé Canada</w:t>
      </w:r>
    </w:p>
    <w:p w:rsidR="00C74999" w:rsidRPr="00DC53E5" w:rsidRDefault="00C74999">
      <w:pPr>
        <w:ind w:left="2880"/>
        <w:rPr>
          <w:rFonts w:ascii="Arial" w:hAnsi="Arial"/>
          <w:sz w:val="24"/>
          <w:lang w:val="fr-CA"/>
        </w:rPr>
      </w:pPr>
      <w:r w:rsidRPr="00DC53E5">
        <w:rPr>
          <w:rFonts w:ascii="Arial" w:hAnsi="Arial"/>
          <w:sz w:val="24"/>
          <w:lang w:val="fr-CA"/>
        </w:rPr>
        <w:t xml:space="preserve">feuille de travail ou formulaire de demande utilisé pour les épreuves de compatibilité croisée </w:t>
      </w:r>
    </w:p>
    <w:p w:rsidR="00C74999" w:rsidRPr="00DC53E5" w:rsidRDefault="00C74999">
      <w:pPr>
        <w:ind w:left="1440" w:firstLine="720"/>
        <w:rPr>
          <w:rFonts w:ascii="Arial" w:hAnsi="Arial"/>
          <w:sz w:val="24"/>
          <w:lang w:val="fr-CA"/>
        </w:rPr>
      </w:pPr>
    </w:p>
    <w:p w:rsidR="00C74999" w:rsidRPr="00DC53E5" w:rsidRDefault="00C74999">
      <w:pPr>
        <w:numPr>
          <w:ilvl w:val="0"/>
          <w:numId w:val="1"/>
        </w:numPr>
        <w:rPr>
          <w:rFonts w:ascii="Arial" w:hAnsi="Arial"/>
          <w:b/>
          <w:sz w:val="28"/>
          <w:lang w:val="fr-CA"/>
        </w:rPr>
      </w:pPr>
      <w:r w:rsidRPr="00DC53E5">
        <w:rPr>
          <w:rFonts w:ascii="Arial" w:hAnsi="Arial"/>
          <w:b/>
          <w:sz w:val="28"/>
          <w:lang w:val="fr-CA"/>
        </w:rPr>
        <w:t xml:space="preserve">Contrôle de la qualité </w:t>
      </w:r>
    </w:p>
    <w:p w:rsidR="00C74999" w:rsidRPr="00DC53E5" w:rsidRDefault="00C74999">
      <w:pPr>
        <w:rPr>
          <w:rFonts w:ascii="Arial" w:hAnsi="Arial"/>
          <w:b/>
          <w:sz w:val="24"/>
          <w:lang w:val="fr-CA"/>
        </w:rPr>
      </w:pPr>
    </w:p>
    <w:p w:rsidR="00C74999" w:rsidRDefault="00C74999" w:rsidP="00837A0F">
      <w:pPr>
        <w:pStyle w:val="BodyTextIndent"/>
        <w:numPr>
          <w:ilvl w:val="1"/>
          <w:numId w:val="1"/>
        </w:numPr>
        <w:rPr>
          <w:lang w:val="fr-CA"/>
        </w:rPr>
      </w:pPr>
      <w:r w:rsidRPr="00837A0F">
        <w:rPr>
          <w:lang w:val="fr-CA"/>
        </w:rPr>
        <w:t xml:space="preserve">Si on soupçonne une réaction transfusionnelle hémolytique, il faut interrompre la transfusion et </w:t>
      </w:r>
      <w:r w:rsidR="00837A0F" w:rsidRPr="00837A0F">
        <w:rPr>
          <w:lang w:val="fr-CA"/>
        </w:rPr>
        <w:t>procéder à une vérification de l’identité du patient et du produit sanguin pour voir s’il y a eu une erreur.</w:t>
      </w:r>
      <w:r w:rsidR="00837A0F">
        <w:rPr>
          <w:lang w:val="fr-CA"/>
        </w:rPr>
        <w:br/>
      </w:r>
    </w:p>
    <w:p w:rsidR="00837A0F" w:rsidRPr="00837A0F" w:rsidRDefault="00837A0F" w:rsidP="00837A0F">
      <w:pPr>
        <w:pStyle w:val="BodyTextIndent"/>
        <w:numPr>
          <w:ilvl w:val="1"/>
          <w:numId w:val="1"/>
        </w:numPr>
        <w:rPr>
          <w:lang w:val="fr-CA"/>
        </w:rPr>
      </w:pPr>
      <w:r>
        <w:rPr>
          <w:lang w:val="fr-CA"/>
        </w:rPr>
        <w:t xml:space="preserve">Toutes les réactions indésirables et tous les incidents doivent être </w:t>
      </w:r>
      <w:r w:rsidR="009F54E0">
        <w:rPr>
          <w:lang w:val="fr-CA"/>
        </w:rPr>
        <w:t xml:space="preserve">investigués </w:t>
      </w:r>
      <w:r w:rsidR="003F23F2">
        <w:rPr>
          <w:lang w:val="fr-CA"/>
        </w:rPr>
        <w:t xml:space="preserve">et </w:t>
      </w:r>
      <w:r>
        <w:rPr>
          <w:lang w:val="fr-CA"/>
        </w:rPr>
        <w:t>documentés</w:t>
      </w:r>
      <w:r w:rsidR="003F23F2">
        <w:rPr>
          <w:lang w:val="fr-CA"/>
        </w:rPr>
        <w:t xml:space="preserve">; </w:t>
      </w:r>
      <w:r>
        <w:rPr>
          <w:lang w:val="fr-CA"/>
        </w:rPr>
        <w:t>des mesures correctives doivent être prises, le cas échéant.</w:t>
      </w:r>
    </w:p>
    <w:p w:rsidR="00C74999" w:rsidRPr="00DC53E5" w:rsidRDefault="00C74999">
      <w:pPr>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Bien qu’il soit impossible d’investiguer tous les types de réactions transfusionnelles en laboratoire, une liste exhaustive de signes et de symptômes associés aux types </w:t>
      </w:r>
      <w:r w:rsidR="0036061A" w:rsidRPr="00DC53E5">
        <w:rPr>
          <w:rFonts w:ascii="Arial" w:hAnsi="Arial"/>
          <w:sz w:val="24"/>
          <w:lang w:val="fr-CA"/>
        </w:rPr>
        <w:t>de</w:t>
      </w:r>
      <w:r w:rsidRPr="00DC53E5">
        <w:rPr>
          <w:rFonts w:ascii="Arial" w:hAnsi="Arial"/>
          <w:sz w:val="24"/>
          <w:lang w:val="fr-CA"/>
        </w:rPr>
        <w:t xml:space="preserve"> réactions transfusionnelles peut grandement aider le personnel à déterminer la cause d’un </w:t>
      </w:r>
      <w:r w:rsidR="0036061A" w:rsidRPr="00DC53E5">
        <w:rPr>
          <w:rFonts w:ascii="Arial" w:hAnsi="Arial"/>
          <w:sz w:val="24"/>
          <w:lang w:val="fr-CA"/>
        </w:rPr>
        <w:t>problème</w:t>
      </w:r>
      <w:r w:rsidRPr="00DC53E5">
        <w:rPr>
          <w:rFonts w:ascii="Arial" w:hAnsi="Arial"/>
          <w:sz w:val="24"/>
          <w:lang w:val="fr-CA"/>
        </w:rPr>
        <w:t xml:space="preserve"> transfusionnel. Voir Remarque 8.</w:t>
      </w:r>
      <w:r w:rsidR="00837A0F">
        <w:rPr>
          <w:rFonts w:ascii="Arial" w:hAnsi="Arial"/>
          <w:sz w:val="24"/>
          <w:lang w:val="fr-CA"/>
        </w:rPr>
        <w:t>8</w:t>
      </w:r>
      <w:r w:rsidRPr="00DC53E5">
        <w:rPr>
          <w:rFonts w:ascii="Arial" w:hAnsi="Arial"/>
          <w:sz w:val="24"/>
          <w:lang w:val="fr-CA"/>
        </w:rPr>
        <w:t>.</w:t>
      </w:r>
    </w:p>
    <w:p w:rsidR="00C74999" w:rsidRPr="00DC53E5" w:rsidRDefault="00C74999">
      <w:pPr>
        <w:ind w:left="720"/>
        <w:rPr>
          <w:rFonts w:ascii="Arial" w:hAnsi="Arial"/>
          <w:sz w:val="24"/>
          <w:lang w:val="fr-CA"/>
        </w:rPr>
      </w:pPr>
    </w:p>
    <w:p w:rsidR="00C74999" w:rsidRPr="00DC53E5" w:rsidRDefault="003F23F2">
      <w:pPr>
        <w:jc w:val="center"/>
        <w:rPr>
          <w:rFonts w:ascii="Arial" w:hAnsi="Arial"/>
          <w:lang w:val="fr-CA"/>
        </w:rPr>
      </w:pPr>
      <w:r>
        <w:rPr>
          <w:rFonts w:ascii="Arial" w:hAnsi="Arial"/>
          <w:b/>
          <w:lang w:val="fr-CA"/>
        </w:rPr>
        <w:br w:type="page"/>
      </w:r>
      <w:r w:rsidR="00C74999" w:rsidRPr="00DC53E5">
        <w:rPr>
          <w:rFonts w:ascii="Arial" w:hAnsi="Arial"/>
          <w:b/>
          <w:lang w:val="fr-CA"/>
        </w:rPr>
        <w:t xml:space="preserve">CATÉGORIES DE RÉACTIONS TRANSFUSIONNELLES </w:t>
      </w:r>
      <w:r w:rsidR="0036061A" w:rsidRPr="00DC53E5">
        <w:rPr>
          <w:rFonts w:ascii="Arial" w:hAnsi="Arial"/>
          <w:b/>
          <w:lang w:val="fr-CA"/>
        </w:rPr>
        <w:t xml:space="preserve">SERVANT À </w:t>
      </w:r>
      <w:r w:rsidR="00C74999" w:rsidRPr="00DC53E5">
        <w:rPr>
          <w:rFonts w:ascii="Arial" w:hAnsi="Arial"/>
          <w:b/>
          <w:lang w:val="fr-CA"/>
        </w:rPr>
        <w:t>DÉTERMINER LE PROTOCOLE D’</w:t>
      </w:r>
      <w:r w:rsidR="0036061A" w:rsidRPr="00DC53E5">
        <w:rPr>
          <w:rFonts w:ascii="Arial" w:hAnsi="Arial"/>
          <w:b/>
          <w:lang w:val="fr-CA"/>
        </w:rPr>
        <w:t>ANALYSE</w:t>
      </w:r>
      <w:r w:rsidR="00C74999" w:rsidRPr="00DC53E5">
        <w:rPr>
          <w:rFonts w:ascii="Arial" w:hAnsi="Arial"/>
          <w:b/>
          <w:lang w:val="fr-CA"/>
        </w:rPr>
        <w:t xml:space="preserve"> </w:t>
      </w:r>
    </w:p>
    <w:p w:rsidR="00C74999" w:rsidRPr="00DC53E5" w:rsidRDefault="00C74999">
      <w:pPr>
        <w:rPr>
          <w:rFonts w:ascii="Arial" w:hAnsi="Arial"/>
          <w:lang w:val="fr-CA"/>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861"/>
      </w:tblGrid>
      <w:tr w:rsidR="00C74999" w:rsidRPr="00DC53E5">
        <w:trPr>
          <w:jc w:val="center"/>
        </w:trPr>
        <w:tc>
          <w:tcPr>
            <w:tcW w:w="2178" w:type="dxa"/>
            <w:shd w:val="pct20" w:color="auto" w:fill="FFFFFF"/>
          </w:tcPr>
          <w:p w:rsidR="00C74999" w:rsidRPr="00DC53E5" w:rsidRDefault="00C74999">
            <w:pPr>
              <w:jc w:val="center"/>
              <w:rPr>
                <w:rFonts w:ascii="Arial" w:hAnsi="Arial"/>
                <w:b/>
                <w:lang w:val="fr-CA"/>
              </w:rPr>
            </w:pPr>
            <w:r w:rsidRPr="00DC53E5">
              <w:rPr>
                <w:rFonts w:ascii="Arial" w:hAnsi="Arial"/>
                <w:b/>
                <w:lang w:val="fr-CA"/>
              </w:rPr>
              <w:t xml:space="preserve">CATÉGORIE </w:t>
            </w:r>
          </w:p>
        </w:tc>
        <w:tc>
          <w:tcPr>
            <w:tcW w:w="6861" w:type="dxa"/>
            <w:shd w:val="pct20" w:color="auto" w:fill="FFFFFF"/>
          </w:tcPr>
          <w:p w:rsidR="00C74999" w:rsidRPr="00DC53E5" w:rsidRDefault="00C74999">
            <w:pPr>
              <w:jc w:val="center"/>
              <w:rPr>
                <w:rFonts w:ascii="Arial" w:hAnsi="Arial"/>
                <w:b/>
                <w:lang w:val="fr-CA"/>
              </w:rPr>
            </w:pPr>
            <w:r w:rsidRPr="00DC53E5">
              <w:rPr>
                <w:rFonts w:ascii="Arial" w:hAnsi="Arial"/>
                <w:b/>
                <w:lang w:val="fr-CA"/>
              </w:rPr>
              <w:t>TYPE DE RÉACTION ET PROTOCOLE D’</w:t>
            </w:r>
            <w:r w:rsidR="0036061A" w:rsidRPr="00DC53E5">
              <w:rPr>
                <w:rFonts w:ascii="Arial" w:hAnsi="Arial"/>
                <w:b/>
                <w:lang w:val="fr-CA"/>
              </w:rPr>
              <w:t>ANALYSE</w:t>
            </w:r>
            <w:r w:rsidRPr="00DC53E5">
              <w:rPr>
                <w:rFonts w:ascii="Arial" w:hAnsi="Arial"/>
                <w:b/>
                <w:lang w:val="fr-CA"/>
              </w:rPr>
              <w:t xml:space="preserve"> </w:t>
            </w:r>
          </w:p>
        </w:tc>
      </w:tr>
      <w:tr w:rsidR="00C74999" w:rsidRPr="00DC53E5">
        <w:trPr>
          <w:jc w:val="center"/>
        </w:trPr>
        <w:tc>
          <w:tcPr>
            <w:tcW w:w="2178" w:type="dxa"/>
          </w:tcPr>
          <w:p w:rsidR="009E2294" w:rsidRDefault="009E2294">
            <w:pPr>
              <w:jc w:val="center"/>
              <w:rPr>
                <w:rFonts w:ascii="Arial" w:hAnsi="Arial"/>
                <w:lang w:val="fr-CA"/>
              </w:rPr>
            </w:pPr>
          </w:p>
          <w:p w:rsidR="00644568" w:rsidRDefault="00644568">
            <w:pPr>
              <w:jc w:val="center"/>
              <w:rPr>
                <w:rFonts w:ascii="Arial" w:hAnsi="Arial"/>
                <w:lang w:val="fr-CA"/>
              </w:rPr>
            </w:pPr>
            <w:r>
              <w:rPr>
                <w:rFonts w:ascii="Arial" w:hAnsi="Arial"/>
                <w:lang w:val="fr-CA"/>
              </w:rPr>
              <w:t>PRODUIT</w:t>
            </w:r>
          </w:p>
          <w:p w:rsidR="00C74999" w:rsidRPr="00DC53E5" w:rsidRDefault="004D20AF">
            <w:pPr>
              <w:jc w:val="center"/>
              <w:rPr>
                <w:rFonts w:ascii="Arial" w:hAnsi="Arial"/>
                <w:lang w:val="fr-CA"/>
              </w:rPr>
            </w:pPr>
            <w:r>
              <w:rPr>
                <w:rFonts w:ascii="Arial" w:hAnsi="Arial"/>
                <w:lang w:val="fr-CA"/>
              </w:rPr>
              <w:t>Plaquettes ou plasma</w:t>
            </w:r>
          </w:p>
          <w:p w:rsidR="00C74999" w:rsidRPr="00DC53E5" w:rsidRDefault="00C74999">
            <w:pPr>
              <w:jc w:val="center"/>
              <w:rPr>
                <w:rFonts w:ascii="Arial" w:hAnsi="Arial"/>
                <w:lang w:val="fr-CA"/>
              </w:rPr>
            </w:pPr>
          </w:p>
        </w:tc>
        <w:tc>
          <w:tcPr>
            <w:tcW w:w="6861" w:type="dxa"/>
          </w:tcPr>
          <w:p w:rsidR="00C74999" w:rsidRPr="00DC53E5" w:rsidRDefault="00C74999">
            <w:pPr>
              <w:rPr>
                <w:rFonts w:ascii="Arial" w:hAnsi="Arial"/>
                <w:lang w:val="fr-CA"/>
              </w:rPr>
            </w:pPr>
          </w:p>
          <w:p w:rsidR="00C74999" w:rsidRPr="00DC53E5" w:rsidRDefault="001E4822">
            <w:pPr>
              <w:rPr>
                <w:rFonts w:ascii="Arial" w:hAnsi="Arial"/>
                <w:lang w:val="fr-CA"/>
              </w:rPr>
            </w:pPr>
            <w:r>
              <w:rPr>
                <w:rFonts w:ascii="Arial" w:hAnsi="Arial"/>
                <w:lang w:val="fr-CA"/>
              </w:rPr>
              <w:t>Faire e</w:t>
            </w:r>
            <w:r w:rsidR="00C74999" w:rsidRPr="00DC53E5">
              <w:rPr>
                <w:rFonts w:ascii="Arial" w:hAnsi="Arial"/>
                <w:lang w:val="fr-CA"/>
              </w:rPr>
              <w:t xml:space="preserve">xamen visuel et </w:t>
            </w:r>
            <w:r w:rsidR="0036061A" w:rsidRPr="00DC53E5">
              <w:rPr>
                <w:rFonts w:ascii="Arial" w:hAnsi="Arial"/>
                <w:lang w:val="fr-CA"/>
              </w:rPr>
              <w:t>vérification de la documentation</w:t>
            </w:r>
            <w:r w:rsidR="004D20AF">
              <w:rPr>
                <w:rFonts w:ascii="Arial" w:hAnsi="Arial"/>
                <w:lang w:val="fr-CA"/>
              </w:rPr>
              <w:t xml:space="preserve"> si la réaction est bénigne</w:t>
            </w:r>
            <w:r w:rsidR="00C74999" w:rsidRPr="00DC53E5">
              <w:rPr>
                <w:rFonts w:ascii="Arial" w:hAnsi="Arial"/>
                <w:lang w:val="fr-CA"/>
              </w:rPr>
              <w:t xml:space="preserve"> </w:t>
            </w:r>
          </w:p>
          <w:p w:rsidR="00C74999" w:rsidRPr="00FC477B" w:rsidRDefault="004D20AF">
            <w:pPr>
              <w:rPr>
                <w:rFonts w:ascii="Arial" w:hAnsi="Arial"/>
                <w:lang w:val="fr-CA"/>
              </w:rPr>
            </w:pPr>
            <w:r w:rsidRPr="00FC477B">
              <w:rPr>
                <w:rFonts w:ascii="Arial" w:hAnsi="Arial"/>
                <w:lang w:val="fr-CA"/>
              </w:rPr>
              <w:t>En cas d’anaphylaxie, taux d’IgA et d’anticorps peuvent être requis</w:t>
            </w:r>
          </w:p>
          <w:p w:rsidR="004D20AF" w:rsidRPr="00DC53E5" w:rsidRDefault="004D20AF">
            <w:pPr>
              <w:rPr>
                <w:rFonts w:ascii="Arial" w:hAnsi="Arial"/>
                <w:lang w:val="fr-CA"/>
              </w:rPr>
            </w:pPr>
            <w:r w:rsidRPr="00FC477B">
              <w:rPr>
                <w:rFonts w:ascii="Arial" w:hAnsi="Arial"/>
                <w:lang w:val="fr-CA"/>
              </w:rPr>
              <w:t xml:space="preserve">Si la réaction est compatible avec un </w:t>
            </w:r>
            <w:r w:rsidR="00FC477B" w:rsidRPr="00FC477B">
              <w:rPr>
                <w:rFonts w:ascii="Arial" w:hAnsi="Arial"/>
                <w:lang w:val="fr-CA"/>
              </w:rPr>
              <w:t xml:space="preserve">syndrome respiratoire </w:t>
            </w:r>
            <w:r w:rsidRPr="00FC477B">
              <w:rPr>
                <w:rFonts w:ascii="Arial" w:hAnsi="Arial"/>
                <w:lang w:val="fr-CA"/>
              </w:rPr>
              <w:t>aig</w:t>
            </w:r>
            <w:r w:rsidR="00FC477B" w:rsidRPr="00FC477B">
              <w:rPr>
                <w:rFonts w:ascii="Arial" w:hAnsi="Arial"/>
                <w:lang w:val="fr-CA"/>
              </w:rPr>
              <w:t>u post-</w:t>
            </w:r>
            <w:r w:rsidRPr="00FC477B">
              <w:rPr>
                <w:rFonts w:ascii="Arial" w:hAnsi="Arial"/>
                <w:lang w:val="fr-CA"/>
              </w:rPr>
              <w:t>transfusion</w:t>
            </w:r>
            <w:r w:rsidR="00FC477B" w:rsidRPr="00FC477B">
              <w:rPr>
                <w:rFonts w:ascii="Arial" w:hAnsi="Arial"/>
                <w:lang w:val="fr-CA"/>
              </w:rPr>
              <w:t>nel</w:t>
            </w:r>
            <w:r w:rsidRPr="00FC477B">
              <w:rPr>
                <w:rFonts w:ascii="Arial" w:hAnsi="Arial"/>
                <w:lang w:val="fr-CA"/>
              </w:rPr>
              <w:t>, une recherche d’HLA peut être nécessaire</w:t>
            </w:r>
          </w:p>
          <w:p w:rsidR="00C74999" w:rsidRPr="00DC53E5" w:rsidRDefault="00C74999">
            <w:pPr>
              <w:rPr>
                <w:rFonts w:ascii="Arial" w:hAnsi="Arial"/>
                <w:lang w:val="fr-CA"/>
              </w:rPr>
            </w:pPr>
          </w:p>
        </w:tc>
      </w:tr>
      <w:tr w:rsidR="00C74999" w:rsidRPr="00DC53E5">
        <w:trPr>
          <w:jc w:val="center"/>
        </w:trPr>
        <w:tc>
          <w:tcPr>
            <w:tcW w:w="2178" w:type="dxa"/>
          </w:tcPr>
          <w:p w:rsidR="009E2294" w:rsidRDefault="009E2294">
            <w:pPr>
              <w:jc w:val="center"/>
              <w:rPr>
                <w:rFonts w:ascii="Arial" w:hAnsi="Arial"/>
                <w:highlight w:val="red"/>
                <w:lang w:val="fr-CA"/>
              </w:rPr>
            </w:pPr>
          </w:p>
          <w:p w:rsidR="00C74999" w:rsidRPr="00DC53E5" w:rsidRDefault="00644568">
            <w:pPr>
              <w:jc w:val="center"/>
              <w:rPr>
                <w:rFonts w:ascii="Arial" w:hAnsi="Arial"/>
                <w:lang w:val="fr-CA"/>
              </w:rPr>
            </w:pPr>
            <w:r>
              <w:rPr>
                <w:rFonts w:ascii="Arial" w:hAnsi="Arial"/>
                <w:lang w:val="fr-CA"/>
              </w:rPr>
              <w:t>MODÉRÉE</w:t>
            </w:r>
          </w:p>
          <w:p w:rsidR="00C74999" w:rsidRPr="00DC53E5" w:rsidRDefault="004D20AF" w:rsidP="004D20AF">
            <w:pPr>
              <w:pStyle w:val="Header"/>
              <w:tabs>
                <w:tab w:val="clear" w:pos="4320"/>
                <w:tab w:val="clear" w:pos="8640"/>
              </w:tabs>
              <w:rPr>
                <w:rFonts w:ascii="Arial" w:hAnsi="Arial"/>
                <w:lang w:val="fr-CA"/>
              </w:rPr>
            </w:pPr>
            <w:r>
              <w:rPr>
                <w:rFonts w:ascii="Arial" w:hAnsi="Arial"/>
                <w:lang w:val="fr-CA"/>
              </w:rPr>
              <w:t>Pour g</w:t>
            </w:r>
            <w:r w:rsidRPr="00DC53E5">
              <w:rPr>
                <w:rFonts w:ascii="Arial" w:hAnsi="Arial"/>
                <w:lang w:val="fr-CA"/>
              </w:rPr>
              <w:t xml:space="preserve">lobules rouges seulement : frissons, fébrilité, </w:t>
            </w:r>
            <w:r>
              <w:rPr>
                <w:rFonts w:ascii="Arial" w:hAnsi="Arial"/>
                <w:lang w:val="fr-CA"/>
              </w:rPr>
              <w:t>réaction allergique</w:t>
            </w:r>
            <w:r w:rsidRPr="00DC53E5">
              <w:rPr>
                <w:rFonts w:ascii="Arial" w:hAnsi="Arial"/>
                <w:lang w:val="fr-CA"/>
              </w:rPr>
              <w:t xml:space="preserve"> – légère à modéré</w:t>
            </w:r>
            <w:r>
              <w:rPr>
                <w:rFonts w:ascii="Arial" w:hAnsi="Arial"/>
                <w:lang w:val="fr-CA"/>
              </w:rPr>
              <w:t>e</w:t>
            </w:r>
            <w:r w:rsidRPr="00DC53E5">
              <w:rPr>
                <w:rFonts w:ascii="Arial" w:hAnsi="Arial"/>
                <w:lang w:val="fr-CA"/>
              </w:rPr>
              <w:t xml:space="preserve"> </w:t>
            </w:r>
          </w:p>
        </w:tc>
        <w:tc>
          <w:tcPr>
            <w:tcW w:w="6861" w:type="dxa"/>
          </w:tcPr>
          <w:p w:rsidR="00C74999" w:rsidRPr="00DC53E5" w:rsidRDefault="00C74999">
            <w:pPr>
              <w:rPr>
                <w:rFonts w:ascii="Arial" w:hAnsi="Arial"/>
                <w:lang w:val="fr-CA"/>
              </w:rPr>
            </w:pPr>
          </w:p>
          <w:p w:rsidR="00C74999" w:rsidRPr="00DC53E5" w:rsidRDefault="009E2294">
            <w:pPr>
              <w:rPr>
                <w:rFonts w:ascii="Arial" w:hAnsi="Arial"/>
                <w:lang w:val="fr-CA"/>
              </w:rPr>
            </w:pPr>
            <w:r>
              <w:rPr>
                <w:rFonts w:ascii="Arial" w:hAnsi="Arial"/>
                <w:lang w:val="fr-CA"/>
              </w:rPr>
              <w:t xml:space="preserve">Faire </w:t>
            </w:r>
            <w:r w:rsidR="00C74999" w:rsidRPr="00DC53E5">
              <w:rPr>
                <w:rFonts w:ascii="Arial" w:hAnsi="Arial"/>
                <w:lang w:val="fr-CA"/>
              </w:rPr>
              <w:t xml:space="preserve">TDA, ABO, Rh et dépistage d’anticorps des échantillons pré- et post-transfusionnels </w:t>
            </w:r>
          </w:p>
          <w:p w:rsidR="00C74999" w:rsidRPr="00DC53E5" w:rsidRDefault="00C74999">
            <w:pPr>
              <w:rPr>
                <w:rFonts w:ascii="Arial" w:hAnsi="Arial"/>
                <w:lang w:val="fr-CA"/>
              </w:rPr>
            </w:pPr>
          </w:p>
        </w:tc>
      </w:tr>
      <w:tr w:rsidR="00C74999" w:rsidRPr="00DC53E5">
        <w:trPr>
          <w:jc w:val="center"/>
        </w:trPr>
        <w:tc>
          <w:tcPr>
            <w:tcW w:w="2178" w:type="dxa"/>
          </w:tcPr>
          <w:p w:rsidR="00C74999" w:rsidRPr="00DC53E5" w:rsidRDefault="00C74999">
            <w:pPr>
              <w:jc w:val="center"/>
              <w:rPr>
                <w:rFonts w:ascii="Arial" w:hAnsi="Arial"/>
                <w:lang w:val="fr-CA"/>
              </w:rPr>
            </w:pPr>
          </w:p>
          <w:p w:rsidR="00C74999" w:rsidRPr="00DC53E5" w:rsidRDefault="00644568">
            <w:pPr>
              <w:jc w:val="center"/>
              <w:rPr>
                <w:rFonts w:ascii="Arial" w:hAnsi="Arial"/>
                <w:lang w:val="fr-CA"/>
              </w:rPr>
            </w:pPr>
            <w:r>
              <w:rPr>
                <w:rFonts w:ascii="Arial" w:hAnsi="Arial"/>
                <w:lang w:val="fr-CA"/>
              </w:rPr>
              <w:t>GRAVE</w:t>
            </w:r>
          </w:p>
          <w:p w:rsidR="004D20AF" w:rsidRPr="00DC53E5" w:rsidRDefault="004D20AF" w:rsidP="004D20AF">
            <w:pPr>
              <w:rPr>
                <w:rFonts w:ascii="Arial" w:hAnsi="Arial"/>
                <w:lang w:val="fr-CA"/>
              </w:rPr>
            </w:pPr>
            <w:r>
              <w:rPr>
                <w:rFonts w:ascii="Arial" w:hAnsi="Arial"/>
                <w:lang w:val="fr-CA"/>
              </w:rPr>
              <w:t>Pour g</w:t>
            </w:r>
            <w:r w:rsidRPr="00DC53E5">
              <w:rPr>
                <w:rFonts w:ascii="Arial" w:hAnsi="Arial"/>
                <w:lang w:val="fr-CA"/>
              </w:rPr>
              <w:t xml:space="preserve">lobules rouges seulement : </w:t>
            </w:r>
            <w:r>
              <w:rPr>
                <w:rFonts w:ascii="Arial" w:hAnsi="Arial"/>
                <w:lang w:val="fr-CA"/>
              </w:rPr>
              <w:t xml:space="preserve">réaction </w:t>
            </w:r>
            <w:r w:rsidRPr="00DC53E5">
              <w:rPr>
                <w:rFonts w:ascii="Arial" w:hAnsi="Arial"/>
                <w:lang w:val="fr-CA"/>
              </w:rPr>
              <w:t xml:space="preserve">hémolytique, </w:t>
            </w:r>
            <w:r>
              <w:rPr>
                <w:rFonts w:ascii="Arial" w:hAnsi="Arial"/>
                <w:lang w:val="fr-CA"/>
              </w:rPr>
              <w:t xml:space="preserve">sévère, Réactions </w:t>
            </w:r>
            <w:r>
              <w:rPr>
                <w:rFonts w:ascii="Arial" w:hAnsi="Arial" w:cs="Arial"/>
                <w:lang w:val="fr-CA"/>
              </w:rPr>
              <w:t>&gt;</w:t>
            </w:r>
            <w:r w:rsidRPr="008653E2">
              <w:rPr>
                <w:rFonts w:ascii="Arial" w:hAnsi="Arial"/>
                <w:lang w:val="fr-CA"/>
              </w:rPr>
              <w:t>modéré</w:t>
            </w:r>
            <w:r>
              <w:rPr>
                <w:rFonts w:ascii="Arial" w:hAnsi="Arial"/>
                <w:lang w:val="fr-CA"/>
              </w:rPr>
              <w:t>es</w:t>
            </w:r>
          </w:p>
          <w:p w:rsidR="004D20AF" w:rsidRPr="00DC53E5" w:rsidRDefault="004D20AF" w:rsidP="004D20AF">
            <w:pPr>
              <w:pStyle w:val="Header"/>
              <w:tabs>
                <w:tab w:val="clear" w:pos="4320"/>
                <w:tab w:val="clear" w:pos="8640"/>
              </w:tabs>
              <w:rPr>
                <w:rFonts w:ascii="Arial" w:hAnsi="Arial"/>
                <w:lang w:val="fr-CA"/>
              </w:rPr>
            </w:pPr>
            <w:r w:rsidRPr="00DC53E5">
              <w:rPr>
                <w:rFonts w:ascii="Arial" w:hAnsi="Arial"/>
                <w:lang w:val="fr-CA"/>
              </w:rPr>
              <w:t xml:space="preserve">de patients ayant des anticorps connus </w:t>
            </w:r>
          </w:p>
          <w:p w:rsidR="00C74999" w:rsidRPr="00DC53E5" w:rsidRDefault="00C74999">
            <w:pPr>
              <w:jc w:val="center"/>
              <w:rPr>
                <w:rFonts w:ascii="Arial" w:hAnsi="Arial"/>
                <w:lang w:val="fr-CA"/>
              </w:rPr>
            </w:pPr>
          </w:p>
        </w:tc>
        <w:tc>
          <w:tcPr>
            <w:tcW w:w="6861" w:type="dxa"/>
          </w:tcPr>
          <w:p w:rsidR="00C74999" w:rsidRPr="00DC53E5" w:rsidRDefault="00C74999">
            <w:pPr>
              <w:rPr>
                <w:rFonts w:ascii="Arial" w:hAnsi="Arial"/>
                <w:lang w:val="fr-CA"/>
              </w:rPr>
            </w:pPr>
          </w:p>
          <w:p w:rsidR="00C74999" w:rsidRPr="00DC53E5" w:rsidRDefault="008653E2">
            <w:pPr>
              <w:rPr>
                <w:rFonts w:ascii="Arial" w:hAnsi="Arial"/>
                <w:lang w:val="fr-CA"/>
              </w:rPr>
            </w:pPr>
            <w:r>
              <w:rPr>
                <w:rFonts w:ascii="Arial" w:hAnsi="Arial"/>
                <w:lang w:val="fr-CA"/>
              </w:rPr>
              <w:t xml:space="preserve">Faire </w:t>
            </w:r>
            <w:r w:rsidR="00C74999" w:rsidRPr="00DC53E5">
              <w:rPr>
                <w:rFonts w:ascii="Arial" w:hAnsi="Arial"/>
                <w:lang w:val="fr-CA"/>
              </w:rPr>
              <w:t xml:space="preserve">ABO, Rh, TDA sur </w:t>
            </w:r>
            <w:r w:rsidR="001E4822">
              <w:rPr>
                <w:rFonts w:ascii="Arial" w:hAnsi="Arial"/>
                <w:lang w:val="fr-CA"/>
              </w:rPr>
              <w:t>les</w:t>
            </w:r>
            <w:r w:rsidR="001E4822" w:rsidRPr="00DC53E5">
              <w:rPr>
                <w:rFonts w:ascii="Arial" w:hAnsi="Arial"/>
                <w:lang w:val="fr-CA"/>
              </w:rPr>
              <w:t xml:space="preserve"> </w:t>
            </w:r>
            <w:r w:rsidR="00C74999" w:rsidRPr="00DC53E5">
              <w:rPr>
                <w:rFonts w:ascii="Arial" w:hAnsi="Arial"/>
                <w:lang w:val="fr-CA"/>
              </w:rPr>
              <w:t xml:space="preserve">échantillons pré- et post-transfusionnels et unités en cause </w:t>
            </w:r>
          </w:p>
          <w:p w:rsidR="00C74999" w:rsidRPr="00DC53E5" w:rsidRDefault="00C74999">
            <w:pPr>
              <w:rPr>
                <w:rFonts w:ascii="Arial" w:hAnsi="Arial"/>
                <w:lang w:val="fr-CA"/>
              </w:rPr>
            </w:pPr>
            <w:r w:rsidRPr="00DC53E5">
              <w:rPr>
                <w:rFonts w:ascii="Arial" w:hAnsi="Arial"/>
                <w:lang w:val="fr-CA"/>
              </w:rPr>
              <w:t xml:space="preserve">Répéter dépistage d’anticorps et effectuer une épreuve de compatibilité croisée sérologique </w:t>
            </w:r>
            <w:r w:rsidR="008653E2">
              <w:rPr>
                <w:rFonts w:ascii="Arial" w:hAnsi="Arial"/>
                <w:lang w:val="fr-CA"/>
              </w:rPr>
              <w:t>avec</w:t>
            </w:r>
            <w:r w:rsidR="008653E2" w:rsidRPr="00DC53E5">
              <w:rPr>
                <w:rFonts w:ascii="Arial" w:hAnsi="Arial"/>
                <w:lang w:val="fr-CA"/>
              </w:rPr>
              <w:t xml:space="preserve"> </w:t>
            </w:r>
            <w:r w:rsidRPr="00DC53E5">
              <w:rPr>
                <w:rFonts w:ascii="Arial" w:hAnsi="Arial"/>
                <w:lang w:val="fr-CA"/>
              </w:rPr>
              <w:t>les échantillons pré- et post-transfusionnels</w:t>
            </w:r>
          </w:p>
          <w:p w:rsidR="00C74999" w:rsidRPr="00DC53E5" w:rsidRDefault="00C74999">
            <w:pPr>
              <w:rPr>
                <w:rFonts w:ascii="Arial" w:hAnsi="Arial"/>
                <w:lang w:val="fr-CA"/>
              </w:rPr>
            </w:pPr>
          </w:p>
        </w:tc>
      </w:tr>
      <w:tr w:rsidR="004D20AF" w:rsidRPr="00DC53E5">
        <w:trPr>
          <w:jc w:val="center"/>
        </w:trPr>
        <w:tc>
          <w:tcPr>
            <w:tcW w:w="2178" w:type="dxa"/>
          </w:tcPr>
          <w:p w:rsidR="00B86850" w:rsidRDefault="00B86850" w:rsidP="003F23F2">
            <w:pPr>
              <w:jc w:val="center"/>
              <w:rPr>
                <w:rFonts w:ascii="Arial" w:hAnsi="Arial"/>
                <w:lang w:val="fr-CA"/>
              </w:rPr>
            </w:pPr>
            <w:r w:rsidRPr="009512CD">
              <w:rPr>
                <w:rFonts w:ascii="Arial" w:hAnsi="Arial"/>
                <w:lang w:val="fr-CA"/>
              </w:rPr>
              <w:t>Contamination bactérienne</w:t>
            </w:r>
          </w:p>
          <w:p w:rsidR="004D20AF" w:rsidRPr="00DC53E5" w:rsidRDefault="004D20AF" w:rsidP="003F23F2">
            <w:pPr>
              <w:jc w:val="center"/>
              <w:rPr>
                <w:rFonts w:ascii="Arial" w:hAnsi="Arial"/>
                <w:lang w:val="fr-CA"/>
              </w:rPr>
            </w:pPr>
            <w:r>
              <w:rPr>
                <w:rFonts w:ascii="Arial" w:hAnsi="Arial"/>
                <w:lang w:val="fr-CA"/>
              </w:rPr>
              <w:t>Tous les produits</w:t>
            </w:r>
          </w:p>
        </w:tc>
        <w:tc>
          <w:tcPr>
            <w:tcW w:w="6861" w:type="dxa"/>
          </w:tcPr>
          <w:p w:rsidR="004D20AF" w:rsidRDefault="004D20AF">
            <w:pPr>
              <w:rPr>
                <w:rFonts w:ascii="Arial" w:hAnsi="Arial"/>
                <w:lang w:val="fr-CA"/>
              </w:rPr>
            </w:pPr>
          </w:p>
          <w:p w:rsidR="004D20AF" w:rsidRDefault="004D20AF">
            <w:pPr>
              <w:rPr>
                <w:rFonts w:ascii="Arial" w:hAnsi="Arial"/>
                <w:lang w:val="fr-CA"/>
              </w:rPr>
            </w:pPr>
            <w:r>
              <w:rPr>
                <w:rFonts w:ascii="Arial" w:hAnsi="Arial"/>
                <w:lang w:val="fr-CA"/>
              </w:rPr>
              <w:t>Demander le retour des unités en cause et ordonner une culture bactérienne</w:t>
            </w:r>
          </w:p>
          <w:p w:rsidR="004D20AF" w:rsidRPr="00DC53E5" w:rsidRDefault="004D20AF">
            <w:pPr>
              <w:rPr>
                <w:rFonts w:ascii="Arial" w:hAnsi="Arial"/>
                <w:lang w:val="fr-CA"/>
              </w:rPr>
            </w:pPr>
          </w:p>
        </w:tc>
      </w:tr>
    </w:tbl>
    <w:p w:rsidR="00C74999" w:rsidRPr="00DC53E5" w:rsidRDefault="00C74999">
      <w:pPr>
        <w:rPr>
          <w:rFonts w:ascii="Arial" w:hAnsi="Arial"/>
          <w:sz w:val="24"/>
          <w:lang w:val="fr-CA"/>
        </w:rPr>
      </w:pPr>
    </w:p>
    <w:p w:rsidR="00C74999" w:rsidRPr="00DC53E5" w:rsidRDefault="00C74999">
      <w:pPr>
        <w:numPr>
          <w:ilvl w:val="0"/>
          <w:numId w:val="1"/>
        </w:numPr>
        <w:rPr>
          <w:rFonts w:ascii="Arial" w:hAnsi="Arial"/>
          <w:b/>
          <w:sz w:val="28"/>
          <w:lang w:val="fr-CA"/>
        </w:rPr>
      </w:pPr>
      <w:r w:rsidRPr="00DC53E5">
        <w:rPr>
          <w:rFonts w:ascii="Arial" w:hAnsi="Arial"/>
          <w:b/>
          <w:sz w:val="28"/>
          <w:lang w:val="fr-CA"/>
        </w:rPr>
        <w:t>Procédure</w:t>
      </w:r>
    </w:p>
    <w:p w:rsidR="00C74999" w:rsidRPr="00DC53E5" w:rsidRDefault="00C74999">
      <w:pPr>
        <w:rPr>
          <w:rFonts w:ascii="Arial" w:hAnsi="Arial"/>
          <w:b/>
          <w:sz w:val="24"/>
          <w:lang w:val="fr-CA"/>
        </w:rPr>
      </w:pPr>
    </w:p>
    <w:p w:rsidR="00C74999" w:rsidRPr="00DC53E5" w:rsidRDefault="003F23F2">
      <w:pPr>
        <w:pStyle w:val="BodyTextIndent"/>
        <w:rPr>
          <w:lang w:val="fr-CA"/>
        </w:rPr>
      </w:pPr>
      <w:r>
        <w:rPr>
          <w:lang w:val="fr-CA"/>
        </w:rPr>
        <w:t xml:space="preserve">6.1 </w:t>
      </w:r>
      <w:r>
        <w:rPr>
          <w:lang w:val="fr-CA"/>
        </w:rPr>
        <w:tab/>
      </w:r>
      <w:r w:rsidR="00C74999" w:rsidRPr="00DC53E5">
        <w:rPr>
          <w:lang w:val="fr-CA"/>
        </w:rPr>
        <w:t xml:space="preserve">Quand le </w:t>
      </w:r>
      <w:r w:rsidR="004D20AF">
        <w:rPr>
          <w:lang w:val="fr-CA"/>
        </w:rPr>
        <w:t>LMT</w:t>
      </w:r>
      <w:r w:rsidR="00C74999" w:rsidRPr="00DC53E5">
        <w:rPr>
          <w:lang w:val="fr-CA"/>
        </w:rPr>
        <w:t xml:space="preserve"> est avisé qu’un patient sous transfusion </w:t>
      </w:r>
      <w:r w:rsidR="00F76D2E" w:rsidRPr="00DC53E5">
        <w:rPr>
          <w:lang w:val="fr-CA"/>
        </w:rPr>
        <w:t xml:space="preserve">pourrait </w:t>
      </w:r>
      <w:r>
        <w:rPr>
          <w:lang w:val="fr-CA"/>
        </w:rPr>
        <w:tab/>
      </w:r>
      <w:r w:rsidR="00F76D2E" w:rsidRPr="00DC53E5">
        <w:rPr>
          <w:lang w:val="fr-CA"/>
        </w:rPr>
        <w:t xml:space="preserve">faire </w:t>
      </w:r>
      <w:r w:rsidR="00C74999" w:rsidRPr="00DC53E5">
        <w:rPr>
          <w:lang w:val="fr-CA"/>
        </w:rPr>
        <w:t>une réaction, le technologue doit suivre les étapes suivantes.</w:t>
      </w:r>
    </w:p>
    <w:p w:rsidR="00C74999" w:rsidRPr="00DC53E5" w:rsidRDefault="00C74999">
      <w:pPr>
        <w:pStyle w:val="BodyTextIndent"/>
        <w:ind w:left="0"/>
        <w:rPr>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a) Demander quels sont les symptômes.</w:t>
      </w:r>
    </w:p>
    <w:p w:rsidR="00C74999" w:rsidRPr="00DC53E5" w:rsidRDefault="00C74999">
      <w:pPr>
        <w:ind w:left="1440"/>
        <w:rPr>
          <w:rFonts w:ascii="Arial" w:hAnsi="Arial"/>
          <w:sz w:val="24"/>
          <w:lang w:val="fr-CA"/>
        </w:rPr>
      </w:pPr>
    </w:p>
    <w:p w:rsidR="00C74999" w:rsidRPr="00DC53E5" w:rsidRDefault="00C74999">
      <w:pPr>
        <w:numPr>
          <w:ilvl w:val="0"/>
          <w:numId w:val="5"/>
        </w:numPr>
        <w:tabs>
          <w:tab w:val="clear" w:pos="1800"/>
          <w:tab w:val="num" w:pos="2520"/>
        </w:tabs>
        <w:ind w:left="2520"/>
        <w:rPr>
          <w:rFonts w:ascii="Arial" w:hAnsi="Arial"/>
          <w:sz w:val="24"/>
          <w:lang w:val="fr-CA"/>
        </w:rPr>
      </w:pPr>
      <w:r w:rsidRPr="00DC53E5">
        <w:rPr>
          <w:rFonts w:ascii="Arial" w:hAnsi="Arial"/>
          <w:sz w:val="24"/>
          <w:lang w:val="fr-CA"/>
        </w:rPr>
        <w:t>Déterminer le type d</w:t>
      </w:r>
      <w:r w:rsidR="00644568">
        <w:rPr>
          <w:rFonts w:ascii="Arial" w:hAnsi="Arial"/>
          <w:sz w:val="24"/>
          <w:lang w:val="fr-CA"/>
        </w:rPr>
        <w:t>’investigation à faire</w:t>
      </w:r>
      <w:r w:rsidRPr="00DC53E5">
        <w:rPr>
          <w:rFonts w:ascii="Arial" w:hAnsi="Arial"/>
          <w:sz w:val="24"/>
          <w:lang w:val="fr-CA"/>
        </w:rPr>
        <w:t xml:space="preserve"> (</w:t>
      </w:r>
      <w:r w:rsidR="008653E2">
        <w:rPr>
          <w:rFonts w:ascii="Arial" w:hAnsi="Arial"/>
          <w:sz w:val="24"/>
          <w:lang w:val="fr-CA"/>
        </w:rPr>
        <w:t xml:space="preserve">PRODUIT, </w:t>
      </w:r>
      <w:r w:rsidR="003F23F2">
        <w:rPr>
          <w:rFonts w:ascii="Arial" w:hAnsi="Arial"/>
          <w:sz w:val="24"/>
          <w:lang w:val="fr-CA"/>
        </w:rPr>
        <w:t xml:space="preserve">RÉACTION </w:t>
      </w:r>
      <w:r w:rsidR="00644568">
        <w:rPr>
          <w:rFonts w:ascii="Arial" w:hAnsi="Arial"/>
          <w:sz w:val="24"/>
          <w:lang w:val="fr-CA"/>
        </w:rPr>
        <w:t>MODÉRÉE</w:t>
      </w:r>
      <w:r w:rsidR="008653E2">
        <w:rPr>
          <w:rFonts w:ascii="Arial" w:hAnsi="Arial"/>
          <w:sz w:val="24"/>
          <w:lang w:val="fr-CA"/>
        </w:rPr>
        <w:t>,</w:t>
      </w:r>
      <w:r w:rsidR="00644568">
        <w:rPr>
          <w:rFonts w:ascii="Arial" w:hAnsi="Arial"/>
          <w:sz w:val="24"/>
          <w:lang w:val="fr-CA"/>
        </w:rPr>
        <w:t xml:space="preserve"> </w:t>
      </w:r>
      <w:r w:rsidR="003F23F2">
        <w:rPr>
          <w:rFonts w:ascii="Arial" w:hAnsi="Arial"/>
          <w:sz w:val="24"/>
          <w:lang w:val="fr-CA"/>
        </w:rPr>
        <w:t xml:space="preserve">RÉACTION </w:t>
      </w:r>
      <w:r w:rsidR="00644568">
        <w:rPr>
          <w:rFonts w:ascii="Arial" w:hAnsi="Arial"/>
          <w:sz w:val="24"/>
          <w:lang w:val="fr-CA"/>
        </w:rPr>
        <w:t>GRAVE)</w:t>
      </w:r>
    </w:p>
    <w:p w:rsidR="00C74999" w:rsidRPr="00DC53E5" w:rsidRDefault="00C74999">
      <w:pPr>
        <w:ind w:left="2160"/>
        <w:rPr>
          <w:rFonts w:ascii="Arial" w:hAnsi="Arial"/>
          <w:sz w:val="24"/>
          <w:lang w:val="fr-CA"/>
        </w:rPr>
      </w:pPr>
    </w:p>
    <w:p w:rsidR="00C74999" w:rsidRPr="00DC53E5" w:rsidRDefault="00C74999" w:rsidP="00B1206E">
      <w:pPr>
        <w:numPr>
          <w:ilvl w:val="0"/>
          <w:numId w:val="5"/>
        </w:numPr>
        <w:tabs>
          <w:tab w:val="clear" w:pos="1800"/>
          <w:tab w:val="left" w:pos="426"/>
          <w:tab w:val="num" w:pos="2520"/>
        </w:tabs>
        <w:ind w:left="2520"/>
        <w:rPr>
          <w:rFonts w:ascii="Arial" w:hAnsi="Arial"/>
          <w:sz w:val="24"/>
          <w:lang w:val="fr-CA"/>
        </w:rPr>
      </w:pPr>
      <w:r w:rsidRPr="00DC53E5">
        <w:rPr>
          <w:rFonts w:ascii="Arial" w:hAnsi="Arial"/>
          <w:sz w:val="24"/>
          <w:lang w:val="fr-CA"/>
        </w:rPr>
        <w:t xml:space="preserve">Si les symptômes </w:t>
      </w:r>
      <w:r w:rsidR="00644568">
        <w:rPr>
          <w:rFonts w:ascii="Arial" w:hAnsi="Arial"/>
          <w:sz w:val="24"/>
          <w:lang w:val="fr-CA"/>
        </w:rPr>
        <w:t>correspondent à une réaction MODÉRÉE OU GRAVE</w:t>
      </w:r>
      <w:r w:rsidRPr="00DC53E5">
        <w:rPr>
          <w:rFonts w:ascii="Arial" w:hAnsi="Arial"/>
          <w:sz w:val="24"/>
          <w:lang w:val="fr-CA"/>
        </w:rPr>
        <w:t>, donner les directives suivantes au personnel infirmier :</w:t>
      </w:r>
    </w:p>
    <w:p w:rsidR="00C74999" w:rsidRPr="00DC53E5" w:rsidRDefault="00C74999">
      <w:pPr>
        <w:ind w:left="2160"/>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Informer le médecin traitant des symptômes.</w:t>
      </w:r>
    </w:p>
    <w:p w:rsidR="00C74999" w:rsidRPr="00DC53E5" w:rsidRDefault="00C74999">
      <w:pPr>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 xml:space="preserve">Interrompre la transfusion. Laisser perfuser une solution saline </w:t>
      </w:r>
      <w:r w:rsidR="003F23F2">
        <w:rPr>
          <w:rFonts w:ascii="Arial" w:hAnsi="Arial"/>
          <w:sz w:val="24"/>
          <w:lang w:val="fr-CA"/>
        </w:rPr>
        <w:t xml:space="preserve">normale </w:t>
      </w:r>
      <w:r w:rsidRPr="00DC53E5">
        <w:rPr>
          <w:rFonts w:ascii="Arial" w:hAnsi="Arial"/>
          <w:sz w:val="24"/>
          <w:lang w:val="fr-CA"/>
        </w:rPr>
        <w:t>en attendant les directives du médecin.</w:t>
      </w:r>
    </w:p>
    <w:p w:rsidR="00C74999" w:rsidRPr="00DC53E5" w:rsidRDefault="00C74999">
      <w:pPr>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Vérifier si les renseignements sur l’étiquette de compatibilité correspondent aux renseignements sur le bracelet d’identification du patient.</w:t>
      </w:r>
    </w:p>
    <w:p w:rsidR="00C74999" w:rsidRPr="00DC53E5" w:rsidRDefault="00C74999">
      <w:pPr>
        <w:ind w:left="2160"/>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 xml:space="preserve">Inscrire les symptômes et les actions prises sur le formulaire Avis de réaction transfusionnelle – </w:t>
      </w:r>
      <w:r w:rsidR="00F76D2E" w:rsidRPr="00DC53E5">
        <w:rPr>
          <w:rFonts w:ascii="Arial" w:hAnsi="Arial"/>
          <w:sz w:val="24"/>
          <w:lang w:val="fr-CA"/>
        </w:rPr>
        <w:t>A</w:t>
      </w:r>
      <w:r w:rsidRPr="00DC53E5">
        <w:rPr>
          <w:rFonts w:ascii="Arial" w:hAnsi="Arial"/>
          <w:sz w:val="24"/>
          <w:lang w:val="fr-CA"/>
        </w:rPr>
        <w:t>R.012F1.</w:t>
      </w:r>
    </w:p>
    <w:p w:rsidR="00C74999" w:rsidRPr="00DC53E5" w:rsidRDefault="00C74999">
      <w:pPr>
        <w:ind w:left="2160"/>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 xml:space="preserve">Envoyer au </w:t>
      </w:r>
      <w:r w:rsidR="00644568">
        <w:rPr>
          <w:rFonts w:ascii="Arial" w:hAnsi="Arial"/>
          <w:sz w:val="24"/>
          <w:lang w:val="fr-CA"/>
        </w:rPr>
        <w:t>LMT</w:t>
      </w:r>
      <w:r w:rsidRPr="00DC53E5">
        <w:rPr>
          <w:rFonts w:ascii="Arial" w:hAnsi="Arial"/>
          <w:sz w:val="24"/>
          <w:lang w:val="fr-CA"/>
        </w:rPr>
        <w:t xml:space="preserve"> le formulaire rempli avec un échantillon post-transfusionnel (</w:t>
      </w:r>
      <w:r w:rsidR="003F23F2">
        <w:rPr>
          <w:rFonts w:ascii="Arial" w:hAnsi="Arial"/>
          <w:sz w:val="24"/>
          <w:lang w:val="fr-CA"/>
        </w:rPr>
        <w:t>prélevé</w:t>
      </w:r>
      <w:r w:rsidRPr="00DC53E5">
        <w:rPr>
          <w:rFonts w:ascii="Arial" w:hAnsi="Arial"/>
          <w:sz w:val="24"/>
          <w:lang w:val="fr-CA"/>
        </w:rPr>
        <w:t xml:space="preserve"> selon la procédure établie), le sac de produit et l’ensemble </w:t>
      </w:r>
      <w:r w:rsidR="00400A9C">
        <w:rPr>
          <w:rFonts w:ascii="Arial" w:hAnsi="Arial"/>
          <w:sz w:val="24"/>
          <w:lang w:val="fr-CA"/>
        </w:rPr>
        <w:t xml:space="preserve">de </w:t>
      </w:r>
      <w:r w:rsidR="0079634C">
        <w:rPr>
          <w:rFonts w:ascii="Arial" w:hAnsi="Arial"/>
          <w:sz w:val="24"/>
          <w:lang w:val="fr-CA"/>
        </w:rPr>
        <w:t>tubulures</w:t>
      </w:r>
      <w:r w:rsidR="00400A9C">
        <w:rPr>
          <w:rFonts w:ascii="Arial" w:hAnsi="Arial"/>
          <w:sz w:val="24"/>
          <w:lang w:val="fr-CA"/>
        </w:rPr>
        <w:t xml:space="preserve"> </w:t>
      </w:r>
      <w:r w:rsidRPr="00DC53E5">
        <w:rPr>
          <w:rFonts w:ascii="Arial" w:hAnsi="Arial"/>
          <w:sz w:val="24"/>
          <w:lang w:val="fr-CA"/>
        </w:rPr>
        <w:t xml:space="preserve">à transfusion </w:t>
      </w:r>
      <w:r w:rsidR="00F76D2E" w:rsidRPr="00DC53E5">
        <w:rPr>
          <w:rFonts w:ascii="Arial" w:hAnsi="Arial"/>
          <w:sz w:val="24"/>
          <w:lang w:val="fr-CA"/>
        </w:rPr>
        <w:t>en place</w:t>
      </w:r>
      <w:r w:rsidRPr="00DC53E5">
        <w:rPr>
          <w:rFonts w:ascii="Arial" w:hAnsi="Arial"/>
          <w:sz w:val="24"/>
          <w:lang w:val="fr-CA"/>
        </w:rPr>
        <w:t xml:space="preserve"> lors de la réaction.</w:t>
      </w:r>
    </w:p>
    <w:p w:rsidR="00C74999" w:rsidRPr="00DC53E5" w:rsidRDefault="00C74999">
      <w:pPr>
        <w:ind w:left="2160"/>
        <w:rPr>
          <w:rFonts w:ascii="Arial" w:hAnsi="Arial"/>
          <w:sz w:val="24"/>
          <w:lang w:val="fr-CA"/>
        </w:rPr>
      </w:pPr>
    </w:p>
    <w:p w:rsidR="00C74999" w:rsidRPr="00DC53E5" w:rsidRDefault="00F76D2E">
      <w:pPr>
        <w:numPr>
          <w:ilvl w:val="3"/>
          <w:numId w:val="1"/>
        </w:numPr>
        <w:rPr>
          <w:rFonts w:ascii="Arial" w:hAnsi="Arial"/>
          <w:sz w:val="24"/>
          <w:lang w:val="fr-CA"/>
        </w:rPr>
      </w:pPr>
      <w:r w:rsidRPr="00DC53E5">
        <w:rPr>
          <w:rFonts w:ascii="Arial" w:hAnsi="Arial"/>
          <w:sz w:val="24"/>
          <w:lang w:val="fr-CA"/>
        </w:rPr>
        <w:t xml:space="preserve">À la </w:t>
      </w:r>
      <w:r w:rsidR="00C74999" w:rsidRPr="00DC53E5">
        <w:rPr>
          <w:rFonts w:ascii="Arial" w:hAnsi="Arial"/>
          <w:sz w:val="24"/>
          <w:lang w:val="fr-CA"/>
        </w:rPr>
        <w:t xml:space="preserve">demande du médecin, envoyer </w:t>
      </w:r>
      <w:r w:rsidR="00400A9C">
        <w:rPr>
          <w:rFonts w:ascii="Arial" w:hAnsi="Arial"/>
          <w:sz w:val="24"/>
          <w:lang w:val="fr-CA"/>
        </w:rPr>
        <w:t>la</w:t>
      </w:r>
      <w:r w:rsidR="00400A9C" w:rsidRPr="00DC53E5">
        <w:rPr>
          <w:rFonts w:ascii="Arial" w:hAnsi="Arial"/>
          <w:sz w:val="24"/>
          <w:lang w:val="fr-CA"/>
        </w:rPr>
        <w:t xml:space="preserve"> </w:t>
      </w:r>
      <w:r w:rsidR="00C74999" w:rsidRPr="00DC53E5">
        <w:rPr>
          <w:rFonts w:ascii="Arial" w:hAnsi="Arial"/>
          <w:sz w:val="24"/>
          <w:lang w:val="fr-CA"/>
        </w:rPr>
        <w:t xml:space="preserve">première urine </w:t>
      </w:r>
      <w:r w:rsidR="00400A9C">
        <w:rPr>
          <w:rFonts w:ascii="Arial" w:hAnsi="Arial"/>
          <w:sz w:val="24"/>
          <w:lang w:val="fr-CA"/>
        </w:rPr>
        <w:t>éliminée</w:t>
      </w:r>
      <w:r w:rsidR="00C74999" w:rsidRPr="00DC53E5">
        <w:rPr>
          <w:rFonts w:ascii="Arial" w:hAnsi="Arial"/>
          <w:sz w:val="24"/>
          <w:lang w:val="fr-CA"/>
        </w:rPr>
        <w:t xml:space="preserve"> au </w:t>
      </w:r>
      <w:r w:rsidR="00644568">
        <w:rPr>
          <w:rFonts w:ascii="Arial" w:hAnsi="Arial"/>
          <w:sz w:val="24"/>
          <w:lang w:val="fr-CA"/>
        </w:rPr>
        <w:t>LMT</w:t>
      </w:r>
      <w:r w:rsidR="00C74999" w:rsidRPr="00DC53E5">
        <w:rPr>
          <w:rFonts w:ascii="Arial" w:hAnsi="Arial"/>
          <w:sz w:val="24"/>
          <w:lang w:val="fr-CA"/>
        </w:rPr>
        <w:t>.</w:t>
      </w:r>
    </w:p>
    <w:p w:rsidR="00C74999" w:rsidRPr="00DC53E5" w:rsidRDefault="00C74999">
      <w:pPr>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Si les symptômes correspondent à une réaction </w:t>
      </w:r>
      <w:r w:rsidR="00644568">
        <w:rPr>
          <w:rFonts w:ascii="Arial" w:hAnsi="Arial"/>
          <w:sz w:val="24"/>
          <w:lang w:val="fr-CA"/>
        </w:rPr>
        <w:t>liée aux plaquettes ou au plasma</w:t>
      </w:r>
      <w:r w:rsidRPr="00DC53E5">
        <w:rPr>
          <w:rFonts w:ascii="Arial" w:hAnsi="Arial"/>
          <w:sz w:val="24"/>
          <w:lang w:val="fr-CA"/>
        </w:rPr>
        <w:t>, donner les directives suivantes au personnel infirmier :</w:t>
      </w:r>
    </w:p>
    <w:p w:rsidR="00C74999" w:rsidRPr="00DC53E5" w:rsidRDefault="00C74999">
      <w:pPr>
        <w:ind w:left="720"/>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 xml:space="preserve">Informer le médecin traitant des symptômes. </w:t>
      </w:r>
    </w:p>
    <w:p w:rsidR="00C74999" w:rsidRPr="00DC53E5" w:rsidRDefault="00C74999">
      <w:pPr>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 xml:space="preserve">Interrompre la transfusion. Laisser perfuser une solution saline </w:t>
      </w:r>
      <w:r w:rsidR="00644568">
        <w:rPr>
          <w:rFonts w:ascii="Arial" w:hAnsi="Arial"/>
          <w:sz w:val="24"/>
          <w:lang w:val="fr-CA"/>
        </w:rPr>
        <w:t xml:space="preserve">normale </w:t>
      </w:r>
      <w:r w:rsidRPr="00DC53E5">
        <w:rPr>
          <w:rFonts w:ascii="Arial" w:hAnsi="Arial"/>
          <w:sz w:val="24"/>
          <w:lang w:val="fr-CA"/>
        </w:rPr>
        <w:t>en attendant les directives du médecin</w:t>
      </w:r>
      <w:r w:rsidR="00B1206E">
        <w:rPr>
          <w:rFonts w:ascii="Arial" w:hAnsi="Arial"/>
          <w:sz w:val="24"/>
          <w:lang w:val="fr-CA"/>
        </w:rPr>
        <w:t>,</w:t>
      </w:r>
      <w:r w:rsidR="00EF7A8B">
        <w:rPr>
          <w:rFonts w:ascii="Arial" w:hAnsi="Arial"/>
          <w:sz w:val="24"/>
          <w:lang w:val="fr-CA"/>
        </w:rPr>
        <w:t xml:space="preserve"> </w:t>
      </w:r>
      <w:r w:rsidR="00B1206E">
        <w:rPr>
          <w:rFonts w:ascii="Arial" w:hAnsi="Arial"/>
          <w:sz w:val="24"/>
          <w:lang w:val="fr-CA"/>
        </w:rPr>
        <w:t xml:space="preserve">qui </w:t>
      </w:r>
      <w:r w:rsidRPr="00DC53E5">
        <w:rPr>
          <w:rFonts w:ascii="Arial" w:hAnsi="Arial"/>
          <w:sz w:val="24"/>
          <w:lang w:val="fr-CA"/>
        </w:rPr>
        <w:t>pourrait prescrire un antihistaminique.</w:t>
      </w:r>
    </w:p>
    <w:p w:rsidR="00C74999" w:rsidRPr="00DC53E5" w:rsidRDefault="00C74999">
      <w:pPr>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Vérifier si les renseignements sur l’étiquette de compatibilité correspondent aux renseignements sur le bracelet d’identification du patient.</w:t>
      </w:r>
    </w:p>
    <w:p w:rsidR="00C74999" w:rsidRPr="00DC53E5" w:rsidRDefault="00C74999">
      <w:pPr>
        <w:ind w:left="1440"/>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 xml:space="preserve">Inscrire les symptômes et les </w:t>
      </w:r>
      <w:r w:rsidR="00644568">
        <w:rPr>
          <w:rFonts w:ascii="Arial" w:hAnsi="Arial"/>
          <w:sz w:val="24"/>
          <w:lang w:val="fr-CA"/>
        </w:rPr>
        <w:t>mesures</w:t>
      </w:r>
      <w:r w:rsidRPr="00DC53E5">
        <w:rPr>
          <w:rFonts w:ascii="Arial" w:hAnsi="Arial"/>
          <w:sz w:val="24"/>
          <w:lang w:val="fr-CA"/>
        </w:rPr>
        <w:t xml:space="preserve"> prises sur le formulaire Avis de réaction transfusionnelle </w:t>
      </w:r>
      <w:r w:rsidR="00F76D2E" w:rsidRPr="00DC53E5">
        <w:rPr>
          <w:rFonts w:ascii="Arial" w:hAnsi="Arial"/>
          <w:sz w:val="24"/>
          <w:lang w:val="fr-CA"/>
        </w:rPr>
        <w:t>A</w:t>
      </w:r>
      <w:r w:rsidRPr="00DC53E5">
        <w:rPr>
          <w:rFonts w:ascii="Arial" w:hAnsi="Arial"/>
          <w:sz w:val="24"/>
          <w:lang w:val="fr-CA"/>
        </w:rPr>
        <w:t xml:space="preserve">R.012F1 et retourner le formulaire au </w:t>
      </w:r>
      <w:r w:rsidR="00644568">
        <w:rPr>
          <w:rFonts w:ascii="Arial" w:hAnsi="Arial"/>
          <w:sz w:val="24"/>
          <w:lang w:val="fr-CA"/>
        </w:rPr>
        <w:t>LMT</w:t>
      </w:r>
      <w:r w:rsidRPr="00DC53E5">
        <w:rPr>
          <w:rFonts w:ascii="Arial" w:hAnsi="Arial"/>
          <w:sz w:val="24"/>
          <w:lang w:val="fr-CA"/>
        </w:rPr>
        <w:t>.</w:t>
      </w:r>
    </w:p>
    <w:p w:rsidR="00C74999" w:rsidRPr="00DC53E5" w:rsidRDefault="00C74999">
      <w:pPr>
        <w:ind w:left="1440"/>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Si les symptômes disparaissent, l’infirmière doit demander au médecin s’il faut poursuivre la transfusion. Si les symptômes ne disparaissent pas ou si le médecin demande une investigation complète, arrêter la transfusion et passer à l’étape 6.1.1.</w:t>
      </w:r>
      <w:r w:rsidR="00644568">
        <w:rPr>
          <w:rFonts w:ascii="Arial" w:hAnsi="Arial"/>
          <w:sz w:val="24"/>
          <w:lang w:val="fr-CA"/>
        </w:rPr>
        <w:t>5</w:t>
      </w:r>
      <w:r w:rsidRPr="00DC53E5">
        <w:rPr>
          <w:rFonts w:ascii="Arial" w:hAnsi="Arial"/>
          <w:sz w:val="24"/>
          <w:lang w:val="fr-CA"/>
        </w:rPr>
        <w:t>.</w:t>
      </w:r>
    </w:p>
    <w:p w:rsidR="00C74999" w:rsidRPr="00DC53E5" w:rsidRDefault="00C74999">
      <w:pPr>
        <w:ind w:left="720"/>
        <w:rPr>
          <w:rFonts w:ascii="Arial" w:hAnsi="Arial"/>
          <w:sz w:val="24"/>
          <w:lang w:val="fr-CA"/>
        </w:rPr>
      </w:pPr>
    </w:p>
    <w:p w:rsidR="00C74999" w:rsidRPr="00DC53E5" w:rsidRDefault="00C74999">
      <w:pPr>
        <w:ind w:left="720"/>
        <w:rPr>
          <w:rFonts w:ascii="Arial" w:hAnsi="Arial"/>
          <w:b/>
          <w:sz w:val="24"/>
          <w:lang w:val="fr-CA"/>
        </w:rPr>
      </w:pPr>
      <w:r w:rsidRPr="00DC53E5">
        <w:rPr>
          <w:rFonts w:ascii="Arial" w:hAnsi="Arial"/>
          <w:b/>
          <w:sz w:val="24"/>
          <w:lang w:val="fr-CA"/>
        </w:rPr>
        <w:t xml:space="preserve">PROCÉDURE </w:t>
      </w:r>
      <w:r w:rsidR="00B1206E">
        <w:rPr>
          <w:rFonts w:ascii="Arial" w:hAnsi="Arial"/>
          <w:b/>
          <w:sz w:val="24"/>
          <w:lang w:val="fr-CA"/>
        </w:rPr>
        <w:t>D’</w:t>
      </w:r>
      <w:r w:rsidR="008846B9">
        <w:rPr>
          <w:rFonts w:ascii="Arial" w:hAnsi="Arial"/>
          <w:b/>
          <w:sz w:val="24"/>
          <w:lang w:val="fr-CA"/>
        </w:rPr>
        <w:t xml:space="preserve">INVESTIGATION D’UNE RÉACTION </w:t>
      </w:r>
      <w:r w:rsidR="00926802">
        <w:rPr>
          <w:rFonts w:ascii="Arial" w:hAnsi="Arial"/>
          <w:b/>
          <w:sz w:val="24"/>
          <w:lang w:val="fr-CA"/>
        </w:rPr>
        <w:t>MODÉRÉ</w:t>
      </w:r>
      <w:r w:rsidR="003F23F2">
        <w:rPr>
          <w:rFonts w:ascii="Arial" w:hAnsi="Arial"/>
          <w:b/>
          <w:sz w:val="24"/>
          <w:lang w:val="fr-CA"/>
        </w:rPr>
        <w:t>E</w:t>
      </w:r>
      <w:r w:rsidRPr="00DC53E5">
        <w:rPr>
          <w:rFonts w:ascii="Arial" w:hAnsi="Arial"/>
          <w:b/>
          <w:sz w:val="24"/>
          <w:lang w:val="fr-CA"/>
        </w:rPr>
        <w:t xml:space="preserve"> </w:t>
      </w:r>
      <w:r w:rsidR="00644568">
        <w:rPr>
          <w:rFonts w:ascii="Arial" w:hAnsi="Arial"/>
          <w:b/>
          <w:sz w:val="24"/>
          <w:lang w:val="fr-CA"/>
        </w:rPr>
        <w:t>OU</w:t>
      </w:r>
      <w:r w:rsidRPr="00DC53E5">
        <w:rPr>
          <w:rFonts w:ascii="Arial" w:hAnsi="Arial"/>
          <w:b/>
          <w:sz w:val="24"/>
          <w:lang w:val="fr-CA"/>
        </w:rPr>
        <w:t xml:space="preserve"> </w:t>
      </w:r>
      <w:r w:rsidR="008846B9">
        <w:rPr>
          <w:rFonts w:ascii="Arial" w:hAnsi="Arial"/>
          <w:b/>
          <w:sz w:val="24"/>
          <w:lang w:val="fr-CA"/>
        </w:rPr>
        <w:t>GRAVE</w:t>
      </w:r>
      <w:r w:rsidR="008846B9" w:rsidRPr="00DC53E5">
        <w:rPr>
          <w:rFonts w:ascii="Arial" w:hAnsi="Arial"/>
          <w:b/>
          <w:sz w:val="24"/>
          <w:lang w:val="fr-CA"/>
        </w:rPr>
        <w:t xml:space="preserve"> </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Quand les échantillons post-transfusionnels et le sac </w:t>
      </w:r>
      <w:r w:rsidR="008846B9">
        <w:rPr>
          <w:rFonts w:ascii="Arial" w:hAnsi="Arial"/>
          <w:sz w:val="24"/>
          <w:lang w:val="fr-CA"/>
        </w:rPr>
        <w:t>avec</w:t>
      </w:r>
      <w:r w:rsidRPr="00DC53E5">
        <w:rPr>
          <w:rFonts w:ascii="Arial" w:hAnsi="Arial"/>
          <w:sz w:val="24"/>
          <w:lang w:val="fr-CA"/>
        </w:rPr>
        <w:t xml:space="preserve"> l’ensemble </w:t>
      </w:r>
      <w:r w:rsidR="008846B9">
        <w:rPr>
          <w:rFonts w:ascii="Arial" w:hAnsi="Arial"/>
          <w:sz w:val="24"/>
          <w:lang w:val="fr-CA"/>
        </w:rPr>
        <w:t xml:space="preserve">de tubulures </w:t>
      </w:r>
      <w:r w:rsidRPr="00DC53E5">
        <w:rPr>
          <w:rFonts w:ascii="Arial" w:hAnsi="Arial"/>
          <w:sz w:val="24"/>
          <w:lang w:val="fr-CA"/>
        </w:rPr>
        <w:t xml:space="preserve">à transfusion et le formulaire </w:t>
      </w:r>
      <w:r w:rsidR="005B3249" w:rsidRPr="00DC53E5">
        <w:rPr>
          <w:rFonts w:ascii="Arial" w:hAnsi="Arial"/>
          <w:sz w:val="24"/>
          <w:lang w:val="fr-CA"/>
        </w:rPr>
        <w:t>A</w:t>
      </w:r>
      <w:r w:rsidRPr="00DC53E5">
        <w:rPr>
          <w:rFonts w:ascii="Arial" w:hAnsi="Arial"/>
          <w:sz w:val="24"/>
          <w:lang w:val="fr-CA"/>
        </w:rPr>
        <w:t xml:space="preserve">R.012F1 </w:t>
      </w:r>
      <w:r w:rsidR="003F23F2">
        <w:rPr>
          <w:rFonts w:ascii="Arial" w:hAnsi="Arial"/>
          <w:sz w:val="24"/>
          <w:lang w:val="fr-CA"/>
        </w:rPr>
        <w:t>arrivent</w:t>
      </w:r>
      <w:r w:rsidRPr="00DC53E5">
        <w:rPr>
          <w:rFonts w:ascii="Arial" w:hAnsi="Arial"/>
          <w:sz w:val="24"/>
          <w:lang w:val="fr-CA"/>
        </w:rPr>
        <w:t xml:space="preserve"> au </w:t>
      </w:r>
      <w:r w:rsidR="00644568">
        <w:rPr>
          <w:rFonts w:ascii="Arial" w:hAnsi="Arial"/>
          <w:sz w:val="24"/>
          <w:lang w:val="fr-CA"/>
        </w:rPr>
        <w:t>LMT</w:t>
      </w:r>
      <w:r w:rsidRPr="00DC53E5">
        <w:rPr>
          <w:rFonts w:ascii="Arial" w:hAnsi="Arial"/>
          <w:sz w:val="24"/>
          <w:lang w:val="fr-CA"/>
        </w:rPr>
        <w:t>, faire immédiatement ce qui suit :</w:t>
      </w:r>
    </w:p>
    <w:p w:rsidR="00C74999" w:rsidRPr="00DC53E5" w:rsidRDefault="00C74999">
      <w:pPr>
        <w:ind w:left="720"/>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Vérifier s’il y a des erreurs d’inscription :</w:t>
      </w:r>
    </w:p>
    <w:p w:rsidR="00C74999" w:rsidRPr="00DC53E5" w:rsidRDefault="00C74999">
      <w:pPr>
        <w:ind w:left="1440"/>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 xml:space="preserve">Récupérer l’étiquette de compatibilité (doit être encore attachée au sac de produit sanguin) et vérifier s’il y a une erreur. S’assurer que le </w:t>
      </w:r>
      <w:r w:rsidR="005B3249" w:rsidRPr="00DC53E5">
        <w:rPr>
          <w:rFonts w:ascii="Arial" w:hAnsi="Arial"/>
          <w:sz w:val="24"/>
          <w:lang w:val="fr-CA"/>
        </w:rPr>
        <w:t>groupe</w:t>
      </w:r>
      <w:r w:rsidRPr="00DC53E5">
        <w:rPr>
          <w:rFonts w:ascii="Arial" w:hAnsi="Arial"/>
          <w:sz w:val="24"/>
          <w:lang w:val="fr-CA"/>
        </w:rPr>
        <w:t xml:space="preserve"> sanguin du donneur et </w:t>
      </w:r>
      <w:r w:rsidR="005B3249" w:rsidRPr="00DC53E5">
        <w:rPr>
          <w:rFonts w:ascii="Arial" w:hAnsi="Arial"/>
          <w:sz w:val="24"/>
          <w:lang w:val="fr-CA"/>
        </w:rPr>
        <w:t xml:space="preserve">celui </w:t>
      </w:r>
      <w:r w:rsidRPr="00DC53E5">
        <w:rPr>
          <w:rFonts w:ascii="Arial" w:hAnsi="Arial"/>
          <w:sz w:val="24"/>
          <w:lang w:val="fr-CA"/>
        </w:rPr>
        <w:t>du patient sont compatibles et que la bonne étiquette est attachée au bon sac de produit sanguin.</w:t>
      </w:r>
    </w:p>
    <w:p w:rsidR="00C74999" w:rsidRPr="00DC53E5" w:rsidRDefault="00C74999">
      <w:pPr>
        <w:ind w:left="2160"/>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Récupérer l’échantillon pré-transfusionnel et l</w:t>
      </w:r>
      <w:r w:rsidR="005B3249" w:rsidRPr="00DC53E5">
        <w:rPr>
          <w:rFonts w:ascii="Arial" w:hAnsi="Arial"/>
          <w:sz w:val="24"/>
          <w:lang w:val="fr-CA"/>
        </w:rPr>
        <w:t>e formulaire de</w:t>
      </w:r>
      <w:r w:rsidRPr="00DC53E5">
        <w:rPr>
          <w:rFonts w:ascii="Arial" w:hAnsi="Arial"/>
          <w:sz w:val="24"/>
          <w:lang w:val="fr-CA"/>
        </w:rPr>
        <w:t xml:space="preserve"> demande d’analyse ou la feuille de travail. S’assurer que les renseignements sur les deux sont identiques et qu’ils correspondent à l’étiquette de compatibilité.</w:t>
      </w:r>
    </w:p>
    <w:p w:rsidR="00C74999" w:rsidRPr="00DC53E5" w:rsidRDefault="00C74999">
      <w:pPr>
        <w:ind w:left="2160"/>
        <w:rPr>
          <w:rFonts w:ascii="Arial" w:hAnsi="Arial"/>
          <w:sz w:val="24"/>
          <w:lang w:val="fr-CA"/>
        </w:rPr>
      </w:pPr>
    </w:p>
    <w:p w:rsidR="00C74999" w:rsidRPr="00DC53E5" w:rsidRDefault="005B3249">
      <w:pPr>
        <w:numPr>
          <w:ilvl w:val="3"/>
          <w:numId w:val="1"/>
        </w:numPr>
        <w:rPr>
          <w:rFonts w:ascii="Arial" w:hAnsi="Arial"/>
          <w:sz w:val="24"/>
          <w:lang w:val="fr-CA"/>
        </w:rPr>
      </w:pPr>
      <w:r w:rsidRPr="00DC53E5">
        <w:rPr>
          <w:rFonts w:ascii="Arial" w:hAnsi="Arial"/>
          <w:sz w:val="24"/>
          <w:lang w:val="fr-CA"/>
        </w:rPr>
        <w:t>En cas d’</w:t>
      </w:r>
      <w:r w:rsidR="00C74999" w:rsidRPr="00DC53E5">
        <w:rPr>
          <w:rFonts w:ascii="Arial" w:hAnsi="Arial"/>
          <w:sz w:val="24"/>
          <w:lang w:val="fr-CA"/>
        </w:rPr>
        <w:t>erreur d’inscription :</w:t>
      </w:r>
    </w:p>
    <w:p w:rsidR="00C74999" w:rsidRPr="00DC53E5" w:rsidRDefault="00C74999">
      <w:pPr>
        <w:ind w:left="2160"/>
        <w:rPr>
          <w:rFonts w:ascii="Arial" w:hAnsi="Arial"/>
          <w:sz w:val="24"/>
          <w:lang w:val="fr-CA"/>
        </w:rPr>
      </w:pPr>
    </w:p>
    <w:p w:rsidR="008846B9" w:rsidRDefault="00C74999" w:rsidP="008846B9">
      <w:pPr>
        <w:numPr>
          <w:ilvl w:val="0"/>
          <w:numId w:val="6"/>
        </w:numPr>
        <w:tabs>
          <w:tab w:val="clear" w:pos="360"/>
          <w:tab w:val="num" w:pos="3600"/>
        </w:tabs>
        <w:ind w:left="3600"/>
        <w:rPr>
          <w:rFonts w:ascii="Arial" w:hAnsi="Arial"/>
          <w:sz w:val="24"/>
          <w:lang w:val="fr-CA"/>
        </w:rPr>
      </w:pPr>
      <w:r w:rsidRPr="00DC53E5">
        <w:rPr>
          <w:rFonts w:ascii="Arial" w:hAnsi="Arial"/>
          <w:sz w:val="24"/>
          <w:lang w:val="fr-CA"/>
        </w:rPr>
        <w:t xml:space="preserve">Aviser immédiatement le directeur médical ou son représentant </w:t>
      </w:r>
    </w:p>
    <w:p w:rsidR="008846B9" w:rsidRPr="00DC53E5" w:rsidRDefault="008846B9" w:rsidP="008846B9">
      <w:pPr>
        <w:ind w:left="3240"/>
        <w:rPr>
          <w:rFonts w:ascii="Arial" w:hAnsi="Arial"/>
          <w:sz w:val="24"/>
          <w:lang w:val="fr-CA"/>
        </w:rPr>
      </w:pPr>
    </w:p>
    <w:p w:rsidR="00C74999" w:rsidRPr="00B1206E" w:rsidRDefault="00C74999" w:rsidP="008846B9">
      <w:pPr>
        <w:numPr>
          <w:ilvl w:val="0"/>
          <w:numId w:val="6"/>
        </w:numPr>
        <w:tabs>
          <w:tab w:val="clear" w:pos="360"/>
          <w:tab w:val="num" w:pos="3600"/>
        </w:tabs>
        <w:ind w:left="3600"/>
        <w:rPr>
          <w:rFonts w:ascii="Arial" w:hAnsi="Arial" w:cs="Arial"/>
          <w:sz w:val="24"/>
          <w:szCs w:val="24"/>
          <w:lang w:val="fr-CA"/>
        </w:rPr>
      </w:pPr>
      <w:r w:rsidRPr="00B1206E">
        <w:rPr>
          <w:rFonts w:ascii="Arial" w:hAnsi="Arial" w:cs="Arial"/>
          <w:sz w:val="24"/>
          <w:szCs w:val="24"/>
          <w:lang w:val="fr-CA"/>
        </w:rPr>
        <w:t>Vérifier les dossiers appropriés pour déterminer si</w:t>
      </w:r>
      <w:r w:rsidR="005B3249" w:rsidRPr="00B1206E">
        <w:rPr>
          <w:rFonts w:ascii="Arial" w:hAnsi="Arial" w:cs="Arial"/>
          <w:sz w:val="24"/>
          <w:szCs w:val="24"/>
          <w:lang w:val="fr-CA"/>
        </w:rPr>
        <w:t xml:space="preserve"> d’autres échantillons ont été mal </w:t>
      </w:r>
      <w:r w:rsidRPr="00B1206E">
        <w:rPr>
          <w:rFonts w:ascii="Arial" w:hAnsi="Arial" w:cs="Arial"/>
          <w:sz w:val="24"/>
          <w:szCs w:val="24"/>
          <w:lang w:val="fr-CA"/>
        </w:rPr>
        <w:t>identifi</w:t>
      </w:r>
      <w:r w:rsidR="005B3249" w:rsidRPr="00B1206E">
        <w:rPr>
          <w:rFonts w:ascii="Arial" w:hAnsi="Arial" w:cs="Arial"/>
          <w:sz w:val="24"/>
          <w:szCs w:val="24"/>
          <w:lang w:val="fr-CA"/>
        </w:rPr>
        <w:t>és ou utilisés</w:t>
      </w:r>
      <w:r w:rsidRPr="00B1206E">
        <w:rPr>
          <w:rFonts w:ascii="Arial" w:hAnsi="Arial" w:cs="Arial"/>
          <w:sz w:val="24"/>
          <w:szCs w:val="24"/>
          <w:lang w:val="fr-CA"/>
        </w:rPr>
        <w:t>, ou si l’émission de composants a mis d’autres patients à risque</w:t>
      </w:r>
      <w:r w:rsidR="008846B9" w:rsidRPr="00B1206E">
        <w:rPr>
          <w:rFonts w:ascii="Arial" w:hAnsi="Arial" w:cs="Arial"/>
          <w:sz w:val="24"/>
          <w:szCs w:val="24"/>
          <w:lang w:val="fr-CA"/>
        </w:rPr>
        <w:t>.</w:t>
      </w:r>
      <w:r w:rsidRPr="00B1206E">
        <w:rPr>
          <w:rFonts w:ascii="Arial" w:hAnsi="Arial" w:cs="Arial"/>
          <w:sz w:val="24"/>
          <w:szCs w:val="24"/>
          <w:lang w:val="fr-CA"/>
        </w:rPr>
        <w:t xml:space="preserve"> </w:t>
      </w:r>
    </w:p>
    <w:p w:rsidR="00C74999" w:rsidRPr="00B1206E" w:rsidRDefault="00C74999">
      <w:pPr>
        <w:ind w:left="3240"/>
        <w:rPr>
          <w:rFonts w:ascii="Arial" w:hAnsi="Arial"/>
          <w:sz w:val="24"/>
          <w:lang w:val="fr-CA"/>
        </w:rPr>
      </w:pPr>
    </w:p>
    <w:p w:rsidR="00C74999" w:rsidRPr="00DC53E5" w:rsidRDefault="00C74999">
      <w:pPr>
        <w:numPr>
          <w:ilvl w:val="0"/>
          <w:numId w:val="6"/>
        </w:numPr>
        <w:tabs>
          <w:tab w:val="clear" w:pos="360"/>
          <w:tab w:val="num" w:pos="3600"/>
        </w:tabs>
        <w:ind w:left="3600"/>
        <w:rPr>
          <w:rFonts w:ascii="Arial" w:hAnsi="Arial"/>
          <w:sz w:val="24"/>
          <w:lang w:val="fr-CA"/>
        </w:rPr>
      </w:pPr>
      <w:r w:rsidRPr="00DC53E5">
        <w:rPr>
          <w:rFonts w:ascii="Arial" w:hAnsi="Arial"/>
          <w:sz w:val="24"/>
          <w:lang w:val="fr-CA"/>
        </w:rPr>
        <w:t xml:space="preserve">Remplir un rapport d’incident et remettre à un superviseur et/ou au directeur médical ou </w:t>
      </w:r>
      <w:r w:rsidR="005B3249" w:rsidRPr="00DC53E5">
        <w:rPr>
          <w:rFonts w:ascii="Arial" w:hAnsi="Arial"/>
          <w:sz w:val="24"/>
          <w:lang w:val="fr-CA"/>
        </w:rPr>
        <w:t xml:space="preserve">à </w:t>
      </w:r>
      <w:r w:rsidRPr="00DC53E5">
        <w:rPr>
          <w:rFonts w:ascii="Arial" w:hAnsi="Arial"/>
          <w:sz w:val="24"/>
          <w:lang w:val="fr-CA"/>
        </w:rPr>
        <w:t>son représentant.</w:t>
      </w:r>
    </w:p>
    <w:p w:rsidR="00C74999" w:rsidRPr="00DC53E5" w:rsidRDefault="00C74999">
      <w:pPr>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Inspection visuelle : centrifuger l’échantillon post-transfusionnel et inspecter visuellement le plasma pour y détecter la présence d’hémolyse.</w:t>
      </w:r>
    </w:p>
    <w:p w:rsidR="00C74999" w:rsidRPr="00DC53E5" w:rsidRDefault="00C74999">
      <w:pPr>
        <w:ind w:left="1440"/>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Comparer le plasma de l’échantillon post-transfusionnel au plasma de l’échantillon pré-transfusionnel.</w:t>
      </w:r>
    </w:p>
    <w:p w:rsidR="00C74999" w:rsidRPr="00DC53E5" w:rsidRDefault="00C74999">
      <w:pPr>
        <w:ind w:left="2160"/>
        <w:rPr>
          <w:rFonts w:ascii="Arial" w:hAnsi="Arial"/>
          <w:sz w:val="24"/>
          <w:lang w:val="fr-CA"/>
        </w:rPr>
      </w:pPr>
    </w:p>
    <w:p w:rsidR="00C74999" w:rsidRPr="00DC53E5" w:rsidRDefault="00C74999">
      <w:pPr>
        <w:numPr>
          <w:ilvl w:val="3"/>
          <w:numId w:val="1"/>
        </w:numPr>
        <w:rPr>
          <w:rFonts w:ascii="Arial" w:hAnsi="Arial"/>
          <w:sz w:val="24"/>
          <w:lang w:val="fr-CA"/>
        </w:rPr>
      </w:pPr>
      <w:r w:rsidRPr="00DC53E5">
        <w:rPr>
          <w:rFonts w:ascii="Arial" w:hAnsi="Arial"/>
          <w:sz w:val="24"/>
          <w:lang w:val="fr-CA"/>
        </w:rPr>
        <w:t xml:space="preserve">S’il y a hémolyse dans l’échantillon post-transfusionnel, communiquer avec le phlébotomiste pour s’assurer que la ponction veineuse n’a pas été </w:t>
      </w:r>
      <w:r w:rsidR="005B3249" w:rsidRPr="00DC53E5">
        <w:rPr>
          <w:rFonts w:ascii="Arial" w:hAnsi="Arial"/>
          <w:sz w:val="24"/>
          <w:lang w:val="fr-CA"/>
        </w:rPr>
        <w:t>difficile</w:t>
      </w:r>
      <w:r w:rsidRPr="00DC53E5">
        <w:rPr>
          <w:rFonts w:ascii="Arial" w:hAnsi="Arial"/>
          <w:sz w:val="24"/>
          <w:lang w:val="fr-CA"/>
        </w:rPr>
        <w:t>.</w:t>
      </w:r>
    </w:p>
    <w:p w:rsidR="00C74999" w:rsidRPr="00DC53E5" w:rsidRDefault="00C74999">
      <w:pPr>
        <w:ind w:left="2160"/>
        <w:rPr>
          <w:rFonts w:ascii="Arial" w:hAnsi="Arial"/>
          <w:sz w:val="24"/>
          <w:lang w:val="fr-CA"/>
        </w:rPr>
      </w:pPr>
    </w:p>
    <w:p w:rsidR="00C74999" w:rsidRPr="00DC53E5" w:rsidRDefault="00C74999">
      <w:pPr>
        <w:numPr>
          <w:ilvl w:val="0"/>
          <w:numId w:val="7"/>
        </w:numPr>
        <w:tabs>
          <w:tab w:val="clear" w:pos="360"/>
          <w:tab w:val="num" w:pos="3600"/>
        </w:tabs>
        <w:ind w:left="3600"/>
        <w:rPr>
          <w:rFonts w:ascii="Arial" w:hAnsi="Arial"/>
          <w:sz w:val="24"/>
          <w:lang w:val="fr-CA"/>
        </w:rPr>
      </w:pPr>
      <w:r w:rsidRPr="00DC53E5">
        <w:rPr>
          <w:rFonts w:ascii="Arial" w:hAnsi="Arial"/>
          <w:sz w:val="24"/>
          <w:lang w:val="fr-CA"/>
        </w:rPr>
        <w:t xml:space="preserve">Si un prélèvement difficile est soupçonné, </w:t>
      </w:r>
      <w:r w:rsidR="003F23F2">
        <w:rPr>
          <w:rFonts w:ascii="Arial" w:hAnsi="Arial"/>
          <w:sz w:val="24"/>
          <w:lang w:val="fr-CA"/>
        </w:rPr>
        <w:t xml:space="preserve">faire </w:t>
      </w:r>
      <w:r w:rsidRPr="00DC53E5">
        <w:rPr>
          <w:rFonts w:ascii="Arial" w:hAnsi="Arial"/>
          <w:sz w:val="24"/>
          <w:lang w:val="fr-CA"/>
        </w:rPr>
        <w:t>prélever un deuxième échantillon et répéter l’inspection visuelle du plasma.</w:t>
      </w:r>
    </w:p>
    <w:p w:rsidR="00C74999" w:rsidRPr="00DC53E5" w:rsidRDefault="00C74999">
      <w:pPr>
        <w:ind w:left="3240"/>
        <w:rPr>
          <w:rFonts w:ascii="Arial" w:hAnsi="Arial"/>
          <w:sz w:val="24"/>
          <w:lang w:val="fr-CA"/>
        </w:rPr>
      </w:pPr>
    </w:p>
    <w:p w:rsidR="00C74999" w:rsidRPr="00DC53E5" w:rsidRDefault="00C74999">
      <w:pPr>
        <w:numPr>
          <w:ilvl w:val="0"/>
          <w:numId w:val="7"/>
        </w:numPr>
        <w:tabs>
          <w:tab w:val="clear" w:pos="360"/>
          <w:tab w:val="num" w:pos="3600"/>
        </w:tabs>
        <w:ind w:left="3600"/>
        <w:rPr>
          <w:rFonts w:ascii="Arial" w:hAnsi="Arial"/>
          <w:sz w:val="24"/>
          <w:lang w:val="fr-CA"/>
        </w:rPr>
      </w:pPr>
      <w:r w:rsidRPr="00DC53E5">
        <w:rPr>
          <w:rFonts w:ascii="Arial" w:hAnsi="Arial"/>
          <w:sz w:val="24"/>
          <w:lang w:val="fr-CA"/>
        </w:rPr>
        <w:t>Si l’échantillon a été prélevé plus de 5</w:t>
      </w:r>
      <w:r w:rsidR="005B3249" w:rsidRPr="00DC53E5">
        <w:rPr>
          <w:rFonts w:ascii="Arial" w:hAnsi="Arial"/>
          <w:sz w:val="24"/>
          <w:lang w:val="fr-CA"/>
        </w:rPr>
        <w:t xml:space="preserve"> à </w:t>
      </w:r>
      <w:r w:rsidRPr="00DC53E5">
        <w:rPr>
          <w:rFonts w:ascii="Arial" w:hAnsi="Arial"/>
          <w:sz w:val="24"/>
          <w:lang w:val="fr-CA"/>
        </w:rPr>
        <w:t>7 heures après la réaction soupçonnée, voir Remarque 8.1.</w:t>
      </w:r>
    </w:p>
    <w:p w:rsidR="00C74999" w:rsidRPr="00DC53E5" w:rsidRDefault="00C74999">
      <w:pPr>
        <w:ind w:left="3240"/>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 xml:space="preserve">Effectuer un test direct à l’antiglobuline (TDA) sur l’échantillon EDTA post-transfusionnel. Voir AR.004 - Test direct à l'antiglobuline et </w:t>
      </w:r>
      <w:r w:rsidRPr="009512CD">
        <w:rPr>
          <w:rFonts w:ascii="Arial" w:hAnsi="Arial"/>
          <w:sz w:val="24"/>
          <w:lang w:val="fr-CA"/>
        </w:rPr>
        <w:t>TG.00</w:t>
      </w:r>
      <w:r w:rsidR="003F23F2" w:rsidRPr="009512CD">
        <w:rPr>
          <w:rFonts w:ascii="Arial" w:hAnsi="Arial"/>
          <w:sz w:val="24"/>
          <w:lang w:val="fr-CA"/>
        </w:rPr>
        <w:t>9</w:t>
      </w:r>
      <w:r w:rsidRPr="00DC53E5">
        <w:rPr>
          <w:rFonts w:ascii="Arial" w:hAnsi="Arial"/>
          <w:sz w:val="24"/>
          <w:lang w:val="fr-CA"/>
        </w:rPr>
        <w:t xml:space="preserve"> – Test direct à l'antiglobuline - carte de gel anti-igG.</w:t>
      </w:r>
    </w:p>
    <w:p w:rsidR="00C74999" w:rsidRPr="00DC53E5" w:rsidRDefault="00C74999">
      <w:pPr>
        <w:ind w:left="1440"/>
        <w:rPr>
          <w:rFonts w:ascii="Arial" w:hAnsi="Arial"/>
          <w:sz w:val="24"/>
          <w:lang w:val="fr-CA"/>
        </w:rPr>
      </w:pPr>
    </w:p>
    <w:p w:rsidR="00C74999" w:rsidRPr="00DC53E5" w:rsidRDefault="00C74999">
      <w:pPr>
        <w:numPr>
          <w:ilvl w:val="0"/>
          <w:numId w:val="8"/>
        </w:numPr>
        <w:tabs>
          <w:tab w:val="clear" w:pos="360"/>
          <w:tab w:val="num" w:pos="2520"/>
        </w:tabs>
        <w:ind w:left="2520"/>
        <w:rPr>
          <w:rFonts w:ascii="Arial" w:hAnsi="Arial"/>
          <w:sz w:val="24"/>
          <w:lang w:val="fr-CA"/>
        </w:rPr>
      </w:pPr>
      <w:r w:rsidRPr="00DC53E5">
        <w:rPr>
          <w:rFonts w:ascii="Arial" w:hAnsi="Arial"/>
          <w:sz w:val="24"/>
          <w:lang w:val="fr-CA"/>
        </w:rPr>
        <w:t xml:space="preserve">Si le TDA de l’échantillon post-réaction est positif, effectuer un TDA sur l’échantillon pré-transfusionnel (à moins que cette épreuve ait déjà été </w:t>
      </w:r>
      <w:r w:rsidR="005B3249" w:rsidRPr="00DC53E5">
        <w:rPr>
          <w:rFonts w:ascii="Arial" w:hAnsi="Arial"/>
          <w:sz w:val="24"/>
          <w:lang w:val="fr-CA"/>
        </w:rPr>
        <w:t>faite</w:t>
      </w:r>
      <w:r w:rsidRPr="00DC53E5">
        <w:rPr>
          <w:rFonts w:ascii="Arial" w:hAnsi="Arial"/>
          <w:sz w:val="24"/>
          <w:lang w:val="fr-CA"/>
        </w:rPr>
        <w:t xml:space="preserve"> dans le cadre de l’examen pré-transfusionnel).</w:t>
      </w:r>
    </w:p>
    <w:p w:rsidR="00C74999" w:rsidRPr="00DC53E5" w:rsidRDefault="00C74999">
      <w:pPr>
        <w:ind w:left="2160"/>
        <w:rPr>
          <w:rFonts w:ascii="Arial" w:hAnsi="Arial"/>
          <w:sz w:val="24"/>
          <w:lang w:val="fr-CA"/>
        </w:rPr>
      </w:pPr>
    </w:p>
    <w:p w:rsidR="00C74999" w:rsidRPr="00DC53E5" w:rsidRDefault="00C74999">
      <w:pPr>
        <w:numPr>
          <w:ilvl w:val="0"/>
          <w:numId w:val="8"/>
        </w:numPr>
        <w:tabs>
          <w:tab w:val="clear" w:pos="360"/>
          <w:tab w:val="num" w:pos="2520"/>
        </w:tabs>
        <w:ind w:left="2520"/>
        <w:rPr>
          <w:rFonts w:ascii="Arial" w:hAnsi="Arial"/>
          <w:sz w:val="24"/>
          <w:lang w:val="fr-CA"/>
        </w:rPr>
      </w:pPr>
      <w:r w:rsidRPr="00DC53E5">
        <w:rPr>
          <w:rFonts w:ascii="Arial" w:hAnsi="Arial"/>
          <w:sz w:val="24"/>
          <w:lang w:val="fr-CA"/>
        </w:rPr>
        <w:t xml:space="preserve">Si les résultats ne sont pas ceux attendus, poursuivre comme s’il s’agissait d’une réaction </w:t>
      </w:r>
      <w:r w:rsidR="00926802">
        <w:rPr>
          <w:rFonts w:ascii="Arial" w:hAnsi="Arial"/>
          <w:sz w:val="24"/>
          <w:lang w:val="fr-CA"/>
        </w:rPr>
        <w:t>GRAVE</w:t>
      </w:r>
      <w:r w:rsidR="005B3249" w:rsidRPr="00DC53E5">
        <w:rPr>
          <w:rFonts w:ascii="Arial" w:hAnsi="Arial"/>
          <w:sz w:val="24"/>
          <w:lang w:val="fr-CA"/>
        </w:rPr>
        <w:t>.</w:t>
      </w:r>
      <w:r w:rsidRPr="00DC53E5">
        <w:rPr>
          <w:rFonts w:ascii="Arial" w:hAnsi="Arial"/>
          <w:sz w:val="24"/>
          <w:lang w:val="fr-CA"/>
        </w:rPr>
        <w:t xml:space="preserve"> </w:t>
      </w:r>
    </w:p>
    <w:p w:rsidR="00C74999" w:rsidRPr="00DC53E5" w:rsidRDefault="00C74999">
      <w:pPr>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Effectuer une épreuve ABO/Rh et un dépistage d’anticorps. Voir AR.001 – Groupage ABO, AR.002 – Détermination du facteur Rh et AR</w:t>
      </w:r>
      <w:r w:rsidR="003F23F2">
        <w:rPr>
          <w:rFonts w:ascii="Arial" w:hAnsi="Arial"/>
          <w:sz w:val="24"/>
          <w:lang w:val="fr-CA"/>
        </w:rPr>
        <w:t>.</w:t>
      </w:r>
      <w:r w:rsidRPr="00DC53E5">
        <w:rPr>
          <w:rFonts w:ascii="Arial" w:hAnsi="Arial"/>
          <w:sz w:val="24"/>
          <w:lang w:val="fr-CA"/>
        </w:rPr>
        <w:t xml:space="preserve">005 à AR.007 - Dépistage d'anticorps  – solution saline, SFCI, PEG ainsi que TG.004 – Identification d’anticorps – </w:t>
      </w:r>
      <w:r w:rsidR="001F4098" w:rsidRPr="00C934BA">
        <w:rPr>
          <w:rFonts w:ascii="Arial" w:hAnsi="Arial"/>
          <w:sz w:val="24"/>
          <w:lang w:val="fr-CA"/>
        </w:rPr>
        <w:t>Pré</w:t>
      </w:r>
      <w:r w:rsidR="00B1206E" w:rsidRPr="00C934BA">
        <w:rPr>
          <w:rFonts w:ascii="Arial" w:hAnsi="Arial"/>
          <w:sz w:val="24"/>
          <w:lang w:val="fr-CA"/>
        </w:rPr>
        <w:t>-réchauffement</w:t>
      </w:r>
      <w:r w:rsidRPr="00C934BA">
        <w:rPr>
          <w:rFonts w:ascii="Arial" w:hAnsi="Arial"/>
          <w:sz w:val="24"/>
          <w:lang w:val="fr-CA"/>
        </w:rPr>
        <w:t xml:space="preserve"> - carte de gel</w:t>
      </w:r>
      <w:r w:rsidRPr="00DC53E5">
        <w:rPr>
          <w:rFonts w:ascii="Arial" w:hAnsi="Arial"/>
          <w:sz w:val="24"/>
          <w:lang w:val="fr-CA"/>
        </w:rPr>
        <w:t xml:space="preserve"> anti-IgG</w:t>
      </w:r>
      <w:r w:rsidRPr="00DC53E5">
        <w:rPr>
          <w:rFonts w:ascii="Arial" w:hAnsi="Arial"/>
          <w:sz w:val="24"/>
          <w:lang w:val="fr-CA"/>
        </w:rPr>
        <w:br/>
      </w:r>
    </w:p>
    <w:p w:rsidR="00C74999" w:rsidRPr="00DC53E5" w:rsidRDefault="00C74999">
      <w:pPr>
        <w:numPr>
          <w:ilvl w:val="0"/>
          <w:numId w:val="18"/>
        </w:numPr>
        <w:tabs>
          <w:tab w:val="clear" w:pos="360"/>
          <w:tab w:val="num" w:pos="2520"/>
        </w:tabs>
        <w:ind w:left="2520"/>
        <w:rPr>
          <w:rFonts w:ascii="Arial" w:hAnsi="Arial"/>
          <w:sz w:val="24"/>
          <w:lang w:val="fr-CA"/>
        </w:rPr>
      </w:pPr>
      <w:r w:rsidRPr="00DC53E5">
        <w:rPr>
          <w:rFonts w:ascii="Arial" w:hAnsi="Arial"/>
          <w:sz w:val="24"/>
          <w:lang w:val="fr-CA"/>
        </w:rPr>
        <w:t xml:space="preserve">Si les résultats ne sont pas ceux attendus, poursuivre comme </w:t>
      </w:r>
      <w:r w:rsidR="005B3249" w:rsidRPr="00DC53E5">
        <w:rPr>
          <w:rFonts w:ascii="Arial" w:hAnsi="Arial"/>
          <w:sz w:val="24"/>
          <w:lang w:val="fr-CA"/>
        </w:rPr>
        <w:t xml:space="preserve">s’il s’agissait d’une réaction </w:t>
      </w:r>
      <w:r w:rsidR="001F4098">
        <w:rPr>
          <w:rFonts w:ascii="Arial" w:hAnsi="Arial"/>
          <w:sz w:val="24"/>
          <w:lang w:val="fr-CA"/>
        </w:rPr>
        <w:t>GRAVE.</w:t>
      </w:r>
    </w:p>
    <w:p w:rsidR="00C74999" w:rsidRPr="00DC53E5" w:rsidRDefault="00C74999">
      <w:pPr>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Si un échantillon d’urine a été reçu :</w:t>
      </w:r>
    </w:p>
    <w:p w:rsidR="00C74999" w:rsidRPr="00DC53E5" w:rsidRDefault="00C74999">
      <w:pPr>
        <w:ind w:left="1440"/>
        <w:rPr>
          <w:rFonts w:ascii="Arial" w:hAnsi="Arial"/>
          <w:sz w:val="24"/>
          <w:lang w:val="fr-CA"/>
        </w:rPr>
      </w:pPr>
    </w:p>
    <w:p w:rsidR="00C74999" w:rsidRPr="00DC53E5" w:rsidRDefault="00C74999">
      <w:pPr>
        <w:numPr>
          <w:ilvl w:val="0"/>
          <w:numId w:val="21"/>
        </w:numPr>
        <w:tabs>
          <w:tab w:val="clear" w:pos="360"/>
          <w:tab w:val="num" w:pos="2520"/>
        </w:tabs>
        <w:ind w:left="2520"/>
        <w:rPr>
          <w:rFonts w:ascii="Arial" w:hAnsi="Arial"/>
          <w:sz w:val="24"/>
          <w:lang w:val="fr-CA"/>
        </w:rPr>
      </w:pPr>
      <w:r w:rsidRPr="00DC53E5">
        <w:rPr>
          <w:rFonts w:ascii="Arial" w:hAnsi="Arial"/>
          <w:sz w:val="24"/>
          <w:lang w:val="fr-CA"/>
        </w:rPr>
        <w:t>Inspecter visuellement l’échantillon et inscrire les résultats</w:t>
      </w:r>
      <w:r w:rsidR="00474DE5" w:rsidRPr="00DC53E5">
        <w:rPr>
          <w:rFonts w:ascii="Arial" w:hAnsi="Arial"/>
          <w:sz w:val="24"/>
          <w:lang w:val="fr-CA"/>
        </w:rPr>
        <w:t>.</w:t>
      </w:r>
      <w:r w:rsidRPr="00DC53E5">
        <w:rPr>
          <w:rFonts w:ascii="Arial" w:hAnsi="Arial"/>
          <w:sz w:val="24"/>
          <w:lang w:val="fr-CA"/>
        </w:rPr>
        <w:t xml:space="preserve"> </w:t>
      </w:r>
    </w:p>
    <w:p w:rsidR="00C74999" w:rsidRPr="00DC53E5" w:rsidRDefault="00C74999">
      <w:pPr>
        <w:ind w:left="2160"/>
        <w:rPr>
          <w:rFonts w:ascii="Arial" w:hAnsi="Arial"/>
          <w:sz w:val="24"/>
          <w:lang w:val="fr-CA"/>
        </w:rPr>
      </w:pPr>
    </w:p>
    <w:p w:rsidR="00C74999" w:rsidRPr="00DC53E5" w:rsidRDefault="00474DE5">
      <w:pPr>
        <w:numPr>
          <w:ilvl w:val="0"/>
          <w:numId w:val="21"/>
        </w:numPr>
        <w:tabs>
          <w:tab w:val="clear" w:pos="360"/>
          <w:tab w:val="num" w:pos="2520"/>
        </w:tabs>
        <w:ind w:left="2520"/>
        <w:rPr>
          <w:rFonts w:ascii="Arial" w:hAnsi="Arial"/>
          <w:sz w:val="24"/>
          <w:lang w:val="fr-CA"/>
        </w:rPr>
      </w:pPr>
      <w:r w:rsidRPr="00DC53E5">
        <w:rPr>
          <w:rFonts w:ascii="Arial" w:hAnsi="Arial"/>
          <w:sz w:val="24"/>
          <w:lang w:val="fr-CA"/>
        </w:rPr>
        <w:t xml:space="preserve">Tremper dans </w:t>
      </w:r>
      <w:r w:rsidR="00C74999" w:rsidRPr="00DC53E5">
        <w:rPr>
          <w:rFonts w:ascii="Arial" w:hAnsi="Arial"/>
          <w:sz w:val="24"/>
          <w:lang w:val="fr-CA"/>
        </w:rPr>
        <w:t xml:space="preserve">l’urine un bâtonnet réactif « Multistick » en suivant les instructions sur </w:t>
      </w:r>
      <w:r w:rsidR="001F4098">
        <w:rPr>
          <w:rFonts w:ascii="Arial" w:hAnsi="Arial"/>
          <w:sz w:val="24"/>
          <w:lang w:val="fr-CA"/>
        </w:rPr>
        <w:t>le contenant</w:t>
      </w:r>
      <w:r w:rsidRPr="00DC53E5">
        <w:rPr>
          <w:rFonts w:ascii="Arial" w:hAnsi="Arial"/>
          <w:sz w:val="24"/>
          <w:lang w:val="fr-CA"/>
        </w:rPr>
        <w:t>.</w:t>
      </w:r>
      <w:r w:rsidR="00C74999" w:rsidRPr="00DC53E5">
        <w:rPr>
          <w:rFonts w:ascii="Arial" w:hAnsi="Arial"/>
          <w:sz w:val="24"/>
          <w:lang w:val="fr-CA"/>
        </w:rPr>
        <w:t xml:space="preserve"> </w:t>
      </w:r>
    </w:p>
    <w:p w:rsidR="00C74999" w:rsidRPr="00DC53E5" w:rsidRDefault="00C74999">
      <w:pPr>
        <w:rPr>
          <w:rFonts w:ascii="Arial" w:hAnsi="Arial"/>
          <w:sz w:val="24"/>
          <w:lang w:val="fr-CA"/>
        </w:rPr>
      </w:pPr>
    </w:p>
    <w:p w:rsidR="00C74999" w:rsidRPr="00DC53E5" w:rsidRDefault="00C74999">
      <w:pPr>
        <w:numPr>
          <w:ilvl w:val="0"/>
          <w:numId w:val="21"/>
        </w:numPr>
        <w:tabs>
          <w:tab w:val="clear" w:pos="360"/>
          <w:tab w:val="num" w:pos="2520"/>
        </w:tabs>
        <w:ind w:left="2520"/>
        <w:rPr>
          <w:rFonts w:ascii="Arial" w:hAnsi="Arial"/>
          <w:sz w:val="24"/>
          <w:lang w:val="fr-CA"/>
        </w:rPr>
      </w:pPr>
      <w:r w:rsidRPr="00DC53E5">
        <w:rPr>
          <w:rFonts w:ascii="Arial" w:hAnsi="Arial"/>
          <w:sz w:val="24"/>
          <w:lang w:val="fr-CA"/>
        </w:rPr>
        <w:t xml:space="preserve">Si le résultat est négatif, </w:t>
      </w:r>
      <w:r w:rsidR="00474DE5" w:rsidRPr="00DC53E5">
        <w:rPr>
          <w:rFonts w:ascii="Arial" w:hAnsi="Arial"/>
          <w:sz w:val="24"/>
          <w:lang w:val="fr-CA"/>
        </w:rPr>
        <w:t xml:space="preserve">inscrire </w:t>
      </w:r>
      <w:r w:rsidRPr="00DC53E5">
        <w:rPr>
          <w:rFonts w:ascii="Arial" w:hAnsi="Arial"/>
          <w:sz w:val="24"/>
          <w:lang w:val="fr-CA"/>
        </w:rPr>
        <w:t>les résultats</w:t>
      </w:r>
      <w:r w:rsidR="00474DE5" w:rsidRPr="00DC53E5">
        <w:rPr>
          <w:rFonts w:ascii="Arial" w:hAnsi="Arial"/>
          <w:sz w:val="24"/>
          <w:lang w:val="fr-CA"/>
        </w:rPr>
        <w:t>.</w:t>
      </w:r>
      <w:r w:rsidRPr="00DC53E5">
        <w:rPr>
          <w:rFonts w:ascii="Arial" w:hAnsi="Arial"/>
          <w:sz w:val="24"/>
          <w:lang w:val="fr-CA"/>
        </w:rPr>
        <w:t xml:space="preserve"> </w:t>
      </w:r>
    </w:p>
    <w:p w:rsidR="00C74999" w:rsidRPr="00DC53E5" w:rsidRDefault="00C74999">
      <w:pPr>
        <w:rPr>
          <w:rFonts w:ascii="Arial" w:hAnsi="Arial"/>
          <w:sz w:val="24"/>
          <w:lang w:val="fr-CA"/>
        </w:rPr>
      </w:pPr>
    </w:p>
    <w:p w:rsidR="00C74999" w:rsidRPr="00DC53E5" w:rsidRDefault="00C74999">
      <w:pPr>
        <w:numPr>
          <w:ilvl w:val="0"/>
          <w:numId w:val="21"/>
        </w:numPr>
        <w:tabs>
          <w:tab w:val="clear" w:pos="360"/>
          <w:tab w:val="num" w:pos="2520"/>
        </w:tabs>
        <w:ind w:left="2520"/>
        <w:rPr>
          <w:rFonts w:ascii="Arial" w:hAnsi="Arial"/>
          <w:sz w:val="24"/>
          <w:lang w:val="fr-CA"/>
        </w:rPr>
      </w:pPr>
      <w:r w:rsidRPr="00DC53E5">
        <w:rPr>
          <w:rFonts w:ascii="Arial" w:hAnsi="Arial"/>
          <w:sz w:val="24"/>
          <w:lang w:val="fr-CA"/>
        </w:rPr>
        <w:t xml:space="preserve">Si un segment du bâtonnet est positif, inscrire les résultats et envoyer l’échantillon pour analyse </w:t>
      </w:r>
      <w:r w:rsidR="001F4098">
        <w:rPr>
          <w:rFonts w:ascii="Arial" w:hAnsi="Arial"/>
          <w:sz w:val="24"/>
          <w:lang w:val="fr-CA"/>
        </w:rPr>
        <w:t>complète</w:t>
      </w:r>
      <w:r w:rsidR="001F4098" w:rsidRPr="00DC53E5">
        <w:rPr>
          <w:rFonts w:ascii="Arial" w:hAnsi="Arial"/>
          <w:sz w:val="24"/>
          <w:lang w:val="fr-CA"/>
        </w:rPr>
        <w:t xml:space="preserve"> </w:t>
      </w:r>
      <w:r w:rsidR="001F4098">
        <w:rPr>
          <w:rFonts w:ascii="Arial" w:hAnsi="Arial"/>
          <w:sz w:val="24"/>
          <w:lang w:val="fr-CA"/>
        </w:rPr>
        <w:t>urgente</w:t>
      </w:r>
      <w:r w:rsidRPr="00DC53E5">
        <w:rPr>
          <w:rFonts w:ascii="Arial" w:hAnsi="Arial"/>
          <w:sz w:val="24"/>
          <w:lang w:val="fr-CA"/>
        </w:rPr>
        <w:t>.</w:t>
      </w:r>
    </w:p>
    <w:p w:rsidR="00C74999" w:rsidRPr="00DC53E5" w:rsidRDefault="00C74999">
      <w:pPr>
        <w:ind w:left="2160"/>
        <w:rPr>
          <w:rFonts w:ascii="Arial" w:hAnsi="Arial"/>
          <w:sz w:val="24"/>
          <w:lang w:val="fr-CA"/>
        </w:rPr>
      </w:pPr>
    </w:p>
    <w:p w:rsidR="00C74999" w:rsidRPr="00DC53E5" w:rsidRDefault="00C74999">
      <w:pPr>
        <w:ind w:left="2160"/>
        <w:rPr>
          <w:rFonts w:ascii="Arial" w:hAnsi="Arial"/>
          <w:sz w:val="24"/>
          <w:lang w:val="fr-CA"/>
        </w:rPr>
      </w:pPr>
      <w:r w:rsidRPr="00DC53E5">
        <w:rPr>
          <w:rFonts w:ascii="Arial" w:hAnsi="Arial"/>
          <w:sz w:val="24"/>
          <w:lang w:val="fr-CA"/>
        </w:rPr>
        <w:t xml:space="preserve">Voir </w:t>
      </w:r>
      <w:r w:rsidR="00474DE5" w:rsidRPr="00DC53E5">
        <w:rPr>
          <w:rFonts w:ascii="Arial" w:hAnsi="Arial"/>
          <w:sz w:val="24"/>
          <w:lang w:val="fr-CA"/>
        </w:rPr>
        <w:t>R</w:t>
      </w:r>
      <w:r w:rsidRPr="00DC53E5">
        <w:rPr>
          <w:rFonts w:ascii="Arial" w:hAnsi="Arial"/>
          <w:sz w:val="24"/>
          <w:lang w:val="fr-CA"/>
        </w:rPr>
        <w:t>emarque 8.2.</w:t>
      </w:r>
    </w:p>
    <w:p w:rsidR="00C74999" w:rsidRPr="00DC53E5" w:rsidRDefault="00C74999">
      <w:pPr>
        <w:ind w:left="2160"/>
        <w:rPr>
          <w:rFonts w:ascii="Arial" w:hAnsi="Arial"/>
          <w:b/>
          <w:sz w:val="24"/>
          <w:lang w:val="fr-CA"/>
        </w:rPr>
      </w:pPr>
    </w:p>
    <w:p w:rsidR="00C74999" w:rsidRPr="00DC53E5" w:rsidRDefault="00644568">
      <w:pPr>
        <w:ind w:left="720"/>
        <w:rPr>
          <w:rFonts w:ascii="Arial" w:hAnsi="Arial"/>
          <w:sz w:val="24"/>
          <w:lang w:val="fr-CA"/>
        </w:rPr>
      </w:pPr>
      <w:r>
        <w:rPr>
          <w:rFonts w:ascii="Arial" w:hAnsi="Arial"/>
          <w:b/>
          <w:sz w:val="24"/>
          <w:lang w:val="fr-CA"/>
        </w:rPr>
        <w:t>SUITE D’</w:t>
      </w:r>
      <w:r w:rsidR="001F4098">
        <w:rPr>
          <w:rFonts w:ascii="Arial" w:hAnsi="Arial"/>
          <w:b/>
          <w:sz w:val="24"/>
          <w:lang w:val="fr-CA"/>
        </w:rPr>
        <w:t>INVESTIGATION DE RÉACTION GRAVE</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Examiner le sang restant dans l’unité et la tubulure de transfusion pour y détecter la présence d’hémolyse, surtout si une </w:t>
      </w:r>
      <w:r w:rsidR="00474DE5" w:rsidRPr="00DC53E5">
        <w:rPr>
          <w:rFonts w:ascii="Arial" w:hAnsi="Arial"/>
          <w:sz w:val="24"/>
          <w:lang w:val="fr-CA"/>
        </w:rPr>
        <w:t xml:space="preserve">réaction </w:t>
      </w:r>
      <w:r w:rsidR="001F4098">
        <w:rPr>
          <w:rFonts w:ascii="Arial" w:hAnsi="Arial"/>
          <w:sz w:val="24"/>
          <w:lang w:val="fr-CA"/>
        </w:rPr>
        <w:t>transfusionnelle hémolytique</w:t>
      </w:r>
      <w:r w:rsidRPr="00DC53E5">
        <w:rPr>
          <w:rFonts w:ascii="Arial" w:hAnsi="Arial"/>
          <w:sz w:val="24"/>
          <w:lang w:val="fr-CA"/>
        </w:rPr>
        <w:t xml:space="preserve"> non-immune est soupçonnée. Voir aussi </w:t>
      </w:r>
      <w:r w:rsidR="00474DE5" w:rsidRPr="00DC53E5">
        <w:rPr>
          <w:rFonts w:ascii="Arial" w:hAnsi="Arial"/>
          <w:sz w:val="24"/>
          <w:lang w:val="fr-CA"/>
        </w:rPr>
        <w:t xml:space="preserve">la </w:t>
      </w:r>
      <w:r w:rsidRPr="00DC53E5">
        <w:rPr>
          <w:rFonts w:ascii="Arial" w:hAnsi="Arial"/>
          <w:sz w:val="24"/>
          <w:lang w:val="fr-CA"/>
        </w:rPr>
        <w:t xml:space="preserve">Remarque 8.4 </w:t>
      </w:r>
      <w:r w:rsidR="00474DE5" w:rsidRPr="00DC53E5">
        <w:rPr>
          <w:rFonts w:ascii="Arial" w:hAnsi="Arial"/>
          <w:sz w:val="24"/>
          <w:lang w:val="fr-CA"/>
        </w:rPr>
        <w:t xml:space="preserve">qui porte sur </w:t>
      </w:r>
      <w:r w:rsidRPr="00DC53E5">
        <w:rPr>
          <w:rFonts w:ascii="Arial" w:hAnsi="Arial"/>
          <w:sz w:val="24"/>
          <w:lang w:val="fr-CA"/>
        </w:rPr>
        <w:t>l’hémolyse non-immune.</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Effectuer une épreuve de compatibilité croisée sérologique sur les échantillons pré- et post-transfusionnels ainsi que sur l’unité ou les unités de donneur en </w:t>
      </w:r>
      <w:r w:rsidR="00474DE5" w:rsidRPr="00DC53E5">
        <w:rPr>
          <w:rFonts w:ascii="Arial" w:hAnsi="Arial"/>
          <w:sz w:val="24"/>
          <w:lang w:val="fr-CA"/>
        </w:rPr>
        <w:t>cause</w:t>
      </w:r>
      <w:r w:rsidRPr="00DC53E5">
        <w:rPr>
          <w:rFonts w:ascii="Arial" w:hAnsi="Arial"/>
          <w:sz w:val="24"/>
          <w:lang w:val="fr-CA"/>
        </w:rPr>
        <w:t>. Voir AR.011 - Épreuve de compatibilité avec antiglobuline – Solution saline, SFCI, PEG.</w:t>
      </w:r>
    </w:p>
    <w:p w:rsidR="00C74999" w:rsidRPr="00DC53E5" w:rsidRDefault="00C74999">
      <w:pPr>
        <w:ind w:left="1440"/>
        <w:rPr>
          <w:rFonts w:ascii="Arial" w:hAnsi="Arial"/>
          <w:sz w:val="24"/>
          <w:lang w:val="fr-CA"/>
        </w:rPr>
      </w:pPr>
      <w:r w:rsidRPr="00DC53E5">
        <w:rPr>
          <w:rFonts w:ascii="Arial" w:hAnsi="Arial"/>
          <w:sz w:val="24"/>
          <w:lang w:val="fr-CA"/>
        </w:rPr>
        <w:t>Suivre la même méthode qu’à l’origine.</w:t>
      </w:r>
    </w:p>
    <w:p w:rsidR="00C74999" w:rsidRPr="00DC53E5" w:rsidRDefault="00C74999">
      <w:pPr>
        <w:ind w:left="720"/>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 xml:space="preserve">Si les résultats ne sont pas ceux attendus, soupçonner un incident dû à une erreur d’échantillon ou à un étiquetage fautif; il se peut aussi qu’un échantillon d’un autre patient ait été incorrectement étiqueté. La personne ayant découvert l’incident doit remplir un rapport d’incident. Le processus doit être revu pour assurer </w:t>
      </w:r>
      <w:r w:rsidR="00474DE5" w:rsidRPr="00DC53E5">
        <w:rPr>
          <w:rFonts w:ascii="Arial" w:hAnsi="Arial"/>
          <w:sz w:val="24"/>
          <w:lang w:val="fr-CA"/>
        </w:rPr>
        <w:t xml:space="preserve">la détermination de la </w:t>
      </w:r>
      <w:r w:rsidRPr="00DC53E5">
        <w:rPr>
          <w:rFonts w:ascii="Arial" w:hAnsi="Arial"/>
          <w:sz w:val="24"/>
          <w:lang w:val="fr-CA"/>
        </w:rPr>
        <w:t xml:space="preserve">cause fondamentale des erreurs </w:t>
      </w:r>
      <w:r w:rsidR="00474DE5" w:rsidRPr="00DC53E5">
        <w:rPr>
          <w:rFonts w:ascii="Arial" w:hAnsi="Arial"/>
          <w:sz w:val="24"/>
          <w:lang w:val="fr-CA"/>
        </w:rPr>
        <w:t xml:space="preserve">et, si possible, la revue des procédures et méthodes afin d’éviter </w:t>
      </w:r>
      <w:r w:rsidRPr="00DC53E5">
        <w:rPr>
          <w:rFonts w:ascii="Arial" w:hAnsi="Arial"/>
          <w:sz w:val="24"/>
          <w:lang w:val="fr-CA"/>
        </w:rPr>
        <w:t xml:space="preserve">que l’incident </w:t>
      </w:r>
      <w:r w:rsidR="00474DE5" w:rsidRPr="00DC53E5">
        <w:rPr>
          <w:rFonts w:ascii="Arial" w:hAnsi="Arial"/>
          <w:sz w:val="24"/>
          <w:lang w:val="fr-CA"/>
        </w:rPr>
        <w:t xml:space="preserve">ne </w:t>
      </w:r>
      <w:r w:rsidRPr="00DC53E5">
        <w:rPr>
          <w:rFonts w:ascii="Arial" w:hAnsi="Arial"/>
          <w:sz w:val="24"/>
          <w:lang w:val="fr-CA"/>
        </w:rPr>
        <w:t>se reproduise.</w:t>
      </w:r>
    </w:p>
    <w:p w:rsidR="00C74999" w:rsidRPr="00DC53E5" w:rsidRDefault="00C74999">
      <w:pPr>
        <w:ind w:left="1440"/>
        <w:rPr>
          <w:rFonts w:ascii="Arial" w:hAnsi="Arial"/>
          <w:sz w:val="24"/>
          <w:lang w:val="fr-CA"/>
        </w:rPr>
      </w:pPr>
    </w:p>
    <w:p w:rsidR="00C74999" w:rsidRPr="00DC53E5" w:rsidRDefault="00C74999">
      <w:pPr>
        <w:numPr>
          <w:ilvl w:val="2"/>
          <w:numId w:val="1"/>
        </w:numPr>
        <w:rPr>
          <w:rFonts w:ascii="Arial" w:hAnsi="Arial"/>
          <w:sz w:val="24"/>
          <w:lang w:val="fr-CA"/>
        </w:rPr>
      </w:pPr>
      <w:r w:rsidRPr="00DC53E5">
        <w:rPr>
          <w:rFonts w:ascii="Arial" w:hAnsi="Arial"/>
          <w:sz w:val="24"/>
          <w:lang w:val="fr-CA"/>
        </w:rPr>
        <w:t xml:space="preserve">Si on découvre un anticorps qui n’avait pas été initialement décelé ou en cas de TDA positif, procéder à l’analyse des éluats et </w:t>
      </w:r>
      <w:r w:rsidR="0093563E">
        <w:rPr>
          <w:rFonts w:ascii="Arial" w:hAnsi="Arial"/>
          <w:sz w:val="24"/>
          <w:lang w:val="fr-CA"/>
        </w:rPr>
        <w:t>à l’identification</w:t>
      </w:r>
      <w:r w:rsidRPr="00DC53E5">
        <w:rPr>
          <w:rFonts w:ascii="Arial" w:hAnsi="Arial"/>
          <w:sz w:val="24"/>
          <w:lang w:val="fr-CA"/>
        </w:rPr>
        <w:t xml:space="preserve"> des anticorps. Si l’anticorps est présent dans l’échantillon post-transfusionnel mais </w:t>
      </w:r>
      <w:r w:rsidR="00474DE5" w:rsidRPr="00DC53E5">
        <w:rPr>
          <w:rFonts w:ascii="Arial" w:hAnsi="Arial"/>
          <w:sz w:val="24"/>
          <w:lang w:val="fr-CA"/>
        </w:rPr>
        <w:t>non</w:t>
      </w:r>
      <w:r w:rsidRPr="00DC53E5">
        <w:rPr>
          <w:rFonts w:ascii="Arial" w:hAnsi="Arial"/>
          <w:sz w:val="24"/>
          <w:lang w:val="fr-CA"/>
        </w:rPr>
        <w:t xml:space="preserve"> dans l’échantillon pré-transfusionnel, soupçonner </w:t>
      </w:r>
      <w:r w:rsidR="00474DE5" w:rsidRPr="00DC53E5">
        <w:rPr>
          <w:rFonts w:ascii="Arial" w:hAnsi="Arial"/>
          <w:sz w:val="24"/>
          <w:lang w:val="fr-CA"/>
        </w:rPr>
        <w:t>l’acquisition passive d’</w:t>
      </w:r>
      <w:r w:rsidRPr="00DC53E5">
        <w:rPr>
          <w:rFonts w:ascii="Arial" w:hAnsi="Arial"/>
          <w:sz w:val="24"/>
          <w:lang w:val="fr-CA"/>
        </w:rPr>
        <w:t xml:space="preserve">anticorps du produit sanguin. Le cas échéant, effectuer un dépistage d’anticorps sur le plasma de l’unité du donneur si possible. Il se peut </w:t>
      </w:r>
      <w:r w:rsidR="003F23F2">
        <w:rPr>
          <w:rFonts w:ascii="Arial" w:hAnsi="Arial"/>
          <w:sz w:val="24"/>
          <w:lang w:val="fr-CA"/>
        </w:rPr>
        <w:t xml:space="preserve">aussi </w:t>
      </w:r>
      <w:r w:rsidRPr="00DC53E5">
        <w:rPr>
          <w:rFonts w:ascii="Arial" w:hAnsi="Arial"/>
          <w:sz w:val="24"/>
          <w:lang w:val="fr-CA"/>
        </w:rPr>
        <w:t>qu’il s’agisse d’une réaction anamnestique entraînant la production d’anticorps suite à une récente transfusion. Effectuer un phénotypage de toutes les unités de donneur transfusées afin de trouver l’antigène contre lequel le patient a produit un anti</w:t>
      </w:r>
      <w:r w:rsidR="00474DE5" w:rsidRPr="00DC53E5">
        <w:rPr>
          <w:rFonts w:ascii="Arial" w:hAnsi="Arial"/>
          <w:sz w:val="24"/>
          <w:lang w:val="fr-CA"/>
        </w:rPr>
        <w:t>corps</w:t>
      </w:r>
      <w:r w:rsidRPr="00DC53E5">
        <w:rPr>
          <w:rFonts w:ascii="Arial" w:hAnsi="Arial"/>
          <w:sz w:val="24"/>
          <w:lang w:val="fr-CA"/>
        </w:rPr>
        <w:t>. Voir EC.009 - Typage des antigènes - agglutination directe et indirecte.</w:t>
      </w:r>
    </w:p>
    <w:p w:rsidR="00C74999" w:rsidRPr="00DC53E5" w:rsidRDefault="00C74999">
      <w:pPr>
        <w:ind w:left="144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S’assurer que les résultats de l’investigation de la réaction transfusionnelle sont révisés par le directeur médical ou son représentant.</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Inscrire au dossier les résultats de l’investigation et </w:t>
      </w:r>
      <w:r w:rsidR="003F23F2">
        <w:rPr>
          <w:rFonts w:ascii="Arial" w:hAnsi="Arial"/>
          <w:sz w:val="24"/>
          <w:lang w:val="fr-CA"/>
        </w:rPr>
        <w:t>leur</w:t>
      </w:r>
      <w:r w:rsidRPr="00DC53E5">
        <w:rPr>
          <w:rFonts w:ascii="Arial" w:hAnsi="Arial"/>
          <w:sz w:val="24"/>
          <w:lang w:val="fr-CA"/>
        </w:rPr>
        <w:t xml:space="preserve"> révision </w:t>
      </w:r>
      <w:r w:rsidR="003F23F2">
        <w:rPr>
          <w:rFonts w:ascii="Arial" w:hAnsi="Arial"/>
          <w:sz w:val="24"/>
          <w:lang w:val="fr-CA"/>
        </w:rPr>
        <w:t>par le</w:t>
      </w:r>
      <w:r w:rsidRPr="00DC53E5">
        <w:rPr>
          <w:rFonts w:ascii="Arial" w:hAnsi="Arial"/>
          <w:sz w:val="24"/>
          <w:lang w:val="fr-CA"/>
        </w:rPr>
        <w:t xml:space="preserve"> directeur médical ou de son représentant.</w:t>
      </w:r>
    </w:p>
    <w:p w:rsidR="00C74999" w:rsidRPr="00DC53E5" w:rsidRDefault="00C74999">
      <w:pPr>
        <w:rPr>
          <w:rFonts w:ascii="Arial" w:hAnsi="Arial"/>
          <w:sz w:val="24"/>
          <w:lang w:val="fr-CA"/>
        </w:rPr>
      </w:pPr>
    </w:p>
    <w:p w:rsidR="00C74999" w:rsidRPr="00DC53E5" w:rsidRDefault="00CD137F">
      <w:pPr>
        <w:ind w:left="720"/>
        <w:rPr>
          <w:rFonts w:ascii="Arial" w:hAnsi="Arial"/>
          <w:b/>
          <w:sz w:val="24"/>
          <w:lang w:val="fr-CA"/>
        </w:rPr>
      </w:pPr>
      <w:r>
        <w:rPr>
          <w:rFonts w:ascii="Arial" w:hAnsi="Arial"/>
          <w:b/>
          <w:sz w:val="24"/>
          <w:lang w:val="fr-CA"/>
        </w:rPr>
        <w:t>MESURES</w:t>
      </w:r>
      <w:r w:rsidR="00C74999" w:rsidRPr="00DC53E5">
        <w:rPr>
          <w:rFonts w:ascii="Arial" w:hAnsi="Arial"/>
          <w:b/>
          <w:sz w:val="24"/>
          <w:lang w:val="fr-CA"/>
        </w:rPr>
        <w:t xml:space="preserve"> </w:t>
      </w:r>
      <w:r w:rsidR="00474DE5" w:rsidRPr="00DC53E5">
        <w:rPr>
          <w:rFonts w:ascii="Arial" w:hAnsi="Arial"/>
          <w:b/>
          <w:sz w:val="24"/>
          <w:lang w:val="fr-CA"/>
        </w:rPr>
        <w:t xml:space="preserve">SUPPLÉMENTAIRES DANS DES </w:t>
      </w:r>
      <w:r w:rsidR="00C74999" w:rsidRPr="00DC53E5">
        <w:rPr>
          <w:rFonts w:ascii="Arial" w:hAnsi="Arial"/>
          <w:b/>
          <w:sz w:val="24"/>
          <w:lang w:val="fr-CA"/>
        </w:rPr>
        <w:t xml:space="preserve">CIRCONSTANCES </w:t>
      </w:r>
      <w:r w:rsidR="00474DE5" w:rsidRPr="00DC53E5">
        <w:rPr>
          <w:rFonts w:ascii="Arial" w:hAnsi="Arial"/>
          <w:b/>
          <w:sz w:val="24"/>
          <w:lang w:val="fr-CA"/>
        </w:rPr>
        <w:t xml:space="preserve">PARTICULIÈRES </w:t>
      </w:r>
      <w:r w:rsidR="00C74999" w:rsidRPr="00DC53E5">
        <w:rPr>
          <w:rFonts w:ascii="Arial" w:hAnsi="Arial"/>
          <w:b/>
          <w:sz w:val="24"/>
          <w:lang w:val="fr-CA"/>
        </w:rPr>
        <w:t xml:space="preserve"> </w:t>
      </w:r>
    </w:p>
    <w:p w:rsidR="00C74999" w:rsidRPr="00DC53E5" w:rsidRDefault="00C74999">
      <w:pPr>
        <w:ind w:left="720"/>
        <w:rPr>
          <w:rFonts w:ascii="Arial" w:hAnsi="Arial"/>
          <w:sz w:val="24"/>
          <w:lang w:val="fr-CA"/>
        </w:rPr>
      </w:pPr>
    </w:p>
    <w:p w:rsidR="00C74999" w:rsidRPr="00DC53E5" w:rsidRDefault="00474DE5">
      <w:pPr>
        <w:numPr>
          <w:ilvl w:val="1"/>
          <w:numId w:val="1"/>
        </w:numPr>
        <w:rPr>
          <w:rFonts w:ascii="Arial" w:hAnsi="Arial"/>
          <w:sz w:val="24"/>
          <w:lang w:val="fr-CA"/>
        </w:rPr>
      </w:pPr>
      <w:r w:rsidRPr="00DC53E5">
        <w:rPr>
          <w:rFonts w:ascii="Arial" w:hAnsi="Arial"/>
          <w:sz w:val="24"/>
          <w:u w:val="single"/>
          <w:lang w:val="fr-CA"/>
        </w:rPr>
        <w:t>Réaction a</w:t>
      </w:r>
      <w:r w:rsidR="00C74999" w:rsidRPr="00DC53E5">
        <w:rPr>
          <w:rFonts w:ascii="Arial" w:hAnsi="Arial"/>
          <w:sz w:val="24"/>
          <w:u w:val="single"/>
          <w:lang w:val="fr-CA"/>
        </w:rPr>
        <w:t xml:space="preserve">naphylactique </w:t>
      </w:r>
    </w:p>
    <w:p w:rsidR="00C74999" w:rsidRPr="00DC53E5" w:rsidRDefault="00C74999">
      <w:pPr>
        <w:ind w:left="1440"/>
        <w:rPr>
          <w:rFonts w:ascii="Arial" w:hAnsi="Arial"/>
          <w:sz w:val="24"/>
          <w:lang w:val="fr-CA"/>
        </w:rPr>
      </w:pPr>
      <w:r w:rsidRPr="00DC53E5">
        <w:rPr>
          <w:rFonts w:ascii="Arial" w:hAnsi="Arial"/>
          <w:sz w:val="24"/>
          <w:lang w:val="fr-CA"/>
        </w:rPr>
        <w:t xml:space="preserve">Si les symptômes font soupçonner une réaction anaphylactique, envoyer un échantillon pré-transfusionnel à des fins de dosage des IgA et de dépistage des anti-IgA. Fournir des produits sanguins </w:t>
      </w:r>
      <w:r w:rsidR="003F23F2">
        <w:rPr>
          <w:rFonts w:ascii="Arial" w:hAnsi="Arial"/>
          <w:sz w:val="24"/>
          <w:lang w:val="fr-CA"/>
        </w:rPr>
        <w:t>exempts d’</w:t>
      </w:r>
      <w:r w:rsidRPr="00DC53E5">
        <w:rPr>
          <w:rFonts w:ascii="Arial" w:hAnsi="Arial"/>
          <w:sz w:val="24"/>
          <w:lang w:val="fr-CA"/>
        </w:rPr>
        <w:t>IgA jusqu’à la sortie et à l’évaluation des résultats des épreuves anti-IgA.</w:t>
      </w:r>
    </w:p>
    <w:p w:rsidR="00C74999" w:rsidRPr="00DC53E5" w:rsidRDefault="00C74999">
      <w:pPr>
        <w:ind w:left="720"/>
        <w:rPr>
          <w:rFonts w:ascii="Arial" w:hAnsi="Arial"/>
          <w:sz w:val="24"/>
          <w:lang w:val="fr-CA"/>
        </w:rPr>
      </w:pPr>
    </w:p>
    <w:p w:rsidR="00C74999" w:rsidRPr="00DC53E5" w:rsidRDefault="00FC477B">
      <w:pPr>
        <w:numPr>
          <w:ilvl w:val="1"/>
          <w:numId w:val="1"/>
        </w:numPr>
        <w:rPr>
          <w:rFonts w:ascii="Arial" w:hAnsi="Arial"/>
          <w:sz w:val="24"/>
          <w:lang w:val="fr-CA"/>
        </w:rPr>
      </w:pPr>
      <w:r>
        <w:rPr>
          <w:rFonts w:ascii="Arial" w:hAnsi="Arial"/>
          <w:sz w:val="24"/>
          <w:u w:val="single"/>
          <w:lang w:val="fr-CA"/>
        </w:rPr>
        <w:t>Contamination</w:t>
      </w:r>
      <w:r w:rsidR="00474DE5" w:rsidRPr="00DC53E5">
        <w:rPr>
          <w:rFonts w:ascii="Arial" w:hAnsi="Arial"/>
          <w:sz w:val="24"/>
          <w:u w:val="single"/>
          <w:lang w:val="fr-CA"/>
        </w:rPr>
        <w:t xml:space="preserve"> b</w:t>
      </w:r>
      <w:r w:rsidR="00C74999" w:rsidRPr="00DC53E5">
        <w:rPr>
          <w:rFonts w:ascii="Arial" w:hAnsi="Arial"/>
          <w:sz w:val="24"/>
          <w:u w:val="single"/>
          <w:lang w:val="fr-CA"/>
        </w:rPr>
        <w:t>actérie</w:t>
      </w:r>
      <w:r w:rsidR="00474DE5" w:rsidRPr="00DC53E5">
        <w:rPr>
          <w:rFonts w:ascii="Arial" w:hAnsi="Arial"/>
          <w:sz w:val="24"/>
          <w:u w:val="single"/>
          <w:lang w:val="fr-CA"/>
        </w:rPr>
        <w:t>nne</w:t>
      </w:r>
      <w:r w:rsidR="00C74999" w:rsidRPr="00DC53E5">
        <w:rPr>
          <w:rFonts w:ascii="Arial" w:hAnsi="Arial"/>
          <w:sz w:val="24"/>
          <w:u w:val="single"/>
          <w:lang w:val="fr-CA"/>
        </w:rPr>
        <w:t xml:space="preserve"> </w:t>
      </w:r>
    </w:p>
    <w:p w:rsidR="00C74999" w:rsidRPr="00DC53E5" w:rsidRDefault="00C74999">
      <w:pPr>
        <w:ind w:left="1440"/>
        <w:rPr>
          <w:rFonts w:ascii="Arial" w:hAnsi="Arial"/>
          <w:sz w:val="24"/>
          <w:lang w:val="fr-CA"/>
        </w:rPr>
      </w:pPr>
      <w:r w:rsidRPr="00DC53E5">
        <w:rPr>
          <w:rFonts w:ascii="Arial" w:hAnsi="Arial"/>
          <w:sz w:val="24"/>
          <w:lang w:val="fr-CA"/>
        </w:rPr>
        <w:t>Examiner l’unité retournée pour y déceler tout</w:t>
      </w:r>
      <w:r w:rsidR="00474DE5" w:rsidRPr="00DC53E5">
        <w:rPr>
          <w:rFonts w:ascii="Arial" w:hAnsi="Arial"/>
          <w:sz w:val="24"/>
          <w:lang w:val="fr-CA"/>
        </w:rPr>
        <w:t>e anomalie visible</w:t>
      </w:r>
      <w:r w:rsidRPr="00DC53E5">
        <w:rPr>
          <w:rFonts w:ascii="Arial" w:hAnsi="Arial"/>
          <w:sz w:val="24"/>
          <w:lang w:val="fr-CA"/>
        </w:rPr>
        <w:t>, y compris des caillots ou une décoloration brunâtre, opaque, boueuse ou mauve. Si les symptômes font soupçonner une septicémie bactérienne, effectuer une coloration gram et une culture tant aérobique qu’anaérobique du contenu du sac. Voir Remarques 8.5, 8.6 et 8.7.</w:t>
      </w:r>
    </w:p>
    <w:p w:rsidR="00C74999" w:rsidRPr="00DC53E5" w:rsidRDefault="00C74999">
      <w:pPr>
        <w:ind w:left="720"/>
        <w:rPr>
          <w:rFonts w:ascii="Arial" w:hAnsi="Arial"/>
          <w:sz w:val="24"/>
          <w:lang w:val="fr-CA"/>
        </w:rPr>
      </w:pPr>
    </w:p>
    <w:p w:rsidR="00C74999" w:rsidRPr="00DC53E5" w:rsidRDefault="0010402C">
      <w:pPr>
        <w:numPr>
          <w:ilvl w:val="1"/>
          <w:numId w:val="1"/>
        </w:numPr>
        <w:rPr>
          <w:rFonts w:ascii="Arial" w:hAnsi="Arial"/>
          <w:sz w:val="24"/>
          <w:lang w:val="fr-CA"/>
        </w:rPr>
      </w:pPr>
      <w:r w:rsidRPr="003F23F2">
        <w:rPr>
          <w:rFonts w:ascii="Arial" w:hAnsi="Arial" w:cs="Arial"/>
          <w:sz w:val="24"/>
          <w:u w:val="single"/>
          <w:lang w:val="fr-CA"/>
        </w:rPr>
        <w:t>Syndrome respiratoire aigu post-transfusionnel</w:t>
      </w:r>
      <w:r w:rsidRPr="00DC53E5">
        <w:rPr>
          <w:rFonts w:ascii="Arial" w:hAnsi="Arial" w:cs="Arial"/>
          <w:sz w:val="24"/>
          <w:lang w:val="fr-CA"/>
        </w:rPr>
        <w:t xml:space="preserve"> </w:t>
      </w:r>
      <w:r w:rsidR="003B5F67" w:rsidRPr="003F23F2">
        <w:rPr>
          <w:rFonts w:ascii="Arial" w:hAnsi="Arial"/>
          <w:sz w:val="24"/>
          <w:lang w:val="fr-CA"/>
        </w:rPr>
        <w:t>(</w:t>
      </w:r>
      <w:r w:rsidR="00C74999" w:rsidRPr="003F23F2">
        <w:rPr>
          <w:rFonts w:ascii="Arial" w:hAnsi="Arial"/>
          <w:sz w:val="24"/>
          <w:lang w:val="fr-CA"/>
        </w:rPr>
        <w:t>TRALI</w:t>
      </w:r>
      <w:r w:rsidR="003B5F67" w:rsidRPr="003F23F2">
        <w:rPr>
          <w:rFonts w:ascii="Arial" w:hAnsi="Arial"/>
          <w:sz w:val="24"/>
          <w:lang w:val="fr-CA"/>
        </w:rPr>
        <w:t>)</w:t>
      </w:r>
    </w:p>
    <w:p w:rsidR="00C74999" w:rsidRPr="00DC53E5" w:rsidRDefault="00C74999">
      <w:pPr>
        <w:ind w:left="1440"/>
        <w:rPr>
          <w:rFonts w:ascii="Arial" w:hAnsi="Arial"/>
          <w:sz w:val="24"/>
          <w:lang w:val="fr-CA"/>
        </w:rPr>
      </w:pPr>
      <w:r w:rsidRPr="00DC53E5">
        <w:rPr>
          <w:rFonts w:ascii="Arial" w:hAnsi="Arial"/>
          <w:sz w:val="24"/>
          <w:lang w:val="fr-CA"/>
        </w:rPr>
        <w:t>Si les symptômes et/ou la présentation cli</w:t>
      </w:r>
      <w:r w:rsidRPr="00DC53E5">
        <w:rPr>
          <w:rFonts w:ascii="Arial" w:hAnsi="Arial" w:cs="Arial"/>
          <w:sz w:val="24"/>
          <w:lang w:val="fr-CA"/>
        </w:rPr>
        <w:t xml:space="preserve">nique </w:t>
      </w:r>
      <w:r w:rsidRPr="00DC53E5">
        <w:rPr>
          <w:rFonts w:ascii="Arial" w:hAnsi="Arial"/>
          <w:sz w:val="24"/>
          <w:lang w:val="fr-CA"/>
        </w:rPr>
        <w:t xml:space="preserve">font soupçonner </w:t>
      </w:r>
      <w:r w:rsidRPr="00DC53E5">
        <w:rPr>
          <w:rFonts w:ascii="Arial" w:hAnsi="Arial" w:cs="Arial"/>
          <w:sz w:val="24"/>
          <w:lang w:val="fr-CA"/>
        </w:rPr>
        <w:t>un syndrome respiratoire aigu post-transfusionnel (TRALI)</w:t>
      </w:r>
      <w:r w:rsidRPr="00DC53E5">
        <w:rPr>
          <w:rFonts w:ascii="Arial" w:hAnsi="Arial"/>
          <w:sz w:val="24"/>
          <w:lang w:val="fr-CA"/>
        </w:rPr>
        <w:t xml:space="preserve">, aviser le fournisseur de sang pour qu’il teste le plasma des donneurs afin d’y déceler </w:t>
      </w:r>
      <w:r w:rsidR="00E16E5E" w:rsidRPr="00DC53E5">
        <w:rPr>
          <w:rFonts w:ascii="Arial" w:hAnsi="Arial"/>
          <w:sz w:val="24"/>
          <w:lang w:val="fr-CA"/>
        </w:rPr>
        <w:t>l</w:t>
      </w:r>
      <w:r w:rsidRPr="00DC53E5">
        <w:rPr>
          <w:rFonts w:ascii="Arial" w:hAnsi="Arial"/>
          <w:sz w:val="24"/>
          <w:lang w:val="fr-CA"/>
        </w:rPr>
        <w:t>es anticorps HLA.</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u w:val="single"/>
          <w:lang w:val="fr-CA"/>
        </w:rPr>
        <w:t xml:space="preserve">Infection transmise par transfusion </w:t>
      </w:r>
    </w:p>
    <w:p w:rsidR="00C74999" w:rsidRPr="00DC53E5" w:rsidRDefault="00C74999">
      <w:pPr>
        <w:pStyle w:val="BodyTextIndent2"/>
      </w:pPr>
      <w:r w:rsidRPr="00DC53E5">
        <w:t xml:space="preserve">Quand un médecin communique avec le </w:t>
      </w:r>
      <w:r w:rsidR="00FC477B">
        <w:t>LMT</w:t>
      </w:r>
      <w:r w:rsidRPr="00DC53E5">
        <w:t xml:space="preserve"> pour signaler un</w:t>
      </w:r>
      <w:r w:rsidR="00E16E5E" w:rsidRPr="00DC53E5">
        <w:t xml:space="preserve"> soupçon d’</w:t>
      </w:r>
      <w:r w:rsidRPr="00DC53E5">
        <w:t>infection transmise par transfusion ou tout autre type de complication transfusionnelle</w:t>
      </w:r>
      <w:r w:rsidR="00E16E5E" w:rsidRPr="00DC53E5">
        <w:t>,</w:t>
      </w:r>
      <w:r w:rsidRPr="00DC53E5">
        <w:t xml:space="preserve"> telle que décrite </w:t>
      </w:r>
      <w:r w:rsidR="00E16E5E" w:rsidRPr="00DC53E5">
        <w:t>en</w:t>
      </w:r>
      <w:r w:rsidRPr="00DC53E5">
        <w:t xml:space="preserve"> 5.2, télécopier un formulaire d’Avis de complication transfusionnelle tardive ou de transmission de maladie – </w:t>
      </w:r>
      <w:r w:rsidR="00474DE5" w:rsidRPr="00DC53E5">
        <w:t>A</w:t>
      </w:r>
      <w:r w:rsidRPr="00DC53E5">
        <w:t xml:space="preserve">R.012F2 au bureau du médecin. Demander au médecin de retourner le formulaire au </w:t>
      </w:r>
      <w:r w:rsidR="003F23F2">
        <w:t>LMT</w:t>
      </w:r>
      <w:r w:rsidRPr="00DC53E5">
        <w:t xml:space="preserve"> de l’hôpital le plus rapidement possible.</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u w:val="single"/>
          <w:lang w:val="fr-CA"/>
        </w:rPr>
        <w:t>Avis de complication transfusionnelle tardive ou de transmission de maladie – AR.012F2</w:t>
      </w:r>
    </w:p>
    <w:p w:rsidR="00C74999" w:rsidRPr="00DC53E5" w:rsidRDefault="00C74999">
      <w:pPr>
        <w:ind w:left="1440"/>
        <w:rPr>
          <w:rFonts w:ascii="Arial" w:hAnsi="Arial"/>
          <w:sz w:val="24"/>
          <w:lang w:val="fr-CA"/>
        </w:rPr>
      </w:pPr>
    </w:p>
    <w:p w:rsidR="00C74999" w:rsidRPr="00DC53E5" w:rsidRDefault="00C74999" w:rsidP="00B1206E">
      <w:pPr>
        <w:numPr>
          <w:ilvl w:val="0"/>
          <w:numId w:val="9"/>
        </w:numPr>
        <w:tabs>
          <w:tab w:val="clear" w:pos="360"/>
          <w:tab w:val="num" w:pos="1800"/>
        </w:tabs>
        <w:ind w:left="1800"/>
        <w:rPr>
          <w:rFonts w:ascii="Arial" w:hAnsi="Arial"/>
          <w:sz w:val="24"/>
          <w:lang w:val="fr-CA"/>
        </w:rPr>
      </w:pPr>
      <w:r w:rsidRPr="006800C3">
        <w:rPr>
          <w:rFonts w:ascii="Arial" w:hAnsi="Arial"/>
          <w:sz w:val="24"/>
          <w:lang w:val="fr-CA"/>
        </w:rPr>
        <w:t>Si</w:t>
      </w:r>
      <w:r w:rsidRPr="00DC53E5">
        <w:rPr>
          <w:rFonts w:ascii="Arial" w:hAnsi="Arial"/>
          <w:sz w:val="24"/>
          <w:lang w:val="fr-CA"/>
        </w:rPr>
        <w:t xml:space="preserve"> une réaction transfusionnelle </w:t>
      </w:r>
      <w:r w:rsidR="003F23F2">
        <w:rPr>
          <w:rFonts w:ascii="Arial" w:hAnsi="Arial"/>
          <w:sz w:val="24"/>
          <w:lang w:val="fr-CA"/>
        </w:rPr>
        <w:t xml:space="preserve">tardive </w:t>
      </w:r>
      <w:r w:rsidRPr="00DC53E5">
        <w:rPr>
          <w:rFonts w:ascii="Arial" w:hAnsi="Arial"/>
          <w:sz w:val="24"/>
          <w:lang w:val="fr-CA"/>
        </w:rPr>
        <w:t xml:space="preserve">est soupçonnée, faire un dépistage d’anticorps sur un échantillon post-transfusionnel. Si un anticorps est identifié, remplir la section « D » du formulaire d’avis. Signer et dater le formulaire et </w:t>
      </w:r>
      <w:r w:rsidR="00E16E5E" w:rsidRPr="00DC53E5">
        <w:rPr>
          <w:rFonts w:ascii="Arial" w:hAnsi="Arial"/>
          <w:sz w:val="24"/>
          <w:lang w:val="fr-CA"/>
        </w:rPr>
        <w:t xml:space="preserve">le </w:t>
      </w:r>
      <w:r w:rsidRPr="00DC53E5">
        <w:rPr>
          <w:rFonts w:ascii="Arial" w:hAnsi="Arial"/>
          <w:sz w:val="24"/>
          <w:lang w:val="fr-CA"/>
        </w:rPr>
        <w:t xml:space="preserve">remettre </w:t>
      </w:r>
      <w:r w:rsidR="003F23F2">
        <w:rPr>
          <w:rFonts w:ascii="Arial" w:hAnsi="Arial"/>
          <w:sz w:val="24"/>
          <w:lang w:val="fr-CA"/>
        </w:rPr>
        <w:t>a</w:t>
      </w:r>
      <w:r w:rsidRPr="00DC53E5">
        <w:rPr>
          <w:rFonts w:ascii="Arial" w:hAnsi="Arial"/>
          <w:sz w:val="24"/>
          <w:lang w:val="fr-CA"/>
        </w:rPr>
        <w:t xml:space="preserve">u directeur médical ou </w:t>
      </w:r>
      <w:r w:rsidR="00E16E5E" w:rsidRPr="00DC53E5">
        <w:rPr>
          <w:rFonts w:ascii="Arial" w:hAnsi="Arial"/>
          <w:sz w:val="24"/>
          <w:lang w:val="fr-CA"/>
        </w:rPr>
        <w:t xml:space="preserve">à </w:t>
      </w:r>
      <w:r w:rsidRPr="00DC53E5">
        <w:rPr>
          <w:rFonts w:ascii="Arial" w:hAnsi="Arial"/>
          <w:sz w:val="24"/>
          <w:lang w:val="fr-CA"/>
        </w:rPr>
        <w:t xml:space="preserve">son représentant </w:t>
      </w:r>
      <w:r w:rsidR="00E16E5E" w:rsidRPr="00DC53E5">
        <w:rPr>
          <w:rFonts w:ascii="Arial" w:hAnsi="Arial"/>
          <w:sz w:val="24"/>
          <w:lang w:val="fr-CA"/>
        </w:rPr>
        <w:t>qui le révisera</w:t>
      </w:r>
      <w:r w:rsidRPr="00DC53E5">
        <w:rPr>
          <w:rFonts w:ascii="Arial" w:hAnsi="Arial"/>
          <w:sz w:val="24"/>
          <w:lang w:val="fr-CA"/>
        </w:rPr>
        <w:t>. Remplir une fiche ou un dossier de renseignements pour le patient si l’anticorps est cliniquement significatif.</w:t>
      </w:r>
    </w:p>
    <w:p w:rsidR="00C74999" w:rsidRPr="00DC53E5" w:rsidRDefault="00C74999">
      <w:pPr>
        <w:ind w:left="2160"/>
        <w:rPr>
          <w:rFonts w:ascii="Arial" w:hAnsi="Arial"/>
          <w:sz w:val="24"/>
          <w:lang w:val="fr-CA"/>
        </w:rPr>
      </w:pPr>
    </w:p>
    <w:p w:rsidR="00C74999" w:rsidRPr="00DC53E5" w:rsidRDefault="00C74999">
      <w:pPr>
        <w:numPr>
          <w:ilvl w:val="0"/>
          <w:numId w:val="9"/>
        </w:numPr>
        <w:tabs>
          <w:tab w:val="clear" w:pos="360"/>
          <w:tab w:val="num" w:pos="1800"/>
        </w:tabs>
        <w:ind w:left="1800"/>
        <w:rPr>
          <w:rFonts w:ascii="Arial" w:hAnsi="Arial"/>
          <w:sz w:val="24"/>
          <w:lang w:val="fr-CA"/>
        </w:rPr>
      </w:pPr>
      <w:r w:rsidRPr="00DC53E5">
        <w:rPr>
          <w:rFonts w:ascii="Arial" w:hAnsi="Arial"/>
          <w:sz w:val="24"/>
          <w:lang w:val="fr-CA"/>
        </w:rPr>
        <w:t xml:space="preserve">Si une infection transmissible est soupçonnée, </w:t>
      </w:r>
      <w:r w:rsidR="00E16E5E" w:rsidRPr="00DC53E5">
        <w:rPr>
          <w:rFonts w:ascii="Arial" w:hAnsi="Arial"/>
          <w:sz w:val="24"/>
          <w:lang w:val="fr-CA"/>
        </w:rPr>
        <w:t>amorcer</w:t>
      </w:r>
      <w:r w:rsidRPr="00DC53E5">
        <w:rPr>
          <w:rFonts w:ascii="Arial" w:hAnsi="Arial"/>
          <w:sz w:val="24"/>
          <w:lang w:val="fr-CA"/>
        </w:rPr>
        <w:t xml:space="preserve"> un processus de retraçage des donneurs et des receveurs. Remplir le formulaire du fournisseur </w:t>
      </w:r>
      <w:r w:rsidR="00E16E5E" w:rsidRPr="00DC53E5">
        <w:rPr>
          <w:rFonts w:ascii="Arial" w:hAnsi="Arial"/>
          <w:sz w:val="24"/>
          <w:lang w:val="fr-CA"/>
        </w:rPr>
        <w:t>des produits sanguins</w:t>
      </w:r>
      <w:r w:rsidRPr="00DC53E5">
        <w:rPr>
          <w:rFonts w:ascii="Arial" w:hAnsi="Arial"/>
          <w:sz w:val="24"/>
          <w:lang w:val="fr-CA"/>
        </w:rPr>
        <w:t xml:space="preserve"> </w:t>
      </w:r>
      <w:r w:rsidR="00E16E5E" w:rsidRPr="00DC53E5">
        <w:rPr>
          <w:rFonts w:ascii="Arial" w:hAnsi="Arial"/>
          <w:sz w:val="24"/>
          <w:lang w:val="fr-CA"/>
        </w:rPr>
        <w:t xml:space="preserve">à </w:t>
      </w:r>
      <w:r w:rsidRPr="00DC53E5">
        <w:rPr>
          <w:rFonts w:ascii="Arial" w:hAnsi="Arial"/>
          <w:sz w:val="24"/>
          <w:lang w:val="fr-CA"/>
        </w:rPr>
        <w:t xml:space="preserve">des fins d’avis de retraçage ainsi que la fiche ou le </w:t>
      </w:r>
      <w:r w:rsidR="00E16E5E" w:rsidRPr="00DC53E5">
        <w:rPr>
          <w:rFonts w:ascii="Arial" w:hAnsi="Arial"/>
          <w:sz w:val="24"/>
          <w:lang w:val="fr-CA"/>
        </w:rPr>
        <w:t>registre</w:t>
      </w:r>
      <w:r w:rsidRPr="00DC53E5">
        <w:rPr>
          <w:rFonts w:ascii="Arial" w:hAnsi="Arial"/>
          <w:sz w:val="24"/>
          <w:lang w:val="fr-CA"/>
        </w:rPr>
        <w:t xml:space="preserve"> de renseignements de </w:t>
      </w:r>
      <w:r w:rsidR="006800C3" w:rsidRPr="00DC53E5">
        <w:rPr>
          <w:rFonts w:ascii="Arial" w:hAnsi="Arial"/>
          <w:sz w:val="24"/>
          <w:lang w:val="fr-CA"/>
        </w:rPr>
        <w:t>l’</w:t>
      </w:r>
      <w:r w:rsidR="006800C3">
        <w:rPr>
          <w:rFonts w:ascii="Arial" w:hAnsi="Arial"/>
          <w:sz w:val="24"/>
          <w:lang w:val="fr-CA"/>
        </w:rPr>
        <w:t>h</w:t>
      </w:r>
      <w:r w:rsidR="006800C3" w:rsidRPr="00DC53E5">
        <w:rPr>
          <w:rFonts w:ascii="Arial" w:hAnsi="Arial"/>
          <w:sz w:val="24"/>
          <w:lang w:val="fr-CA"/>
        </w:rPr>
        <w:t>ôpital</w:t>
      </w:r>
      <w:r w:rsidRPr="00DC53E5">
        <w:rPr>
          <w:rFonts w:ascii="Arial" w:hAnsi="Arial"/>
          <w:sz w:val="24"/>
          <w:lang w:val="fr-CA"/>
        </w:rPr>
        <w:t>.</w:t>
      </w:r>
    </w:p>
    <w:p w:rsidR="00C74999" w:rsidRPr="00DC53E5" w:rsidRDefault="00C74999">
      <w:pPr>
        <w:ind w:left="1440"/>
        <w:rPr>
          <w:rFonts w:ascii="Arial" w:hAnsi="Arial"/>
          <w:sz w:val="24"/>
          <w:lang w:val="fr-CA"/>
        </w:rPr>
      </w:pPr>
    </w:p>
    <w:p w:rsidR="00C74999" w:rsidRPr="00DC53E5" w:rsidRDefault="00C74999">
      <w:pPr>
        <w:numPr>
          <w:ilvl w:val="0"/>
          <w:numId w:val="1"/>
        </w:numPr>
        <w:rPr>
          <w:rFonts w:ascii="Arial" w:hAnsi="Arial"/>
          <w:b/>
          <w:sz w:val="28"/>
          <w:lang w:val="fr-CA"/>
        </w:rPr>
      </w:pPr>
      <w:r w:rsidRPr="00DC53E5">
        <w:rPr>
          <w:rFonts w:ascii="Arial" w:hAnsi="Arial"/>
          <w:b/>
          <w:sz w:val="28"/>
          <w:lang w:val="fr-CA"/>
        </w:rPr>
        <w:t>Documentation</w:t>
      </w:r>
    </w:p>
    <w:p w:rsidR="00C74999" w:rsidRPr="00DC53E5" w:rsidRDefault="00C74999">
      <w:pPr>
        <w:rPr>
          <w:rFonts w:ascii="Arial" w:hAnsi="Arial"/>
          <w:b/>
          <w:sz w:val="24"/>
          <w:lang w:val="fr-CA"/>
        </w:rPr>
      </w:pPr>
    </w:p>
    <w:p w:rsidR="00C74999" w:rsidRPr="00DC53E5" w:rsidRDefault="00C74999">
      <w:pPr>
        <w:pStyle w:val="BodyTextIndent"/>
        <w:numPr>
          <w:ilvl w:val="1"/>
          <w:numId w:val="1"/>
        </w:numPr>
        <w:rPr>
          <w:lang w:val="fr-CA"/>
        </w:rPr>
      </w:pPr>
      <w:r w:rsidRPr="00DC53E5">
        <w:rPr>
          <w:lang w:val="fr-CA"/>
        </w:rPr>
        <w:t>Signaler toute complication transfusionnelle grave au fournisseur de sang</w:t>
      </w:r>
      <w:r w:rsidR="00FC477B">
        <w:rPr>
          <w:lang w:val="fr-CA"/>
        </w:rPr>
        <w:t xml:space="preserve">, au fabricant et au </w:t>
      </w:r>
      <w:r w:rsidR="00FC477B" w:rsidRPr="00FC477B">
        <w:rPr>
          <w:lang w:val="fr-CA"/>
        </w:rPr>
        <w:t>Système de surveillance des incidents transfusionnels</w:t>
      </w:r>
      <w:r w:rsidR="00FC477B">
        <w:rPr>
          <w:lang w:val="fr-CA"/>
        </w:rPr>
        <w:t xml:space="preserve"> (SSIT</w:t>
      </w:r>
      <w:r w:rsidR="00FC477B" w:rsidRPr="00FC477B">
        <w:rPr>
          <w:lang w:val="fr-CA"/>
        </w:rPr>
        <w:t>)</w:t>
      </w:r>
      <w:r w:rsidR="00FC477B">
        <w:rPr>
          <w:lang w:val="fr-CA"/>
        </w:rPr>
        <w:t>, le cas échéant</w:t>
      </w:r>
      <w:r w:rsidRPr="00DC53E5">
        <w:rPr>
          <w:lang w:val="fr-CA"/>
        </w:rPr>
        <w:t xml:space="preserve">. Il faut signaler tout décès </w:t>
      </w:r>
      <w:r w:rsidR="003F23F2">
        <w:rPr>
          <w:lang w:val="fr-CA"/>
        </w:rPr>
        <w:t xml:space="preserve">au plus tard </w:t>
      </w:r>
      <w:r w:rsidRPr="00DC53E5">
        <w:rPr>
          <w:lang w:val="fr-CA"/>
        </w:rPr>
        <w:t>le jour ouvrable suivant et remettre un rapport écrit dans les sept jours</w:t>
      </w:r>
      <w:r w:rsidR="006800C3">
        <w:rPr>
          <w:lang w:val="fr-CA"/>
        </w:rPr>
        <w:t xml:space="preserve"> suivants</w:t>
      </w:r>
      <w:r w:rsidRPr="00DC53E5">
        <w:rPr>
          <w:lang w:val="fr-CA"/>
        </w:rPr>
        <w:t>. Pour de plus amples renseignements, consulter la Circulaire d’information sur l’utilisation de sang et de composants sanguins humains</w:t>
      </w:r>
      <w:r w:rsidR="00FC477B" w:rsidRPr="00FC477B">
        <w:rPr>
          <w:vertAlign w:val="superscript"/>
          <w:lang w:val="fr-CA"/>
        </w:rPr>
        <w:t>9.3</w:t>
      </w:r>
      <w:r w:rsidRPr="00DC53E5">
        <w:rPr>
          <w:lang w:val="fr-CA"/>
        </w:rPr>
        <w:t>.</w:t>
      </w:r>
    </w:p>
    <w:p w:rsidR="00C74999" w:rsidRPr="00DC53E5" w:rsidRDefault="00C74999">
      <w:pPr>
        <w:pStyle w:val="BodyTextIndent"/>
        <w:rPr>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Les résultats des réactions transfusionnelles doivent être révisés par le directeur médical ou son représentant et l’interprétation des résultats doit être inscrite au dossier médical du patient.</w:t>
      </w:r>
    </w:p>
    <w:p w:rsidR="00C74999" w:rsidRPr="00DC53E5" w:rsidRDefault="00C74999">
      <w:pPr>
        <w:ind w:left="720"/>
        <w:rPr>
          <w:rFonts w:ascii="Arial" w:hAnsi="Arial"/>
          <w:sz w:val="24"/>
          <w:lang w:val="fr-CA"/>
        </w:rPr>
      </w:pPr>
    </w:p>
    <w:p w:rsidR="00C74999" w:rsidRPr="00DC53E5" w:rsidRDefault="00C74999">
      <w:pPr>
        <w:numPr>
          <w:ilvl w:val="0"/>
          <w:numId w:val="1"/>
        </w:numPr>
        <w:rPr>
          <w:rFonts w:ascii="Arial" w:hAnsi="Arial"/>
          <w:b/>
          <w:sz w:val="28"/>
          <w:lang w:val="fr-CA"/>
        </w:rPr>
      </w:pPr>
      <w:r w:rsidRPr="00DC53E5">
        <w:rPr>
          <w:rFonts w:ascii="Arial" w:hAnsi="Arial"/>
          <w:b/>
          <w:sz w:val="28"/>
          <w:lang w:val="fr-CA"/>
        </w:rPr>
        <w:t>Remarques</w:t>
      </w:r>
    </w:p>
    <w:p w:rsidR="00C74999" w:rsidRPr="00DC53E5" w:rsidRDefault="00C74999">
      <w:pPr>
        <w:rPr>
          <w:rFonts w:ascii="Arial" w:hAnsi="Arial"/>
          <w:b/>
          <w:sz w:val="24"/>
          <w:lang w:val="fr-CA"/>
        </w:rPr>
      </w:pPr>
    </w:p>
    <w:p w:rsidR="00C74999" w:rsidRPr="00DC53E5" w:rsidRDefault="00C74999">
      <w:pPr>
        <w:pStyle w:val="BodyTextIndent"/>
        <w:numPr>
          <w:ilvl w:val="1"/>
          <w:numId w:val="1"/>
        </w:numPr>
        <w:rPr>
          <w:lang w:val="fr-CA"/>
        </w:rPr>
      </w:pPr>
      <w:r w:rsidRPr="00DC53E5">
        <w:rPr>
          <w:lang w:val="fr-CA"/>
        </w:rPr>
        <w:t>Si un échantillon post-transfusionnel n’est pas prélevé dans les 5</w:t>
      </w:r>
      <w:r w:rsidR="00E16E5E" w:rsidRPr="00DC53E5">
        <w:rPr>
          <w:lang w:val="fr-CA"/>
        </w:rPr>
        <w:t xml:space="preserve"> à </w:t>
      </w:r>
      <w:r w:rsidRPr="00DC53E5">
        <w:rPr>
          <w:lang w:val="fr-CA"/>
        </w:rPr>
        <w:t xml:space="preserve">7 heures suivant une réaction hémolytique aiguë, des produits de dégradation de l’hémoglobine, surtout la bilirubine, peuvent être présents dans la circulation et causer une décoloration jaune ou brune. L’augmentation du taux de bilirubine peut commencer </w:t>
      </w:r>
      <w:r w:rsidR="00E16E5E" w:rsidRPr="00DC53E5">
        <w:rPr>
          <w:lang w:val="fr-CA"/>
        </w:rPr>
        <w:t xml:space="preserve">à peine </w:t>
      </w:r>
      <w:r w:rsidRPr="00DC53E5">
        <w:rPr>
          <w:lang w:val="fr-CA"/>
        </w:rPr>
        <w:t xml:space="preserve">une heure après la réaction, atteindre son apogée </w:t>
      </w:r>
      <w:r w:rsidR="00E16E5E" w:rsidRPr="00DC53E5">
        <w:rPr>
          <w:lang w:val="fr-CA"/>
        </w:rPr>
        <w:t xml:space="preserve">au bout de </w:t>
      </w:r>
      <w:r w:rsidRPr="00DC53E5">
        <w:rPr>
          <w:lang w:val="fr-CA"/>
        </w:rPr>
        <w:t>5</w:t>
      </w:r>
      <w:r w:rsidR="00E16E5E" w:rsidRPr="00DC53E5">
        <w:rPr>
          <w:lang w:val="fr-CA"/>
        </w:rPr>
        <w:t xml:space="preserve"> à </w:t>
      </w:r>
      <w:r w:rsidRPr="00DC53E5">
        <w:rPr>
          <w:lang w:val="fr-CA"/>
        </w:rPr>
        <w:t>7 heures et disparaître dans les 24 heures si la fonction hépatique est normale.</w:t>
      </w:r>
    </w:p>
    <w:p w:rsidR="00C74999" w:rsidRPr="00DC53E5" w:rsidRDefault="00C74999">
      <w:pPr>
        <w:pStyle w:val="BodyTextIndent"/>
        <w:rPr>
          <w:lang w:val="fr-CA"/>
        </w:rPr>
      </w:pPr>
    </w:p>
    <w:p w:rsidR="00C74999" w:rsidRPr="00DC53E5" w:rsidRDefault="00C74999">
      <w:pPr>
        <w:numPr>
          <w:ilvl w:val="1"/>
          <w:numId w:val="1"/>
        </w:numPr>
        <w:rPr>
          <w:rFonts w:ascii="Arial" w:hAnsi="Arial" w:cs="Arial"/>
          <w:sz w:val="24"/>
          <w:lang w:val="fr-CA"/>
        </w:rPr>
      </w:pPr>
      <w:r w:rsidRPr="00DC53E5">
        <w:rPr>
          <w:rFonts w:ascii="Arial" w:hAnsi="Arial" w:cs="Arial"/>
          <w:sz w:val="24"/>
          <w:lang w:val="fr-CA"/>
        </w:rPr>
        <w:t xml:space="preserve">Examiner l’urine post-transfusionnelle </w:t>
      </w:r>
      <w:r w:rsidR="003F23F2">
        <w:rPr>
          <w:rFonts w:ascii="Arial" w:hAnsi="Arial" w:cs="Arial"/>
          <w:sz w:val="24"/>
          <w:lang w:val="fr-CA"/>
        </w:rPr>
        <w:t>à la recherche de</w:t>
      </w:r>
      <w:r w:rsidRPr="00DC53E5">
        <w:rPr>
          <w:rFonts w:ascii="Arial" w:hAnsi="Arial" w:cs="Arial"/>
          <w:sz w:val="24"/>
          <w:lang w:val="fr-CA"/>
        </w:rPr>
        <w:t xml:space="preserve"> signes d’hématurie, </w:t>
      </w:r>
      <w:r w:rsidR="003F23F2">
        <w:rPr>
          <w:rFonts w:ascii="Arial" w:hAnsi="Arial" w:cs="Arial"/>
          <w:sz w:val="24"/>
          <w:lang w:val="fr-CA"/>
        </w:rPr>
        <w:t>d’</w:t>
      </w:r>
      <w:r w:rsidRPr="00DC53E5">
        <w:rPr>
          <w:rFonts w:ascii="Arial" w:hAnsi="Arial" w:cs="Arial"/>
          <w:sz w:val="24"/>
          <w:lang w:val="fr-CA"/>
        </w:rPr>
        <w:t xml:space="preserve">hémoglobinurie et de myoglobinurie. Dans le cas de réactions transfusionnelles hémolytiques aiguës, l’hémoglobine libre provenant des cellules endommagées peut traverser le glomérule rénal et entrer dans l’urine, mais une hématurie et une myoglobinurie ne sont pas anticipées. L’examen des urines doit être fait à partir du fluide surnageant après centrifugation d’un échantillon fraîchement recueilli; la présence trompeuse d’hémoglobine libre peut survenir si des globules rouges intacts dans un échantillon subissent une hémolyse </w:t>
      </w:r>
      <w:r w:rsidRPr="00DC53E5">
        <w:rPr>
          <w:rFonts w:ascii="Arial" w:hAnsi="Arial" w:cs="Arial"/>
          <w:i/>
          <w:sz w:val="24"/>
          <w:lang w:val="fr-CA"/>
        </w:rPr>
        <w:t>in</w:t>
      </w:r>
      <w:r w:rsidR="00E16E5E" w:rsidRPr="00DC53E5">
        <w:rPr>
          <w:rFonts w:ascii="Arial" w:hAnsi="Arial" w:cs="Arial"/>
          <w:i/>
          <w:sz w:val="24"/>
          <w:lang w:val="fr-CA"/>
        </w:rPr>
        <w:t xml:space="preserve"> </w:t>
      </w:r>
      <w:r w:rsidRPr="00DC53E5">
        <w:rPr>
          <w:rFonts w:ascii="Arial" w:hAnsi="Arial" w:cs="Arial"/>
          <w:i/>
          <w:sz w:val="24"/>
          <w:lang w:val="fr-CA"/>
        </w:rPr>
        <w:t>vitro</w:t>
      </w:r>
      <w:r w:rsidRPr="00DC53E5">
        <w:rPr>
          <w:rFonts w:ascii="Arial" w:hAnsi="Arial" w:cs="Arial"/>
          <w:sz w:val="24"/>
          <w:lang w:val="fr-CA"/>
        </w:rPr>
        <w:t xml:space="preserve"> pendant le transport ou l’entreposage.</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Si des cellules incompatibles transfusées ont été recouvertes par un anticorps sans être immédiatement détruites, le TDA sur l’échantillon </w:t>
      </w:r>
      <w:r w:rsidR="00525E32">
        <w:rPr>
          <w:rFonts w:ascii="Arial" w:hAnsi="Arial"/>
          <w:sz w:val="24"/>
          <w:lang w:val="fr-CA"/>
        </w:rPr>
        <w:t xml:space="preserve">prélevé après la </w:t>
      </w:r>
      <w:r w:rsidRPr="00DC53E5">
        <w:rPr>
          <w:rFonts w:ascii="Arial" w:hAnsi="Arial"/>
          <w:sz w:val="24"/>
          <w:lang w:val="fr-CA"/>
        </w:rPr>
        <w:t xml:space="preserve">réaction sera probablement positif et présentera souvent un agglutinat </w:t>
      </w:r>
      <w:r w:rsidR="00E16E5E" w:rsidRPr="00DC53E5">
        <w:rPr>
          <w:rFonts w:ascii="Arial" w:hAnsi="Arial"/>
          <w:sz w:val="24"/>
          <w:lang w:val="fr-CA"/>
        </w:rPr>
        <w:t xml:space="preserve">de type champ </w:t>
      </w:r>
      <w:r w:rsidRPr="00DC53E5">
        <w:rPr>
          <w:rFonts w:ascii="Arial" w:hAnsi="Arial"/>
          <w:sz w:val="24"/>
          <w:lang w:val="fr-CA"/>
        </w:rPr>
        <w:t xml:space="preserve">mixte. Si les cellules transfusées ont été </w:t>
      </w:r>
      <w:r w:rsidR="00E16E5E" w:rsidRPr="00DC53E5">
        <w:rPr>
          <w:rFonts w:ascii="Arial" w:hAnsi="Arial"/>
          <w:sz w:val="24"/>
          <w:lang w:val="fr-CA"/>
        </w:rPr>
        <w:t xml:space="preserve">rapidement </w:t>
      </w:r>
      <w:r w:rsidRPr="00DC53E5">
        <w:rPr>
          <w:rFonts w:ascii="Arial" w:hAnsi="Arial"/>
          <w:sz w:val="24"/>
          <w:lang w:val="fr-CA"/>
        </w:rPr>
        <w:t xml:space="preserve">détruites, le TDA post-transfusionnel pourrait être négatif s’il y a eu un délai avant le prélèvement de l’échantillon post-transfusionnel. L’hémolyse non-immune (p. ex. </w:t>
      </w:r>
      <w:r w:rsidR="00E16E5E" w:rsidRPr="00DC53E5">
        <w:rPr>
          <w:rFonts w:ascii="Arial" w:hAnsi="Arial"/>
          <w:sz w:val="24"/>
          <w:lang w:val="fr-CA"/>
        </w:rPr>
        <w:t>surchauffe ou congélation de l’</w:t>
      </w:r>
      <w:r w:rsidRPr="00DC53E5">
        <w:rPr>
          <w:rFonts w:ascii="Arial" w:hAnsi="Arial"/>
          <w:sz w:val="24"/>
          <w:lang w:val="fr-CA"/>
        </w:rPr>
        <w:t xml:space="preserve">unité) entraîne une hémoglobinurie, mais </w:t>
      </w:r>
      <w:r w:rsidR="00E16E5E" w:rsidRPr="00DC53E5">
        <w:rPr>
          <w:rFonts w:ascii="Arial" w:hAnsi="Arial"/>
          <w:sz w:val="24"/>
          <w:lang w:val="fr-CA"/>
        </w:rPr>
        <w:t>non</w:t>
      </w:r>
      <w:r w:rsidRPr="00DC53E5">
        <w:rPr>
          <w:rFonts w:ascii="Arial" w:hAnsi="Arial"/>
          <w:sz w:val="24"/>
          <w:lang w:val="fr-CA"/>
        </w:rPr>
        <w:t xml:space="preserve"> un TDA positif.</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Si le sang dans la tubulure de transfusion est hémolysé et que le sang dans l’unité ne l’est pas, un dispositif de transfusion fautif peut être </w:t>
      </w:r>
      <w:r w:rsidR="00E16E5E" w:rsidRPr="00DC53E5">
        <w:rPr>
          <w:rFonts w:ascii="Arial" w:hAnsi="Arial"/>
          <w:sz w:val="24"/>
          <w:lang w:val="fr-CA"/>
        </w:rPr>
        <w:t>en</w:t>
      </w:r>
      <w:r w:rsidRPr="00DC53E5">
        <w:rPr>
          <w:rFonts w:ascii="Arial" w:hAnsi="Arial"/>
          <w:sz w:val="24"/>
          <w:lang w:val="fr-CA"/>
        </w:rPr>
        <w:t xml:space="preserve"> cause. Si le sang dans l’unité et dans l’ensemble à transfusion sont hémolysés, soupçonner une unité physiquement hémolysée ou l’ajout </w:t>
      </w:r>
      <w:r w:rsidR="00E16E5E" w:rsidRPr="00DC53E5">
        <w:rPr>
          <w:rFonts w:ascii="Arial" w:hAnsi="Arial"/>
          <w:sz w:val="24"/>
          <w:lang w:val="fr-CA"/>
        </w:rPr>
        <w:t xml:space="preserve">au sac </w:t>
      </w:r>
      <w:r w:rsidRPr="00DC53E5">
        <w:rPr>
          <w:rFonts w:ascii="Arial" w:hAnsi="Arial"/>
          <w:sz w:val="24"/>
          <w:lang w:val="fr-CA"/>
        </w:rPr>
        <w:t>d’une solution qui a détruit les cellules.</w:t>
      </w:r>
    </w:p>
    <w:p w:rsidR="00C74999" w:rsidRPr="00DC53E5" w:rsidRDefault="00C74999">
      <w:pPr>
        <w:ind w:left="720"/>
        <w:rPr>
          <w:rFonts w:ascii="Arial" w:hAnsi="Arial"/>
          <w:sz w:val="24"/>
          <w:lang w:val="fr-CA"/>
        </w:rPr>
      </w:pPr>
    </w:p>
    <w:p w:rsidR="00C74999" w:rsidRPr="00DC53E5" w:rsidRDefault="00FC477B">
      <w:pPr>
        <w:numPr>
          <w:ilvl w:val="1"/>
          <w:numId w:val="1"/>
        </w:numPr>
        <w:rPr>
          <w:rFonts w:ascii="Arial" w:hAnsi="Arial"/>
          <w:sz w:val="24"/>
          <w:lang w:val="fr-CA"/>
        </w:rPr>
      </w:pPr>
      <w:r>
        <w:rPr>
          <w:rFonts w:ascii="Arial" w:hAnsi="Arial"/>
          <w:sz w:val="24"/>
          <w:lang w:val="fr-CA"/>
        </w:rPr>
        <w:t xml:space="preserve">L’investigation des produits ou composants sanguins impliqués doit comprendre une coloration gram et une culture </w:t>
      </w:r>
      <w:r w:rsidR="00AB2039">
        <w:rPr>
          <w:rFonts w:ascii="Arial" w:hAnsi="Arial"/>
          <w:sz w:val="24"/>
          <w:lang w:val="fr-CA"/>
        </w:rPr>
        <w:t xml:space="preserve">du produit (incubation à 25 </w:t>
      </w:r>
      <w:r w:rsidR="00AB2039" w:rsidRPr="00AB2039">
        <w:rPr>
          <w:rFonts w:ascii="Arial" w:hAnsi="Arial"/>
          <w:sz w:val="24"/>
          <w:vertAlign w:val="superscript"/>
          <w:lang w:val="fr-CA"/>
        </w:rPr>
        <w:t>o</w:t>
      </w:r>
      <w:r w:rsidR="00AB2039">
        <w:rPr>
          <w:rFonts w:ascii="Arial" w:hAnsi="Arial"/>
          <w:sz w:val="24"/>
          <w:lang w:val="fr-CA"/>
        </w:rPr>
        <w:t xml:space="preserve">C et à 35 </w:t>
      </w:r>
      <w:r w:rsidR="00AB2039" w:rsidRPr="00AB2039">
        <w:rPr>
          <w:rFonts w:ascii="Arial" w:hAnsi="Arial"/>
          <w:sz w:val="24"/>
          <w:vertAlign w:val="superscript"/>
          <w:lang w:val="fr-CA"/>
        </w:rPr>
        <w:t>o</w:t>
      </w:r>
      <w:r w:rsidR="00AB2039">
        <w:rPr>
          <w:rFonts w:ascii="Arial" w:hAnsi="Arial"/>
          <w:sz w:val="24"/>
          <w:lang w:val="fr-CA"/>
        </w:rPr>
        <w:t xml:space="preserve">C). Ne pas se servir des segments, car ils pourraient ne pas être représentatifs du produit transfusé. </w:t>
      </w:r>
    </w:p>
    <w:p w:rsidR="00C74999" w:rsidRPr="00DC53E5" w:rsidRDefault="00C74999">
      <w:pPr>
        <w:ind w:left="720"/>
        <w:rPr>
          <w:rFonts w:ascii="Arial" w:hAnsi="Arial"/>
          <w:sz w:val="24"/>
          <w:lang w:val="fr-CA"/>
        </w:rPr>
      </w:pPr>
    </w:p>
    <w:p w:rsidR="00C74999" w:rsidRDefault="00C74999">
      <w:pPr>
        <w:numPr>
          <w:ilvl w:val="1"/>
          <w:numId w:val="1"/>
        </w:numPr>
        <w:rPr>
          <w:rFonts w:ascii="Arial" w:hAnsi="Arial"/>
          <w:sz w:val="24"/>
          <w:lang w:val="fr-CA"/>
        </w:rPr>
      </w:pPr>
      <w:r w:rsidRPr="00DC53E5">
        <w:rPr>
          <w:rFonts w:ascii="Arial" w:hAnsi="Arial"/>
          <w:sz w:val="24"/>
          <w:lang w:val="fr-CA"/>
        </w:rPr>
        <w:t xml:space="preserve">En cas </w:t>
      </w:r>
      <w:r w:rsidR="0049531C" w:rsidRPr="00DC53E5">
        <w:rPr>
          <w:rFonts w:ascii="Arial" w:hAnsi="Arial"/>
          <w:sz w:val="24"/>
          <w:lang w:val="fr-CA"/>
        </w:rPr>
        <w:t xml:space="preserve">soupçon </w:t>
      </w:r>
      <w:r w:rsidRPr="00DC53E5">
        <w:rPr>
          <w:rFonts w:ascii="Arial" w:hAnsi="Arial"/>
          <w:sz w:val="24"/>
          <w:lang w:val="fr-CA"/>
        </w:rPr>
        <w:t>de contamination bactérienne, on doit traiter en fonction des considérations cliniques</w:t>
      </w:r>
      <w:r w:rsidR="0049531C" w:rsidRPr="00DC53E5">
        <w:rPr>
          <w:rFonts w:ascii="Arial" w:hAnsi="Arial"/>
          <w:sz w:val="24"/>
          <w:lang w:val="fr-CA"/>
        </w:rPr>
        <w:t>,</w:t>
      </w:r>
      <w:r w:rsidRPr="00DC53E5">
        <w:rPr>
          <w:rFonts w:ascii="Arial" w:hAnsi="Arial"/>
          <w:sz w:val="24"/>
          <w:lang w:val="fr-CA"/>
        </w:rPr>
        <w:t xml:space="preserve"> car tout délai de traitement p</w:t>
      </w:r>
      <w:r w:rsidR="0049531C" w:rsidRPr="00DC53E5">
        <w:rPr>
          <w:rFonts w:ascii="Arial" w:hAnsi="Arial"/>
          <w:sz w:val="24"/>
          <w:lang w:val="fr-CA"/>
        </w:rPr>
        <w:t>eut</w:t>
      </w:r>
      <w:r w:rsidRPr="00DC53E5">
        <w:rPr>
          <w:rFonts w:ascii="Arial" w:hAnsi="Arial"/>
          <w:sz w:val="24"/>
          <w:lang w:val="fr-CA"/>
        </w:rPr>
        <w:t xml:space="preserve"> entraîner une grave morbidité ou un décès. Le traitement repose sur une prompte administration d’antibiotiques par intraveineuse après l’obtention de cultures sanguines et autres cultures, </w:t>
      </w:r>
      <w:r w:rsidRPr="0028004D">
        <w:rPr>
          <w:rFonts w:ascii="Arial" w:hAnsi="Arial"/>
          <w:sz w:val="24"/>
          <w:lang w:val="fr-CA"/>
        </w:rPr>
        <w:t>combiné à un</w:t>
      </w:r>
      <w:r w:rsidR="0049531C" w:rsidRPr="0028004D">
        <w:rPr>
          <w:rFonts w:ascii="Arial" w:hAnsi="Arial"/>
          <w:sz w:val="24"/>
          <w:lang w:val="fr-CA"/>
        </w:rPr>
        <w:t>e prise en charge de l’état de choc</w:t>
      </w:r>
      <w:r w:rsidRPr="00DC53E5">
        <w:rPr>
          <w:rFonts w:ascii="Arial" w:hAnsi="Arial"/>
          <w:sz w:val="24"/>
          <w:lang w:val="fr-CA"/>
        </w:rPr>
        <w:t>.</w:t>
      </w:r>
    </w:p>
    <w:p w:rsidR="00AB2039" w:rsidRDefault="00AB2039" w:rsidP="00AB2039">
      <w:pPr>
        <w:pStyle w:val="Paragraphedeliste"/>
        <w:rPr>
          <w:rFonts w:ascii="Arial" w:hAnsi="Arial"/>
          <w:sz w:val="24"/>
          <w:lang w:val="fr-CA"/>
        </w:rPr>
      </w:pPr>
    </w:p>
    <w:p w:rsidR="00AB2039" w:rsidRPr="00DC53E5" w:rsidRDefault="00AB2039">
      <w:pPr>
        <w:numPr>
          <w:ilvl w:val="1"/>
          <w:numId w:val="1"/>
        </w:numPr>
        <w:rPr>
          <w:rFonts w:ascii="Arial" w:hAnsi="Arial"/>
          <w:sz w:val="24"/>
          <w:lang w:val="fr-CA"/>
        </w:rPr>
      </w:pPr>
      <w:r>
        <w:rPr>
          <w:rFonts w:ascii="Arial" w:hAnsi="Arial"/>
          <w:sz w:val="24"/>
          <w:lang w:val="fr-CA"/>
        </w:rPr>
        <w:t>Le fournisseur de sang doit être avisé sans délai de tout soupçon de contamination bactérienne d’un produit ou composant sanguin.</w:t>
      </w:r>
    </w:p>
    <w:p w:rsidR="00C74999" w:rsidRPr="00DC53E5" w:rsidRDefault="00C74999">
      <w:pPr>
        <w:ind w:left="720"/>
        <w:rPr>
          <w:rFonts w:ascii="Arial" w:hAnsi="Arial"/>
          <w:sz w:val="24"/>
          <w:lang w:val="fr-CA"/>
        </w:rPr>
      </w:pPr>
    </w:p>
    <w:p w:rsidR="00C74999" w:rsidRPr="00DC53E5" w:rsidRDefault="00C74999">
      <w:pPr>
        <w:numPr>
          <w:ilvl w:val="1"/>
          <w:numId w:val="1"/>
        </w:numPr>
        <w:rPr>
          <w:rFonts w:ascii="Arial" w:hAnsi="Arial"/>
          <w:sz w:val="24"/>
          <w:lang w:val="fr-CA"/>
        </w:rPr>
      </w:pPr>
      <w:r w:rsidRPr="00DC53E5">
        <w:rPr>
          <w:rFonts w:ascii="Arial" w:hAnsi="Arial"/>
          <w:sz w:val="24"/>
          <w:lang w:val="fr-CA"/>
        </w:rPr>
        <w:t xml:space="preserve">Les tableaux suivants </w:t>
      </w:r>
      <w:r w:rsidR="0049531C" w:rsidRPr="00DC53E5">
        <w:rPr>
          <w:rFonts w:ascii="Arial" w:hAnsi="Arial"/>
          <w:sz w:val="24"/>
          <w:lang w:val="fr-CA"/>
        </w:rPr>
        <w:t>précisent</w:t>
      </w:r>
      <w:r w:rsidRPr="00DC53E5">
        <w:rPr>
          <w:rFonts w:ascii="Arial" w:hAnsi="Arial"/>
          <w:sz w:val="24"/>
          <w:lang w:val="fr-CA"/>
        </w:rPr>
        <w:t xml:space="preserve"> les signes et symptômes associés à divers types de réactions transfusionnelles.</w:t>
      </w:r>
    </w:p>
    <w:p w:rsidR="002B77B7" w:rsidRPr="00DC53E5" w:rsidRDefault="002B77B7" w:rsidP="002B77B7">
      <w:pPr>
        <w:jc w:val="center"/>
        <w:rPr>
          <w:b/>
          <w:bCs/>
          <w:lang w:val="fr-CA"/>
        </w:rPr>
      </w:pPr>
    </w:p>
    <w:p w:rsidR="002B77B7" w:rsidRPr="00DC53E5" w:rsidRDefault="002B77B7" w:rsidP="002B77B7">
      <w:pPr>
        <w:jc w:val="center"/>
        <w:rPr>
          <w:rFonts w:ascii="Arial" w:hAnsi="Arial" w:cs="Arial"/>
          <w:b/>
          <w:bCs/>
          <w:sz w:val="24"/>
          <w:szCs w:val="24"/>
          <w:lang w:val="fr-CA"/>
        </w:rPr>
      </w:pPr>
      <w:r w:rsidRPr="00DC53E5">
        <w:rPr>
          <w:b/>
          <w:bCs/>
          <w:lang w:val="fr-CA"/>
        </w:rPr>
        <w:br w:type="page"/>
      </w:r>
      <w:r w:rsidRPr="00DC53E5">
        <w:rPr>
          <w:rFonts w:ascii="Arial" w:hAnsi="Arial" w:cs="Arial"/>
          <w:b/>
          <w:bCs/>
          <w:sz w:val="24"/>
          <w:szCs w:val="24"/>
          <w:lang w:val="fr-CA"/>
        </w:rPr>
        <w:t xml:space="preserve">RÉACTIONS À LA TRANSFUSION – ÉTIOLOGIE, SIGNES ET SYMPTÔMES </w:t>
      </w:r>
    </w:p>
    <w:p w:rsidR="002B77B7" w:rsidRPr="00DC53E5" w:rsidRDefault="002B77B7" w:rsidP="002B77B7">
      <w:pPr>
        <w:jc w:val="center"/>
        <w:rPr>
          <w:lang w:val="fr-CA"/>
        </w:rPr>
      </w:pPr>
    </w:p>
    <w:tbl>
      <w:tblPr>
        <w:tblW w:w="10207"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3510"/>
        <w:gridCol w:w="450"/>
        <w:gridCol w:w="3945"/>
      </w:tblGrid>
      <w:tr w:rsidR="002B77B7" w:rsidRPr="00DC53E5">
        <w:trPr>
          <w:trHeight w:val="268"/>
          <w:tblHeader/>
        </w:trPr>
        <w:tc>
          <w:tcPr>
            <w:tcW w:w="2302" w:type="dxa"/>
            <w:tcBorders>
              <w:top w:val="single" w:sz="4" w:space="0" w:color="auto"/>
              <w:left w:val="single" w:sz="4" w:space="0" w:color="auto"/>
              <w:bottom w:val="single" w:sz="4" w:space="0" w:color="auto"/>
              <w:right w:val="single" w:sz="4" w:space="0" w:color="auto"/>
            </w:tcBorders>
            <w:shd w:val="clear" w:color="auto" w:fill="E6E6E6"/>
          </w:tcPr>
          <w:p w:rsidR="002B77B7" w:rsidRPr="00DC53E5" w:rsidRDefault="002B77B7" w:rsidP="00C74999">
            <w:pPr>
              <w:pStyle w:val="Heading91"/>
              <w:rPr>
                <w:rFonts w:ascii="Arial" w:hAnsi="Arial" w:cs="Arial"/>
                <w:sz w:val="22"/>
                <w:szCs w:val="22"/>
                <w:lang w:val="fr-CA"/>
              </w:rPr>
            </w:pPr>
            <w:r w:rsidRPr="00DC53E5">
              <w:rPr>
                <w:rFonts w:ascii="Arial" w:hAnsi="Arial" w:cs="Arial"/>
                <w:b/>
                <w:bCs/>
                <w:sz w:val="22"/>
                <w:szCs w:val="22"/>
                <w:lang w:val="fr-CA"/>
              </w:rPr>
              <w:t xml:space="preserve">Type de réaction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E6E6E6"/>
          </w:tcPr>
          <w:p w:rsidR="002B77B7" w:rsidRPr="00DC53E5" w:rsidRDefault="002B77B7" w:rsidP="00C74999">
            <w:pPr>
              <w:pStyle w:val="Heading81"/>
              <w:rPr>
                <w:rFonts w:ascii="Arial" w:hAnsi="Arial" w:cs="Arial"/>
                <w:sz w:val="22"/>
                <w:szCs w:val="22"/>
                <w:lang w:val="fr-CA"/>
              </w:rPr>
            </w:pPr>
            <w:r w:rsidRPr="00DC53E5">
              <w:rPr>
                <w:rFonts w:ascii="Arial" w:hAnsi="Arial" w:cs="Arial"/>
                <w:b/>
                <w:bCs/>
                <w:sz w:val="22"/>
                <w:szCs w:val="22"/>
                <w:lang w:val="fr-CA"/>
              </w:rPr>
              <w:t xml:space="preserve">Étiologie </w:t>
            </w:r>
          </w:p>
        </w:tc>
        <w:tc>
          <w:tcPr>
            <w:tcW w:w="3945" w:type="dxa"/>
            <w:tcBorders>
              <w:top w:val="single" w:sz="4" w:space="0" w:color="auto"/>
              <w:left w:val="single" w:sz="4" w:space="0" w:color="auto"/>
              <w:bottom w:val="single" w:sz="4" w:space="0" w:color="auto"/>
              <w:right w:val="single" w:sz="4" w:space="0" w:color="auto"/>
            </w:tcBorders>
            <w:shd w:val="clear" w:color="auto" w:fill="E6E6E6"/>
          </w:tcPr>
          <w:p w:rsidR="002B77B7" w:rsidRPr="00DC53E5" w:rsidRDefault="002B77B7" w:rsidP="00C74999">
            <w:pPr>
              <w:pStyle w:val="Heading81"/>
              <w:rPr>
                <w:rFonts w:ascii="Arial" w:hAnsi="Arial" w:cs="Arial"/>
                <w:sz w:val="22"/>
                <w:szCs w:val="22"/>
                <w:lang w:val="fr-CA"/>
              </w:rPr>
            </w:pPr>
            <w:r w:rsidRPr="00DC53E5">
              <w:rPr>
                <w:rFonts w:ascii="Arial" w:hAnsi="Arial" w:cs="Arial"/>
                <w:b/>
                <w:bCs/>
                <w:sz w:val="22"/>
                <w:szCs w:val="22"/>
                <w:lang w:val="fr-CA"/>
              </w:rPr>
              <w:t xml:space="preserve">Signes et symptômes </w:t>
            </w:r>
          </w:p>
        </w:tc>
      </w:tr>
      <w:tr w:rsidR="002B77B7" w:rsidRPr="00DC53E5">
        <w:trPr>
          <w:trHeight w:val="268"/>
          <w:tblHeader/>
        </w:trPr>
        <w:tc>
          <w:tcPr>
            <w:tcW w:w="10207" w:type="dxa"/>
            <w:gridSpan w:val="4"/>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b/>
                <w:bCs/>
                <w:sz w:val="22"/>
                <w:szCs w:val="22"/>
                <w:lang w:val="fr-CA"/>
              </w:rPr>
              <w:t xml:space="preserve">Aiguë  (&lt; 24 heures) </w:t>
            </w:r>
          </w:p>
        </w:tc>
      </w:tr>
      <w:tr w:rsidR="002B77B7" w:rsidRPr="00DC53E5">
        <w:trPr>
          <w:trHeight w:val="772"/>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Hémolytique – Immunologique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Incompatibilité des hématies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Frissons, fièvre (&gt;1 </w:t>
            </w:r>
            <w:r w:rsidR="002172EC" w:rsidRPr="002172EC">
              <w:rPr>
                <w:rFonts w:ascii="Arial" w:hAnsi="Arial" w:cs="Arial"/>
                <w:sz w:val="22"/>
                <w:szCs w:val="22"/>
                <w:vertAlign w:val="superscript"/>
                <w:lang w:val="fr-CA"/>
              </w:rPr>
              <w:t>o</w:t>
            </w:r>
            <w:r w:rsidRPr="00DC53E5">
              <w:rPr>
                <w:rFonts w:ascii="Arial" w:hAnsi="Arial" w:cs="Arial"/>
                <w:sz w:val="22"/>
                <w:szCs w:val="22"/>
                <w:lang w:val="fr-CA"/>
              </w:rPr>
              <w:t xml:space="preserve">C) </w:t>
            </w:r>
          </w:p>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Hémoglobinurie, insuffisance rénale, hypotension, coagulation intravasculaire disséminée, oligurie, suintement du point de ponction IV, douleur dorsale, douleur le long de la veine ayant servi à la transfusion </w:t>
            </w:r>
          </w:p>
        </w:tc>
      </w:tr>
      <w:tr w:rsidR="002B77B7" w:rsidRPr="00DC53E5">
        <w:trPr>
          <w:trHeight w:val="692"/>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Hémolytique – non immunologique</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Destruction physique ou chimique du sang (congélation, réchauffement, ajout d'un agent ou d'une solution hémolytique)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Hémoglobinurie </w:t>
            </w:r>
          </w:p>
        </w:tc>
      </w:tr>
      <w:tr w:rsidR="002B77B7" w:rsidRPr="00DC53E5">
        <w:trPr>
          <w:trHeight w:val="725"/>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Réaction hémolytique à la transfusion de type drépanocytaire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Diverses théories; la plus populaire fait intervenir une cytolyse immunologique de voisinage ou </w:t>
            </w:r>
            <w:r w:rsidR="0028004D">
              <w:rPr>
                <w:rFonts w:ascii="Arial" w:hAnsi="Arial" w:cs="Arial"/>
                <w:sz w:val="22"/>
                <w:szCs w:val="22"/>
                <w:lang w:val="fr-CA"/>
              </w:rPr>
              <w:t>la formation</w:t>
            </w:r>
            <w:r w:rsidR="0028004D" w:rsidRPr="00DC53E5">
              <w:rPr>
                <w:rFonts w:ascii="Arial" w:hAnsi="Arial" w:cs="Arial"/>
                <w:sz w:val="22"/>
                <w:szCs w:val="22"/>
                <w:lang w:val="fr-CA"/>
              </w:rPr>
              <w:t xml:space="preserve"> </w:t>
            </w:r>
            <w:r w:rsidRPr="00DC53E5">
              <w:rPr>
                <w:rFonts w:ascii="Arial" w:hAnsi="Arial" w:cs="Arial"/>
                <w:sz w:val="22"/>
                <w:szCs w:val="22"/>
                <w:lang w:val="fr-CA"/>
              </w:rPr>
              <w:t xml:space="preserve">d'autoanticorps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Même symptômes que dans les crises douloureuses de drépanocytose. Apparition d'une anémie plus grave après la transfusion qu'avant</w:t>
            </w:r>
          </w:p>
        </w:tc>
      </w:tr>
      <w:tr w:rsidR="002B77B7" w:rsidRPr="00DC53E5">
        <w:trPr>
          <w:trHeight w:val="72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Épisodes hypotensifs associés à l'inhibition de l'ECA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Inhibition du métabolisme de la bradykinine et transfusion de bradykinine ou d'activateurs de la prékallicréine</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BC7A32" w:rsidP="00C74999">
            <w:pPr>
              <w:rPr>
                <w:rFonts w:ascii="Arial" w:hAnsi="Arial" w:cs="Arial"/>
                <w:sz w:val="22"/>
                <w:szCs w:val="22"/>
                <w:lang w:val="fr-CA"/>
              </w:rPr>
            </w:pPr>
            <w:r>
              <w:rPr>
                <w:rFonts w:ascii="Arial" w:hAnsi="Arial" w:cs="Arial"/>
                <w:sz w:val="22"/>
                <w:szCs w:val="22"/>
                <w:lang w:val="fr-CA"/>
              </w:rPr>
              <w:t>Bouffées vasomotrices</w:t>
            </w:r>
            <w:r w:rsidR="002B77B7" w:rsidRPr="00DC53E5">
              <w:rPr>
                <w:rFonts w:ascii="Arial" w:hAnsi="Arial" w:cs="Arial"/>
                <w:sz w:val="22"/>
                <w:szCs w:val="22"/>
                <w:lang w:val="fr-CA"/>
              </w:rPr>
              <w:t xml:space="preserve">, manifestation abrupte d'hypotension avec ou sans symptômes respiratoires légers, peu après le début de la transfusion </w:t>
            </w:r>
          </w:p>
        </w:tc>
      </w:tr>
      <w:tr w:rsidR="002B77B7" w:rsidRPr="00DC53E5">
        <w:trPr>
          <w:trHeight w:val="49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Fièvre /frissons, non hémolytique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Anticorps aux leucocytes du donneur; accumulation de cytokines dans le sac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Frissons, hausse de température (&gt;1C), céphalées, malaises, vomissements</w:t>
            </w:r>
          </w:p>
        </w:tc>
      </w:tr>
      <w:tr w:rsidR="002B77B7" w:rsidRPr="00DC53E5">
        <w:trPr>
          <w:trHeight w:val="26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Allergique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Anticorps aux protéines plasmatiques du donneur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Prurit, érythème, urticaire, </w:t>
            </w:r>
            <w:r w:rsidR="00BC7A32">
              <w:rPr>
                <w:rFonts w:ascii="Arial" w:hAnsi="Arial" w:cs="Arial"/>
                <w:sz w:val="22"/>
                <w:szCs w:val="22"/>
                <w:lang w:val="fr-CA"/>
              </w:rPr>
              <w:t>bouffées vasomotrices</w:t>
            </w:r>
          </w:p>
        </w:tc>
      </w:tr>
      <w:tr w:rsidR="002B77B7" w:rsidRPr="00DC53E5">
        <w:trPr>
          <w:trHeight w:val="550"/>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Anaphylactique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Anticorps au plasma du donneur (le plus souvent anti-IgA)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Urticaire, érythème, anxiété, détresse respiratoire, hypotension, œdème du larynx ou du pharynx, bronchospasme </w:t>
            </w:r>
          </w:p>
        </w:tc>
      </w:tr>
      <w:tr w:rsidR="002B77B7" w:rsidRPr="00DC53E5">
        <w:trPr>
          <w:trHeight w:val="493"/>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Surcharge circulatoire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Surcharge volumique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Dyspnée, orthopnée, toux productive et crachats spumeux rosés, tachycardie, hypertension, céphalées </w:t>
            </w:r>
          </w:p>
        </w:tc>
      </w:tr>
      <w:tr w:rsidR="002B77B7" w:rsidRPr="00DC53E5">
        <w:trPr>
          <w:trHeight w:val="725"/>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BC7A32" w:rsidP="00C74999">
            <w:pPr>
              <w:rPr>
                <w:rFonts w:ascii="Arial" w:hAnsi="Arial" w:cs="Arial"/>
                <w:sz w:val="22"/>
                <w:szCs w:val="22"/>
                <w:lang w:val="fr-CA"/>
              </w:rPr>
            </w:pPr>
            <w:r>
              <w:rPr>
                <w:rFonts w:ascii="Arial" w:hAnsi="Arial" w:cs="Arial"/>
                <w:sz w:val="24"/>
                <w:lang w:val="fr-CA"/>
              </w:rPr>
              <w:t>S</w:t>
            </w:r>
            <w:r w:rsidRPr="00DC53E5">
              <w:rPr>
                <w:rFonts w:ascii="Arial" w:hAnsi="Arial" w:cs="Arial"/>
                <w:sz w:val="24"/>
                <w:lang w:val="fr-CA"/>
              </w:rPr>
              <w:t>yndrome respiratoire aigu post-transfusionnel</w:t>
            </w:r>
            <w:r>
              <w:rPr>
                <w:rFonts w:ascii="Arial" w:hAnsi="Arial" w:cs="Arial"/>
                <w:sz w:val="22"/>
                <w:szCs w:val="22"/>
                <w:lang w:val="fr-CA"/>
              </w:rPr>
              <w:t xml:space="preserve"> (</w:t>
            </w:r>
            <w:r w:rsidRPr="00C934BA">
              <w:rPr>
                <w:rFonts w:ascii="Arial" w:hAnsi="Arial" w:cs="Arial"/>
                <w:i/>
                <w:sz w:val="22"/>
                <w:szCs w:val="22"/>
                <w:lang w:val="fr-CA"/>
              </w:rPr>
              <w:t>TRALI</w:t>
            </w:r>
            <w:r>
              <w:rPr>
                <w:rFonts w:ascii="Arial" w:hAnsi="Arial" w:cs="Arial"/>
                <w:sz w:val="22"/>
                <w:szCs w:val="22"/>
                <w:lang w:val="fr-CA"/>
              </w:rPr>
              <w:t>)</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Anticorps anti-HLA ou anti-neutrophiles dans le plasma du donneur qui réagissent avec les antigènes du receveur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525E32">
            <w:pPr>
              <w:rPr>
                <w:rFonts w:ascii="Arial" w:hAnsi="Arial" w:cs="Arial"/>
                <w:sz w:val="22"/>
                <w:szCs w:val="22"/>
                <w:lang w:val="fr-CA"/>
              </w:rPr>
            </w:pPr>
            <w:r w:rsidRPr="00DC53E5">
              <w:rPr>
                <w:rFonts w:ascii="Arial" w:hAnsi="Arial" w:cs="Arial"/>
                <w:sz w:val="22"/>
                <w:szCs w:val="22"/>
                <w:lang w:val="fr-CA"/>
              </w:rPr>
              <w:t xml:space="preserve">Détresse respiratoire aiguë avec ou sans hypotension moins de 1-2 heures après la transfusion de composants du sang </w:t>
            </w:r>
            <w:r w:rsidR="00525E32">
              <w:rPr>
                <w:rFonts w:ascii="Arial" w:hAnsi="Arial" w:cs="Arial"/>
                <w:sz w:val="22"/>
                <w:szCs w:val="22"/>
                <w:lang w:val="fr-CA"/>
              </w:rPr>
              <w:t>contenant du plasma</w:t>
            </w:r>
          </w:p>
        </w:tc>
      </w:tr>
      <w:tr w:rsidR="002B77B7" w:rsidRPr="00DC53E5">
        <w:trPr>
          <w:trHeight w:val="493"/>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Hypocalcémie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Transfusion massive de sang citraté et /ou délai du métabolisme des citrates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Paresthésie, tétanie, arythmie </w:t>
            </w:r>
          </w:p>
        </w:tc>
      </w:tr>
      <w:tr w:rsidR="002B77B7" w:rsidRPr="00DC53E5">
        <w:trPr>
          <w:trHeight w:val="1415"/>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79634C" w:rsidP="002172EC">
            <w:pPr>
              <w:keepNext/>
              <w:rPr>
                <w:rFonts w:ascii="Arial" w:hAnsi="Arial" w:cs="Arial"/>
                <w:sz w:val="22"/>
                <w:szCs w:val="22"/>
                <w:lang w:val="fr-CA"/>
              </w:rPr>
            </w:pPr>
            <w:r>
              <w:rPr>
                <w:rFonts w:ascii="Arial" w:hAnsi="Arial" w:cs="Arial"/>
                <w:sz w:val="22"/>
                <w:szCs w:val="22"/>
                <w:lang w:val="fr-CA"/>
              </w:rPr>
              <w:t xml:space="preserve">Contamination </w:t>
            </w:r>
            <w:r w:rsidR="002B77B7" w:rsidRPr="00DC53E5">
              <w:rPr>
                <w:rFonts w:ascii="Arial" w:hAnsi="Arial" w:cs="Arial"/>
                <w:sz w:val="22"/>
                <w:szCs w:val="22"/>
                <w:lang w:val="fr-CA"/>
              </w:rPr>
              <w:t>bactérienne</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2172EC">
            <w:pPr>
              <w:keepNext/>
              <w:rPr>
                <w:rFonts w:ascii="Arial" w:hAnsi="Arial" w:cs="Arial"/>
                <w:sz w:val="22"/>
                <w:szCs w:val="22"/>
                <w:lang w:val="fr-CA"/>
              </w:rPr>
            </w:pPr>
            <w:r w:rsidRPr="00DC53E5">
              <w:rPr>
                <w:rFonts w:ascii="Arial" w:hAnsi="Arial" w:cs="Arial"/>
                <w:sz w:val="22"/>
                <w:szCs w:val="22"/>
                <w:lang w:val="fr-CA"/>
              </w:rPr>
              <w:t>Transfusion de produits sanguins contaminés par une bactérie</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525E32">
            <w:pPr>
              <w:keepNext/>
              <w:rPr>
                <w:rFonts w:ascii="Arial" w:hAnsi="Arial" w:cs="Arial"/>
                <w:sz w:val="22"/>
                <w:szCs w:val="22"/>
                <w:lang w:val="fr-CA"/>
              </w:rPr>
            </w:pPr>
            <w:r w:rsidRPr="00DC53E5">
              <w:rPr>
                <w:rFonts w:ascii="Arial" w:hAnsi="Arial" w:cs="Arial"/>
                <w:sz w:val="22"/>
                <w:szCs w:val="22"/>
                <w:lang w:val="fr-CA"/>
              </w:rPr>
              <w:t>Fièvre (le plus souvent supérieure à 40</w:t>
            </w:r>
            <w:r w:rsidR="00525E32">
              <w:rPr>
                <w:rFonts w:ascii="Arial" w:hAnsi="Arial" w:cs="Arial"/>
                <w:sz w:val="22"/>
                <w:szCs w:val="22"/>
                <w:lang w:val="fr-CA"/>
              </w:rPr>
              <w:t> </w:t>
            </w:r>
            <w:r w:rsidR="00525E32" w:rsidRPr="00525E32">
              <w:rPr>
                <w:rFonts w:ascii="Arial" w:hAnsi="Arial" w:cs="Arial"/>
                <w:sz w:val="22"/>
                <w:szCs w:val="22"/>
                <w:vertAlign w:val="superscript"/>
                <w:lang w:val="fr-CA"/>
              </w:rPr>
              <w:t>o</w:t>
            </w:r>
            <w:r w:rsidRPr="00DC53E5">
              <w:rPr>
                <w:rFonts w:ascii="Arial" w:hAnsi="Arial" w:cs="Arial"/>
                <w:sz w:val="22"/>
                <w:szCs w:val="22"/>
                <w:lang w:val="fr-CA"/>
              </w:rPr>
              <w:t>C), tachycardie</w:t>
            </w:r>
            <w:r w:rsidRPr="00C934BA">
              <w:rPr>
                <w:rFonts w:ascii="Arial" w:hAnsi="Arial" w:cs="Arial"/>
                <w:sz w:val="22"/>
                <w:szCs w:val="22"/>
                <w:lang w:val="fr-CA"/>
              </w:rPr>
              <w:t>, frissons</w:t>
            </w:r>
            <w:r w:rsidRPr="00DC53E5">
              <w:rPr>
                <w:rFonts w:ascii="Arial" w:hAnsi="Arial" w:cs="Arial"/>
                <w:sz w:val="22"/>
                <w:szCs w:val="22"/>
                <w:lang w:val="fr-CA"/>
              </w:rPr>
              <w:t xml:space="preserve">, état de choc, coagulation intravasculaire disséminée, nausées, vomissements, dyspnée, douleur lombaire, hausse ou chute de la pression systolique, collapsus circulatoire. N'importe lequel de ces symptômes survenant dans les quatre heures suivant la transfusion de sang. Aucune preuve d'hémoglobinémie, ni d'hémoglobinurie </w:t>
            </w:r>
          </w:p>
        </w:tc>
      </w:tr>
      <w:tr w:rsidR="002B77B7" w:rsidRPr="00DC53E5">
        <w:trPr>
          <w:trHeight w:val="26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Hypothermie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Transfusion rapide de sang froid</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Arythmie cardiaque </w:t>
            </w:r>
          </w:p>
        </w:tc>
      </w:tr>
      <w:tr w:rsidR="002B77B7" w:rsidRPr="00DC53E5">
        <w:trPr>
          <w:trHeight w:val="493"/>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Aéroembolisme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Transfusion d'air dans une veine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Manifestation hypotensive grave soudaine, essoufflement, cyanose et collapsus </w:t>
            </w:r>
          </w:p>
        </w:tc>
      </w:tr>
      <w:tr w:rsidR="002B77B7" w:rsidRPr="00DC53E5">
        <w:trPr>
          <w:trHeight w:val="725"/>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Hyperkaliémie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Transfusion de gros volumes de sang plus vieux renfermant des niveaux élevés de potassium surnageant </w:t>
            </w:r>
          </w:p>
        </w:tc>
        <w:tc>
          <w:tcPr>
            <w:tcW w:w="4395" w:type="dxa"/>
            <w:gridSpan w:val="2"/>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Arythmie cardiaque </w:t>
            </w:r>
          </w:p>
        </w:tc>
      </w:tr>
    </w:tbl>
    <w:p w:rsidR="002172EC" w:rsidRDefault="002172EC" w:rsidP="002B77B7">
      <w:pPr>
        <w:rPr>
          <w:lang w:val="fr-CA"/>
        </w:rPr>
      </w:pPr>
    </w:p>
    <w:p w:rsidR="002B77B7" w:rsidRPr="00DC53E5" w:rsidRDefault="002B77B7" w:rsidP="002B77B7">
      <w:pPr>
        <w:rPr>
          <w:lang w:val="fr-CA"/>
        </w:rPr>
      </w:pPr>
    </w:p>
    <w:tbl>
      <w:tblPr>
        <w:tblW w:w="10207"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3510"/>
        <w:gridCol w:w="4395"/>
      </w:tblGrid>
      <w:tr w:rsidR="002B77B7" w:rsidRPr="00DC53E5">
        <w:trPr>
          <w:trHeight w:val="268"/>
          <w:tblHeader/>
        </w:trPr>
        <w:tc>
          <w:tcPr>
            <w:tcW w:w="2302" w:type="dxa"/>
            <w:tcBorders>
              <w:top w:val="single" w:sz="4" w:space="0" w:color="auto"/>
              <w:left w:val="single" w:sz="4" w:space="0" w:color="auto"/>
              <w:bottom w:val="single" w:sz="4" w:space="0" w:color="auto"/>
              <w:right w:val="single" w:sz="4" w:space="0" w:color="auto"/>
            </w:tcBorders>
            <w:shd w:val="clear" w:color="auto" w:fill="E6E6E6"/>
          </w:tcPr>
          <w:p w:rsidR="002B77B7" w:rsidRPr="00DC53E5" w:rsidRDefault="002B77B7" w:rsidP="00C74999">
            <w:pPr>
              <w:pStyle w:val="Heading91"/>
              <w:rPr>
                <w:rFonts w:ascii="Arial" w:hAnsi="Arial" w:cs="Arial"/>
                <w:sz w:val="22"/>
                <w:szCs w:val="22"/>
                <w:lang w:val="fr-CA"/>
              </w:rPr>
            </w:pPr>
            <w:r w:rsidRPr="00DC53E5">
              <w:rPr>
                <w:rFonts w:ascii="Arial" w:hAnsi="Arial" w:cs="Arial"/>
                <w:b/>
                <w:bCs/>
                <w:sz w:val="22"/>
                <w:szCs w:val="22"/>
                <w:lang w:val="fr-CA"/>
              </w:rPr>
              <w:t xml:space="preserve">Type de réaction  </w:t>
            </w:r>
          </w:p>
        </w:tc>
        <w:tc>
          <w:tcPr>
            <w:tcW w:w="3510" w:type="dxa"/>
            <w:tcBorders>
              <w:top w:val="single" w:sz="4" w:space="0" w:color="auto"/>
              <w:left w:val="single" w:sz="4" w:space="0" w:color="auto"/>
              <w:bottom w:val="single" w:sz="4" w:space="0" w:color="auto"/>
              <w:right w:val="single" w:sz="4" w:space="0" w:color="auto"/>
            </w:tcBorders>
            <w:shd w:val="clear" w:color="auto" w:fill="E6E6E6"/>
          </w:tcPr>
          <w:p w:rsidR="002B77B7" w:rsidRPr="00DC53E5" w:rsidRDefault="002B77B7" w:rsidP="00C74999">
            <w:pPr>
              <w:pStyle w:val="Heading81"/>
              <w:rPr>
                <w:rFonts w:ascii="Arial" w:hAnsi="Arial" w:cs="Arial"/>
                <w:sz w:val="22"/>
                <w:szCs w:val="22"/>
                <w:lang w:val="fr-CA"/>
              </w:rPr>
            </w:pPr>
            <w:r w:rsidRPr="00DC53E5">
              <w:rPr>
                <w:rFonts w:ascii="Arial" w:hAnsi="Arial" w:cs="Arial"/>
                <w:b/>
                <w:bCs/>
                <w:sz w:val="22"/>
                <w:szCs w:val="22"/>
                <w:lang w:val="fr-CA"/>
              </w:rPr>
              <w:t xml:space="preserve">Étiologie </w:t>
            </w:r>
          </w:p>
        </w:tc>
        <w:tc>
          <w:tcPr>
            <w:tcW w:w="4395" w:type="dxa"/>
            <w:tcBorders>
              <w:top w:val="single" w:sz="4" w:space="0" w:color="auto"/>
              <w:left w:val="single" w:sz="4" w:space="0" w:color="auto"/>
              <w:bottom w:val="single" w:sz="4" w:space="0" w:color="auto"/>
              <w:right w:val="single" w:sz="4" w:space="0" w:color="auto"/>
            </w:tcBorders>
            <w:shd w:val="clear" w:color="auto" w:fill="E6E6E6"/>
          </w:tcPr>
          <w:p w:rsidR="002B77B7" w:rsidRPr="00DC53E5" w:rsidRDefault="002B77B7" w:rsidP="00C74999">
            <w:pPr>
              <w:pStyle w:val="Heading81"/>
              <w:rPr>
                <w:rFonts w:ascii="Arial" w:hAnsi="Arial" w:cs="Arial"/>
                <w:sz w:val="22"/>
                <w:szCs w:val="22"/>
                <w:lang w:val="fr-CA"/>
              </w:rPr>
            </w:pPr>
            <w:r w:rsidRPr="00DC53E5">
              <w:rPr>
                <w:rFonts w:ascii="Arial" w:hAnsi="Arial" w:cs="Arial"/>
                <w:b/>
                <w:bCs/>
                <w:sz w:val="22"/>
                <w:szCs w:val="22"/>
                <w:lang w:val="fr-CA"/>
              </w:rPr>
              <w:t xml:space="preserve">Signes et symptômes </w:t>
            </w:r>
          </w:p>
        </w:tc>
      </w:tr>
      <w:tr w:rsidR="002B77B7" w:rsidRPr="00DC53E5">
        <w:trPr>
          <w:trHeight w:val="268"/>
          <w:tblHeader/>
        </w:trPr>
        <w:tc>
          <w:tcPr>
            <w:tcW w:w="10207" w:type="dxa"/>
            <w:gridSpan w:val="3"/>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br w:type="page"/>
            </w:r>
            <w:r w:rsidRPr="00DC53E5">
              <w:rPr>
                <w:rFonts w:ascii="Arial" w:hAnsi="Arial" w:cs="Arial"/>
                <w:b/>
                <w:bCs/>
                <w:sz w:val="22"/>
                <w:szCs w:val="22"/>
                <w:lang w:val="fr-CA"/>
              </w:rPr>
              <w:t xml:space="preserve">Tardive (&gt; 24 heures) </w:t>
            </w:r>
          </w:p>
        </w:tc>
      </w:tr>
      <w:tr w:rsidR="002B77B7" w:rsidRPr="00DC53E5">
        <w:trPr>
          <w:trHeight w:val="118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Allo-immunisation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Réaction immunitaire aux antigènes étrangers des hématies, des leucocytes (HLA) et des plaquettes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Habituellement aucun, mais peut entraîner hyporéactivité des plaquettes, difficulté à trouver du sang compatible pour les transfusions ultérieures, réactions </w:t>
            </w:r>
            <w:r w:rsidR="004E03BE">
              <w:rPr>
                <w:rFonts w:ascii="Arial" w:hAnsi="Arial" w:cs="Arial"/>
                <w:sz w:val="22"/>
                <w:szCs w:val="22"/>
                <w:lang w:val="fr-CA"/>
              </w:rPr>
              <w:t xml:space="preserve">transfusionnelles </w:t>
            </w:r>
            <w:r w:rsidRPr="00DC53E5">
              <w:rPr>
                <w:rFonts w:ascii="Arial" w:hAnsi="Arial" w:cs="Arial"/>
                <w:sz w:val="22"/>
                <w:szCs w:val="22"/>
                <w:lang w:val="fr-CA"/>
              </w:rPr>
              <w:t xml:space="preserve">hémolytiques </w:t>
            </w:r>
            <w:r w:rsidR="004E03BE">
              <w:rPr>
                <w:rFonts w:ascii="Arial" w:hAnsi="Arial" w:cs="Arial"/>
                <w:sz w:val="22"/>
                <w:szCs w:val="22"/>
                <w:lang w:val="fr-CA"/>
              </w:rPr>
              <w:t>tardives</w:t>
            </w:r>
            <w:r w:rsidRPr="00DC53E5">
              <w:rPr>
                <w:rFonts w:ascii="Arial" w:hAnsi="Arial" w:cs="Arial"/>
                <w:sz w:val="22"/>
                <w:szCs w:val="22"/>
                <w:lang w:val="fr-CA"/>
              </w:rPr>
              <w:t xml:space="preserve"> et maladie hémolytique du nouveau-né </w:t>
            </w:r>
          </w:p>
        </w:tc>
      </w:tr>
      <w:tr w:rsidR="002B77B7" w:rsidRPr="00DC53E5">
        <w:trPr>
          <w:trHeight w:val="493"/>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Hémolytique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Réaction immunitaire anamnestique aux antigènes des hématies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Faiblesse, chute inexpliquée de l'hémoglobine, bilirubine sérique élevée </w:t>
            </w:r>
          </w:p>
        </w:tc>
      </w:tr>
      <w:tr w:rsidR="002B77B7" w:rsidRPr="00DC53E5">
        <w:trPr>
          <w:trHeight w:val="95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Réaction du greffon contre hôte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Lymphocytes fonctionnels transmis par transfusion à un patient immunodéprimé; peut survenir </w:t>
            </w:r>
            <w:r w:rsidR="004E03BE">
              <w:rPr>
                <w:rFonts w:ascii="Arial" w:hAnsi="Arial" w:cs="Arial"/>
                <w:sz w:val="22"/>
                <w:szCs w:val="22"/>
                <w:lang w:val="fr-CA"/>
              </w:rPr>
              <w:t>chez</w:t>
            </w:r>
            <w:r w:rsidR="004E03BE" w:rsidRPr="00DC53E5">
              <w:rPr>
                <w:rFonts w:ascii="Arial" w:hAnsi="Arial" w:cs="Arial"/>
                <w:sz w:val="22"/>
                <w:szCs w:val="22"/>
                <w:lang w:val="fr-CA"/>
              </w:rPr>
              <w:t xml:space="preserve"> un patient immunocompétent </w:t>
            </w:r>
            <w:r w:rsidRPr="00DC53E5">
              <w:rPr>
                <w:rFonts w:ascii="Arial" w:hAnsi="Arial" w:cs="Arial"/>
                <w:sz w:val="22"/>
                <w:szCs w:val="22"/>
                <w:lang w:val="fr-CA"/>
              </w:rPr>
              <w:t xml:space="preserve">lors de la transfusion de lymphocytes appariés quant au HLA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Érythrodermie, </w:t>
            </w:r>
            <w:r w:rsidR="004E03BE">
              <w:rPr>
                <w:rFonts w:ascii="Arial" w:hAnsi="Arial" w:cs="Arial"/>
                <w:sz w:val="22"/>
                <w:szCs w:val="22"/>
                <w:lang w:val="fr-CA"/>
              </w:rPr>
              <w:t>éruption</w:t>
            </w:r>
            <w:r w:rsidR="004E03BE" w:rsidRPr="00DC53E5">
              <w:rPr>
                <w:rFonts w:ascii="Arial" w:hAnsi="Arial" w:cs="Arial"/>
                <w:sz w:val="22"/>
                <w:szCs w:val="22"/>
                <w:lang w:val="fr-CA"/>
              </w:rPr>
              <w:t xml:space="preserve"> </w:t>
            </w:r>
            <w:r w:rsidRPr="00DC53E5">
              <w:rPr>
                <w:rFonts w:ascii="Arial" w:hAnsi="Arial" w:cs="Arial"/>
                <w:sz w:val="22"/>
                <w:szCs w:val="22"/>
                <w:lang w:val="fr-CA"/>
              </w:rPr>
              <w:t xml:space="preserve">maculopapulaire, anorexie, nausées, vomissements, diarrhée, hépatite, pancytopénie, fièvre </w:t>
            </w:r>
          </w:p>
        </w:tc>
      </w:tr>
      <w:tr w:rsidR="002B77B7" w:rsidRPr="00DC53E5">
        <w:trPr>
          <w:trHeight w:val="513"/>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Purpura post- transfusionnel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Anticorps plaquettaires (habituellement contre Pl </w:t>
            </w:r>
            <w:r w:rsidRPr="00DC53E5">
              <w:rPr>
                <w:rFonts w:ascii="Arial" w:hAnsi="Arial" w:cs="Arial"/>
                <w:position w:val="10"/>
                <w:sz w:val="22"/>
                <w:szCs w:val="22"/>
                <w:lang w:val="fr-CA"/>
              </w:rPr>
              <w:t>A1</w:t>
            </w:r>
            <w:r w:rsidRPr="00DC53E5">
              <w:rPr>
                <w:rFonts w:ascii="Arial" w:hAnsi="Arial" w:cs="Arial"/>
                <w:sz w:val="22"/>
                <w:szCs w:val="22"/>
                <w:lang w:val="fr-CA"/>
              </w:rPr>
              <w:t xml:space="preserve">)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pStyle w:val="Header1"/>
              <w:rPr>
                <w:rFonts w:ascii="Arial" w:hAnsi="Arial" w:cs="Arial"/>
                <w:sz w:val="22"/>
                <w:szCs w:val="22"/>
                <w:lang w:val="fr-CA"/>
              </w:rPr>
            </w:pPr>
            <w:r w:rsidRPr="00DC53E5">
              <w:rPr>
                <w:rFonts w:ascii="Arial" w:hAnsi="Arial" w:cs="Arial"/>
                <w:sz w:val="22"/>
                <w:szCs w:val="22"/>
                <w:lang w:val="fr-CA"/>
              </w:rPr>
              <w:t xml:space="preserve">Purpura, saignements, chute du nombre de plaquettes 8-10 jours après la transfusion </w:t>
            </w:r>
          </w:p>
        </w:tc>
      </w:tr>
      <w:tr w:rsidR="002B77B7" w:rsidRPr="00DC53E5">
        <w:trPr>
          <w:trHeight w:val="72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Immuno-modulation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Interaction mal comprise entre les leucocytes ou les facteurs plasmatiques du donneur et le système immunitaire du receveur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Induction d'une tolérance, infection </w:t>
            </w:r>
            <w:r w:rsidR="0079634C">
              <w:rPr>
                <w:rFonts w:ascii="Arial" w:hAnsi="Arial" w:cs="Arial"/>
                <w:sz w:val="22"/>
                <w:szCs w:val="22"/>
                <w:lang w:val="fr-CA"/>
              </w:rPr>
              <w:t>postchirurgicale</w:t>
            </w:r>
            <w:r w:rsidRPr="00DC53E5">
              <w:rPr>
                <w:rFonts w:ascii="Arial" w:hAnsi="Arial" w:cs="Arial"/>
                <w:sz w:val="22"/>
                <w:szCs w:val="22"/>
                <w:lang w:val="fr-CA"/>
              </w:rPr>
              <w:t xml:space="preserve"> des plaies, peut-être d'autres effets liés à la transfusion </w:t>
            </w:r>
          </w:p>
        </w:tc>
      </w:tr>
      <w:tr w:rsidR="002B77B7" w:rsidRPr="00DC53E5">
        <w:trPr>
          <w:trHeight w:val="49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Surcharge en fer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Transfusions multiples chez des patients qui dépendent de transfusions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Cardiomyopathie, arythmie, insuffisance hépatique et pancréatique </w:t>
            </w:r>
          </w:p>
        </w:tc>
      </w:tr>
      <w:tr w:rsidR="002B77B7" w:rsidRPr="00DC53E5">
        <w:trPr>
          <w:trHeight w:val="493"/>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Hypocalcémie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Transfusion massive de sang citrate et /ou délai du métabolisme des citrates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Paresthésie, tétanie, arythmie </w:t>
            </w:r>
          </w:p>
        </w:tc>
      </w:tr>
      <w:tr w:rsidR="002B77B7" w:rsidRPr="00DC53E5">
        <w:trPr>
          <w:trHeight w:val="1415"/>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Contamination bactérienne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Transfusion de produits sanguins contaminés par une bactérie</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525E32">
            <w:pPr>
              <w:rPr>
                <w:rFonts w:ascii="Arial" w:hAnsi="Arial" w:cs="Arial"/>
                <w:sz w:val="22"/>
                <w:szCs w:val="22"/>
                <w:lang w:val="fr-CA"/>
              </w:rPr>
            </w:pPr>
            <w:r w:rsidRPr="00DC53E5">
              <w:rPr>
                <w:rFonts w:ascii="Arial" w:hAnsi="Arial" w:cs="Arial"/>
                <w:sz w:val="22"/>
                <w:szCs w:val="22"/>
                <w:lang w:val="fr-CA"/>
              </w:rPr>
              <w:t>Fièvre (le plus souvent supérieure à 40</w:t>
            </w:r>
            <w:r w:rsidR="00525E32">
              <w:rPr>
                <w:rFonts w:ascii="Arial" w:hAnsi="Arial" w:cs="Arial"/>
                <w:sz w:val="22"/>
                <w:szCs w:val="22"/>
                <w:lang w:val="fr-CA"/>
              </w:rPr>
              <w:t> </w:t>
            </w:r>
            <w:r w:rsidR="00525E32" w:rsidRPr="00525E32">
              <w:rPr>
                <w:rFonts w:ascii="Arial" w:hAnsi="Arial" w:cs="Arial"/>
                <w:sz w:val="22"/>
                <w:szCs w:val="22"/>
                <w:vertAlign w:val="superscript"/>
                <w:lang w:val="fr-CA"/>
              </w:rPr>
              <w:t>o</w:t>
            </w:r>
            <w:r w:rsidRPr="00DC53E5">
              <w:rPr>
                <w:rFonts w:ascii="Arial" w:hAnsi="Arial" w:cs="Arial"/>
                <w:sz w:val="22"/>
                <w:szCs w:val="22"/>
                <w:lang w:val="fr-CA"/>
              </w:rPr>
              <w:t xml:space="preserve">C), tachycardie, </w:t>
            </w:r>
            <w:r w:rsidRPr="00C934BA">
              <w:rPr>
                <w:rFonts w:ascii="Arial" w:hAnsi="Arial" w:cs="Arial"/>
                <w:sz w:val="22"/>
                <w:szCs w:val="22"/>
                <w:lang w:val="fr-CA"/>
              </w:rPr>
              <w:t>frissons, état</w:t>
            </w:r>
            <w:r w:rsidRPr="00DC53E5">
              <w:rPr>
                <w:rFonts w:ascii="Arial" w:hAnsi="Arial" w:cs="Arial"/>
                <w:sz w:val="22"/>
                <w:szCs w:val="22"/>
                <w:lang w:val="fr-CA"/>
              </w:rPr>
              <w:t xml:space="preserve"> de choc, coagulation intravasculaire disséminée, nausées, vomissements, dyspnée, douleur lombaire, hausse ou chute de la pression systolique, collapsus circulatoire. N'importe lequel de ces symptômes survenant dans les quatre heures suivant la transfusion de sang. Aucune preuve d'hémoglobinémie, ni d'hémoglobinurie </w:t>
            </w:r>
          </w:p>
        </w:tc>
      </w:tr>
      <w:tr w:rsidR="002B77B7" w:rsidRPr="00DC53E5">
        <w:trPr>
          <w:trHeight w:val="264"/>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Hypothermie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Transfusion rapide de sang froid</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Arythmie cardiaque </w:t>
            </w:r>
          </w:p>
        </w:tc>
      </w:tr>
      <w:tr w:rsidR="002B77B7" w:rsidRPr="00DC53E5">
        <w:trPr>
          <w:trHeight w:val="493"/>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Aéroembolisme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Transfusion d'air dans une veine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Manifestation hypotensive grave soudaine, essoufflement, cyanose et collapsus </w:t>
            </w:r>
          </w:p>
        </w:tc>
      </w:tr>
      <w:tr w:rsidR="002B77B7" w:rsidRPr="00DC53E5">
        <w:trPr>
          <w:trHeight w:val="725"/>
        </w:trPr>
        <w:tc>
          <w:tcPr>
            <w:tcW w:w="2302"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Hyperkaliémie </w:t>
            </w:r>
          </w:p>
        </w:tc>
        <w:tc>
          <w:tcPr>
            <w:tcW w:w="3510"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Transfusion de gros volumes de sang plus vieux renfermant des niveaux élevés de potassium surnageant </w:t>
            </w:r>
          </w:p>
        </w:tc>
        <w:tc>
          <w:tcPr>
            <w:tcW w:w="4395" w:type="dxa"/>
            <w:tcBorders>
              <w:top w:val="single" w:sz="4" w:space="0" w:color="auto"/>
              <w:left w:val="single" w:sz="4" w:space="0" w:color="auto"/>
              <w:bottom w:val="single" w:sz="4" w:space="0" w:color="auto"/>
              <w:right w:val="single" w:sz="4" w:space="0" w:color="auto"/>
            </w:tcBorders>
          </w:tcPr>
          <w:p w:rsidR="002B77B7" w:rsidRPr="00DC53E5" w:rsidRDefault="002B77B7" w:rsidP="00C74999">
            <w:pPr>
              <w:rPr>
                <w:rFonts w:ascii="Arial" w:hAnsi="Arial" w:cs="Arial"/>
                <w:sz w:val="22"/>
                <w:szCs w:val="22"/>
                <w:lang w:val="fr-CA"/>
              </w:rPr>
            </w:pPr>
            <w:r w:rsidRPr="00DC53E5">
              <w:rPr>
                <w:rFonts w:ascii="Arial" w:hAnsi="Arial" w:cs="Arial"/>
                <w:sz w:val="22"/>
                <w:szCs w:val="22"/>
                <w:lang w:val="fr-CA"/>
              </w:rPr>
              <w:t xml:space="preserve">Arythmie cardiaque </w:t>
            </w:r>
          </w:p>
        </w:tc>
      </w:tr>
    </w:tbl>
    <w:p w:rsidR="002B77B7" w:rsidRPr="00DC53E5" w:rsidRDefault="002B77B7" w:rsidP="002B77B7">
      <w:pPr>
        <w:rPr>
          <w:sz w:val="22"/>
          <w:lang w:val="fr-CA"/>
        </w:rPr>
      </w:pPr>
    </w:p>
    <w:tbl>
      <w:tblPr>
        <w:tblW w:w="9682"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1"/>
        <w:gridCol w:w="4571"/>
      </w:tblGrid>
      <w:tr w:rsidR="0049531C" w:rsidRPr="00DC53E5">
        <w:trPr>
          <w:trHeight w:val="268"/>
        </w:trPr>
        <w:tc>
          <w:tcPr>
            <w:tcW w:w="9682" w:type="dxa"/>
            <w:gridSpan w:val="2"/>
            <w:tcBorders>
              <w:top w:val="single" w:sz="4" w:space="0" w:color="auto"/>
              <w:left w:val="single" w:sz="4" w:space="0" w:color="auto"/>
              <w:bottom w:val="single" w:sz="4" w:space="0" w:color="auto"/>
              <w:right w:val="single" w:sz="4" w:space="0" w:color="auto"/>
            </w:tcBorders>
            <w:shd w:val="clear" w:color="auto" w:fill="E6E6E6"/>
          </w:tcPr>
          <w:p w:rsidR="0049531C" w:rsidRPr="00DC53E5" w:rsidRDefault="0049531C" w:rsidP="0049531C">
            <w:pPr>
              <w:pStyle w:val="Heading71"/>
              <w:keepNext/>
              <w:tabs>
                <w:tab w:val="left" w:pos="0"/>
              </w:tabs>
              <w:ind w:left="72" w:hanging="72"/>
              <w:jc w:val="center"/>
              <w:rPr>
                <w:rFonts w:ascii="Arial" w:hAnsi="Arial" w:cs="Arial"/>
                <w:b/>
                <w:bCs/>
                <w:sz w:val="24"/>
                <w:lang w:val="fr-CA"/>
              </w:rPr>
            </w:pPr>
          </w:p>
          <w:p w:rsidR="0049531C" w:rsidRPr="00DC53E5" w:rsidRDefault="0049531C" w:rsidP="0049531C">
            <w:pPr>
              <w:pStyle w:val="Heading71"/>
              <w:keepNext/>
              <w:shd w:val="clear" w:color="auto" w:fill="E6E6E6"/>
              <w:tabs>
                <w:tab w:val="left" w:pos="0"/>
              </w:tabs>
              <w:ind w:left="72" w:hanging="72"/>
              <w:jc w:val="center"/>
              <w:rPr>
                <w:rFonts w:ascii="Arial" w:hAnsi="Arial" w:cs="Arial"/>
                <w:b/>
                <w:bCs/>
                <w:sz w:val="24"/>
                <w:lang w:val="fr-CA"/>
              </w:rPr>
            </w:pPr>
            <w:r w:rsidRPr="00DC53E5">
              <w:rPr>
                <w:rFonts w:ascii="Arial" w:hAnsi="Arial" w:cs="Arial"/>
                <w:b/>
                <w:bCs/>
                <w:sz w:val="24"/>
                <w:lang w:val="fr-CA"/>
              </w:rPr>
              <w:t>Autre - Maladies transmises par transfusion</w:t>
            </w:r>
          </w:p>
          <w:p w:rsidR="0049531C" w:rsidRPr="00DC53E5" w:rsidRDefault="0049531C" w:rsidP="0049531C">
            <w:pPr>
              <w:pStyle w:val="Default"/>
              <w:keepNext/>
              <w:rPr>
                <w:rFonts w:ascii="Arial" w:hAnsi="Arial" w:cs="Arial"/>
                <w:sz w:val="24"/>
                <w:szCs w:val="24"/>
                <w:lang w:val="fr-CA"/>
              </w:rPr>
            </w:pPr>
          </w:p>
        </w:tc>
      </w:tr>
      <w:tr w:rsidR="0049531C" w:rsidRPr="00DC53E5">
        <w:trPr>
          <w:trHeight w:val="268"/>
        </w:trPr>
        <w:tc>
          <w:tcPr>
            <w:tcW w:w="5111" w:type="dxa"/>
            <w:tcBorders>
              <w:top w:val="single" w:sz="4" w:space="0" w:color="auto"/>
              <w:left w:val="single" w:sz="4" w:space="0" w:color="auto"/>
              <w:bottom w:val="single" w:sz="4" w:space="0" w:color="auto"/>
              <w:right w:val="single" w:sz="4" w:space="0" w:color="auto"/>
            </w:tcBorders>
          </w:tcPr>
          <w:p w:rsidR="0049531C" w:rsidRPr="00DC53E5" w:rsidRDefault="0049531C" w:rsidP="0049531C">
            <w:pPr>
              <w:pStyle w:val="Heading91"/>
              <w:keepNext/>
              <w:tabs>
                <w:tab w:val="left" w:pos="0"/>
              </w:tabs>
              <w:rPr>
                <w:rFonts w:ascii="Arial" w:hAnsi="Arial" w:cs="Arial"/>
                <w:b/>
                <w:bCs/>
                <w:sz w:val="24"/>
                <w:lang w:val="fr-CA"/>
              </w:rPr>
            </w:pPr>
            <w:r w:rsidRPr="00DC53E5">
              <w:rPr>
                <w:rFonts w:ascii="Arial" w:hAnsi="Arial" w:cs="Arial"/>
                <w:b/>
                <w:bCs/>
                <w:sz w:val="24"/>
                <w:lang w:val="fr-CA"/>
              </w:rPr>
              <w:t xml:space="preserve">Le sang est analysé de routine </w:t>
            </w:r>
          </w:p>
          <w:p w:rsidR="0049531C" w:rsidRPr="00DC53E5" w:rsidRDefault="0049531C" w:rsidP="0049531C">
            <w:pPr>
              <w:pStyle w:val="Heading91"/>
              <w:keepNext/>
              <w:tabs>
                <w:tab w:val="left" w:pos="0"/>
              </w:tabs>
              <w:rPr>
                <w:rFonts w:ascii="Arial" w:hAnsi="Arial" w:cs="Arial"/>
                <w:sz w:val="24"/>
                <w:lang w:val="fr-CA"/>
              </w:rPr>
            </w:pPr>
            <w:r w:rsidRPr="00DC53E5">
              <w:rPr>
                <w:rFonts w:ascii="Arial" w:hAnsi="Arial" w:cs="Arial"/>
                <w:b/>
                <w:bCs/>
                <w:sz w:val="24"/>
                <w:lang w:val="fr-CA"/>
              </w:rPr>
              <w:t xml:space="preserve">pour </w:t>
            </w:r>
            <w:r w:rsidR="0079634C">
              <w:rPr>
                <w:rFonts w:ascii="Arial" w:hAnsi="Arial" w:cs="Arial"/>
                <w:b/>
                <w:bCs/>
                <w:sz w:val="24"/>
                <w:lang w:val="fr-CA"/>
              </w:rPr>
              <w:t>dépister </w:t>
            </w:r>
            <w:r w:rsidRPr="00DC53E5">
              <w:rPr>
                <w:rFonts w:ascii="Arial" w:hAnsi="Arial" w:cs="Arial"/>
                <w:b/>
                <w:bCs/>
                <w:sz w:val="24"/>
                <w:lang w:val="fr-CA"/>
              </w:rPr>
              <w:t>:</w:t>
            </w:r>
          </w:p>
        </w:tc>
        <w:tc>
          <w:tcPr>
            <w:tcW w:w="4571" w:type="dxa"/>
            <w:tcBorders>
              <w:top w:val="single" w:sz="4" w:space="0" w:color="auto"/>
              <w:left w:val="single" w:sz="4" w:space="0" w:color="auto"/>
              <w:bottom w:val="single" w:sz="4" w:space="0" w:color="auto"/>
              <w:right w:val="single" w:sz="4" w:space="0" w:color="auto"/>
            </w:tcBorders>
          </w:tcPr>
          <w:p w:rsidR="0049531C" w:rsidRPr="00DC53E5" w:rsidRDefault="0049531C" w:rsidP="0049531C">
            <w:pPr>
              <w:keepNext/>
              <w:ind w:left="1"/>
              <w:rPr>
                <w:rFonts w:ascii="Arial" w:hAnsi="Arial" w:cs="Arial"/>
                <w:sz w:val="24"/>
                <w:szCs w:val="24"/>
                <w:lang w:val="fr-CA"/>
              </w:rPr>
            </w:pPr>
            <w:r w:rsidRPr="00DC53E5">
              <w:rPr>
                <w:rFonts w:ascii="Arial" w:hAnsi="Arial" w:cs="Arial"/>
                <w:b/>
                <w:bCs/>
                <w:sz w:val="24"/>
                <w:szCs w:val="24"/>
                <w:lang w:val="fr-CA"/>
              </w:rPr>
              <w:t xml:space="preserve">Le sang n'est pas analysé de routine </w:t>
            </w:r>
            <w:r w:rsidRPr="00DC53E5">
              <w:rPr>
                <w:rFonts w:ascii="Arial" w:hAnsi="Arial" w:cs="Arial"/>
                <w:b/>
                <w:bCs/>
                <w:sz w:val="24"/>
                <w:szCs w:val="24"/>
                <w:lang w:val="fr-CA"/>
              </w:rPr>
              <w:br/>
              <w:t xml:space="preserve">pour </w:t>
            </w:r>
            <w:r w:rsidR="0079634C">
              <w:rPr>
                <w:rFonts w:ascii="Arial" w:hAnsi="Arial" w:cs="Arial"/>
                <w:b/>
                <w:bCs/>
                <w:sz w:val="24"/>
                <w:szCs w:val="24"/>
                <w:lang w:val="fr-CA"/>
              </w:rPr>
              <w:t>dépister </w:t>
            </w:r>
            <w:r w:rsidRPr="00DC53E5">
              <w:rPr>
                <w:rFonts w:ascii="Arial" w:hAnsi="Arial" w:cs="Arial"/>
                <w:b/>
                <w:bCs/>
                <w:sz w:val="24"/>
                <w:szCs w:val="24"/>
                <w:lang w:val="fr-CA"/>
              </w:rPr>
              <w:t>:</w:t>
            </w:r>
          </w:p>
        </w:tc>
      </w:tr>
    </w:tbl>
    <w:p w:rsidR="0049531C" w:rsidRPr="00DC53E5" w:rsidRDefault="0049531C" w:rsidP="0049531C">
      <w:pPr>
        <w:keepNext/>
        <w:rPr>
          <w:rFonts w:ascii="Arial" w:hAnsi="Arial" w:cs="Arial"/>
          <w:sz w:val="24"/>
          <w:szCs w:val="24"/>
          <w:lang w:val="fr-CA"/>
        </w:rPr>
      </w:pPr>
    </w:p>
    <w:tbl>
      <w:tblPr>
        <w:tblW w:w="9682"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1"/>
        <w:gridCol w:w="4571"/>
      </w:tblGrid>
      <w:tr w:rsidR="0049531C" w:rsidRPr="00EF7A8B">
        <w:trPr>
          <w:trHeight w:val="4906"/>
        </w:trPr>
        <w:tc>
          <w:tcPr>
            <w:tcW w:w="5111" w:type="dxa"/>
            <w:tcBorders>
              <w:top w:val="single" w:sz="4" w:space="0" w:color="auto"/>
              <w:left w:val="single" w:sz="4" w:space="0" w:color="auto"/>
              <w:bottom w:val="single" w:sz="4" w:space="0" w:color="auto"/>
              <w:right w:val="single" w:sz="4" w:space="0" w:color="auto"/>
            </w:tcBorders>
          </w:tcPr>
          <w:p w:rsidR="0049531C" w:rsidRPr="00DC53E5" w:rsidRDefault="0049531C" w:rsidP="0049531C">
            <w:pPr>
              <w:pStyle w:val="Default"/>
              <w:keepNext/>
              <w:ind w:left="1421"/>
              <w:rPr>
                <w:rFonts w:ascii="Arial" w:hAnsi="Arial" w:cs="Arial"/>
                <w:sz w:val="24"/>
                <w:szCs w:val="24"/>
                <w:lang w:val="fr-CA"/>
              </w:rPr>
            </w:pPr>
          </w:p>
          <w:p w:rsidR="00525E32" w:rsidRDefault="0049531C" w:rsidP="0049531C">
            <w:pPr>
              <w:pStyle w:val="Default"/>
              <w:keepNext/>
              <w:tabs>
                <w:tab w:val="left" w:pos="252"/>
              </w:tabs>
              <w:ind w:left="252" w:hanging="180"/>
              <w:rPr>
                <w:rFonts w:ascii="Arial" w:hAnsi="Arial" w:cs="Arial"/>
                <w:sz w:val="24"/>
                <w:szCs w:val="24"/>
                <w:lang w:val="fr-CA"/>
              </w:rPr>
            </w:pPr>
            <w:r w:rsidRPr="00DC53E5">
              <w:rPr>
                <w:rFonts w:ascii="Arial" w:hAnsi="Arial" w:cs="Arial"/>
                <w:sz w:val="24"/>
                <w:szCs w:val="24"/>
                <w:lang w:val="fr-CA"/>
              </w:rPr>
              <w:t xml:space="preserve">• Anticorps au virus de l'immunodéficience humaine (HIV 1 et 2) </w:t>
            </w:r>
          </w:p>
          <w:p w:rsidR="00525E32" w:rsidRDefault="0049531C" w:rsidP="00525E32">
            <w:pPr>
              <w:pStyle w:val="Default"/>
              <w:keepNext/>
              <w:tabs>
                <w:tab w:val="left" w:pos="252"/>
              </w:tabs>
              <w:ind w:left="252" w:hanging="180"/>
              <w:rPr>
                <w:rFonts w:ascii="Arial" w:hAnsi="Arial" w:cs="Arial"/>
                <w:sz w:val="24"/>
                <w:szCs w:val="24"/>
                <w:lang w:val="fr-CA"/>
              </w:rPr>
            </w:pPr>
            <w:r w:rsidRPr="00DC53E5">
              <w:rPr>
                <w:rFonts w:ascii="Arial" w:hAnsi="Arial" w:cs="Arial"/>
                <w:sz w:val="24"/>
                <w:szCs w:val="24"/>
                <w:lang w:val="fr-CA"/>
              </w:rPr>
              <w:t>•</w:t>
            </w:r>
            <w:r w:rsidRPr="00DC53E5">
              <w:rPr>
                <w:rFonts w:ascii="Arial" w:hAnsi="Arial" w:cs="Arial"/>
                <w:sz w:val="24"/>
                <w:szCs w:val="24"/>
                <w:lang w:val="fr-CA"/>
              </w:rPr>
              <w:tab/>
            </w:r>
            <w:r w:rsidR="00525E32">
              <w:rPr>
                <w:rFonts w:ascii="Arial" w:hAnsi="Arial" w:cs="Arial"/>
                <w:sz w:val="24"/>
                <w:szCs w:val="24"/>
                <w:lang w:val="fr-CA"/>
              </w:rPr>
              <w:t>Hépatite C (HCV)</w:t>
            </w:r>
          </w:p>
          <w:p w:rsidR="0049531C" w:rsidRPr="00DC53E5" w:rsidRDefault="00525E32" w:rsidP="00525E32">
            <w:pPr>
              <w:pStyle w:val="Default"/>
              <w:keepNext/>
              <w:tabs>
                <w:tab w:val="left" w:pos="252"/>
              </w:tabs>
              <w:ind w:left="252" w:hanging="180"/>
              <w:rPr>
                <w:rFonts w:ascii="Arial" w:hAnsi="Arial" w:cs="Arial"/>
                <w:sz w:val="24"/>
                <w:szCs w:val="24"/>
                <w:lang w:val="fr-CA"/>
              </w:rPr>
            </w:pPr>
            <w:r w:rsidRPr="00DC53E5">
              <w:rPr>
                <w:rFonts w:ascii="Arial" w:hAnsi="Arial" w:cs="Arial"/>
                <w:sz w:val="24"/>
                <w:szCs w:val="24"/>
                <w:lang w:val="fr-CA"/>
              </w:rPr>
              <w:t xml:space="preserve">• </w:t>
            </w:r>
            <w:r w:rsidR="0049531C" w:rsidRPr="00DC53E5">
              <w:rPr>
                <w:rFonts w:ascii="Arial" w:hAnsi="Arial" w:cs="Arial"/>
                <w:sz w:val="24"/>
                <w:szCs w:val="24"/>
                <w:lang w:val="fr-CA"/>
              </w:rPr>
              <w:t xml:space="preserve">Anticorps au virus du lymphome humain à cellules T (HTLV I et II) </w:t>
            </w:r>
          </w:p>
          <w:p w:rsidR="0049531C" w:rsidRPr="00DC53E5" w:rsidRDefault="0049531C" w:rsidP="0049531C">
            <w:pPr>
              <w:pStyle w:val="Default"/>
              <w:keepNext/>
              <w:tabs>
                <w:tab w:val="left" w:pos="252"/>
              </w:tabs>
              <w:ind w:left="252" w:hanging="180"/>
              <w:rPr>
                <w:rFonts w:ascii="Arial" w:hAnsi="Arial" w:cs="Arial"/>
                <w:sz w:val="24"/>
                <w:szCs w:val="24"/>
                <w:lang w:val="fr-CA"/>
              </w:rPr>
            </w:pPr>
            <w:r w:rsidRPr="00DC53E5">
              <w:rPr>
                <w:rFonts w:ascii="Arial" w:hAnsi="Arial" w:cs="Arial"/>
                <w:sz w:val="24"/>
                <w:szCs w:val="24"/>
                <w:lang w:val="fr-CA"/>
              </w:rPr>
              <w:t xml:space="preserve">• </w:t>
            </w:r>
            <w:r w:rsidR="00525E32">
              <w:rPr>
                <w:rFonts w:ascii="Arial" w:hAnsi="Arial" w:cs="Arial"/>
                <w:sz w:val="24"/>
                <w:szCs w:val="24"/>
                <w:lang w:val="fr-CA"/>
              </w:rPr>
              <w:t>Antigène capsidique de l’h</w:t>
            </w:r>
            <w:r w:rsidRPr="00DC53E5">
              <w:rPr>
                <w:rFonts w:ascii="Arial" w:hAnsi="Arial" w:cs="Arial"/>
                <w:sz w:val="24"/>
                <w:szCs w:val="24"/>
                <w:lang w:val="fr-CA"/>
              </w:rPr>
              <w:t xml:space="preserve">épatite B  </w:t>
            </w:r>
          </w:p>
          <w:p w:rsidR="0049531C" w:rsidRDefault="0049531C" w:rsidP="0049531C">
            <w:pPr>
              <w:pStyle w:val="Default"/>
              <w:keepNext/>
              <w:tabs>
                <w:tab w:val="left" w:pos="252"/>
              </w:tabs>
              <w:ind w:left="252" w:hanging="180"/>
              <w:rPr>
                <w:rFonts w:ascii="Arial" w:hAnsi="Arial" w:cs="Arial"/>
                <w:sz w:val="24"/>
                <w:szCs w:val="24"/>
                <w:lang w:val="fr-CA"/>
              </w:rPr>
            </w:pPr>
            <w:r w:rsidRPr="00DC53E5">
              <w:rPr>
                <w:rFonts w:ascii="Arial" w:hAnsi="Arial" w:cs="Arial"/>
                <w:sz w:val="24"/>
                <w:szCs w:val="24"/>
                <w:lang w:val="fr-CA"/>
              </w:rPr>
              <w:t xml:space="preserve">• </w:t>
            </w:r>
            <w:r w:rsidRPr="00DC53E5">
              <w:rPr>
                <w:rFonts w:ascii="Arial" w:hAnsi="Arial" w:cs="Arial"/>
                <w:sz w:val="24"/>
                <w:szCs w:val="24"/>
                <w:lang w:val="fr-CA"/>
              </w:rPr>
              <w:tab/>
              <w:t xml:space="preserve">Syphilis </w:t>
            </w:r>
          </w:p>
          <w:p w:rsidR="00525E32" w:rsidRDefault="00525E32" w:rsidP="0049531C">
            <w:pPr>
              <w:pStyle w:val="Default"/>
              <w:keepNext/>
              <w:tabs>
                <w:tab w:val="left" w:pos="252"/>
              </w:tabs>
              <w:ind w:left="252" w:hanging="180"/>
              <w:rPr>
                <w:rFonts w:ascii="Arial" w:hAnsi="Arial" w:cs="Arial"/>
                <w:sz w:val="24"/>
                <w:szCs w:val="24"/>
                <w:lang w:val="fr-CA"/>
              </w:rPr>
            </w:pPr>
            <w:r w:rsidRPr="00DC53E5">
              <w:rPr>
                <w:rFonts w:ascii="Arial" w:hAnsi="Arial" w:cs="Arial"/>
                <w:sz w:val="24"/>
                <w:szCs w:val="24"/>
                <w:lang w:val="fr-CA"/>
              </w:rPr>
              <w:t>•</w:t>
            </w:r>
            <w:r>
              <w:rPr>
                <w:rFonts w:ascii="Arial" w:hAnsi="Arial" w:cs="Arial"/>
                <w:sz w:val="24"/>
                <w:szCs w:val="24"/>
                <w:lang w:val="fr-CA"/>
              </w:rPr>
              <w:t xml:space="preserve"> ARN du Virus du Nil occidental</w:t>
            </w:r>
          </w:p>
          <w:p w:rsidR="00525E32" w:rsidRPr="00DC53E5" w:rsidRDefault="00525E32" w:rsidP="00525E32">
            <w:pPr>
              <w:pStyle w:val="Default"/>
              <w:keepNext/>
              <w:tabs>
                <w:tab w:val="left" w:pos="252"/>
              </w:tabs>
              <w:ind w:left="252" w:hanging="180"/>
              <w:rPr>
                <w:rFonts w:ascii="Arial" w:hAnsi="Arial" w:cs="Arial"/>
                <w:sz w:val="24"/>
                <w:szCs w:val="24"/>
                <w:lang w:val="fr-CA"/>
              </w:rPr>
            </w:pPr>
            <w:r w:rsidRPr="00DC53E5">
              <w:rPr>
                <w:rFonts w:ascii="Arial" w:hAnsi="Arial" w:cs="Arial"/>
                <w:sz w:val="24"/>
                <w:szCs w:val="24"/>
                <w:lang w:val="fr-CA"/>
              </w:rPr>
              <w:t>•</w:t>
            </w:r>
            <w:r>
              <w:rPr>
                <w:rFonts w:ascii="Arial" w:hAnsi="Arial" w:cs="Arial"/>
                <w:sz w:val="24"/>
                <w:szCs w:val="24"/>
                <w:lang w:val="fr-CA"/>
              </w:rPr>
              <w:t xml:space="preserve"> ARN du VIH</w:t>
            </w:r>
            <w:r>
              <w:rPr>
                <w:rFonts w:ascii="Arial" w:hAnsi="Arial" w:cs="Arial"/>
                <w:sz w:val="24"/>
                <w:szCs w:val="24"/>
                <w:lang w:val="fr-CA"/>
              </w:rPr>
              <w:br/>
              <w:t>ARN de l’HCV</w:t>
            </w:r>
          </w:p>
        </w:tc>
        <w:tc>
          <w:tcPr>
            <w:tcW w:w="4571" w:type="dxa"/>
            <w:tcBorders>
              <w:top w:val="single" w:sz="4" w:space="0" w:color="auto"/>
              <w:left w:val="single" w:sz="4" w:space="0" w:color="auto"/>
              <w:bottom w:val="single" w:sz="4" w:space="0" w:color="auto"/>
              <w:right w:val="single" w:sz="4" w:space="0" w:color="auto"/>
            </w:tcBorders>
          </w:tcPr>
          <w:p w:rsidR="0049531C" w:rsidRPr="00EF7A8B" w:rsidRDefault="0049531C" w:rsidP="0049531C">
            <w:pPr>
              <w:pStyle w:val="Default"/>
              <w:keepNext/>
              <w:ind w:left="1421"/>
              <w:rPr>
                <w:rFonts w:ascii="Arial" w:hAnsi="Arial" w:cs="Arial"/>
                <w:sz w:val="24"/>
                <w:szCs w:val="24"/>
                <w:lang w:val="fr-CA"/>
              </w:rPr>
            </w:pP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Hépatite A (HAV)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Hépatite D (le dépistage du HBV réduit le risque)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Hépatite E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Hépatite F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Hépatite G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Virus TT (TTV)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Anticorps au CMV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Virus Epstein-Barr (EBV)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Herpèsvirus humain 6 (HHV-6)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Herpèsvirus humain 7 (HHV-7)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Herpèsvirus humain 8 (HHV-8)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Pa</w:t>
            </w:r>
            <w:r w:rsidR="00EF7A8B" w:rsidRPr="00EF7A8B">
              <w:rPr>
                <w:rFonts w:ascii="Arial" w:hAnsi="Arial" w:cs="Arial"/>
                <w:sz w:val="24"/>
                <w:szCs w:val="24"/>
                <w:lang w:val="fr-CA"/>
              </w:rPr>
              <w:t>rvo</w:t>
            </w:r>
            <w:r w:rsidRPr="00EF7A8B">
              <w:rPr>
                <w:rFonts w:ascii="Arial" w:hAnsi="Arial" w:cs="Arial"/>
                <w:sz w:val="24"/>
                <w:szCs w:val="24"/>
                <w:lang w:val="fr-CA"/>
              </w:rPr>
              <w:t xml:space="preserve">virus humain B19  (HPV-19)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Maladie de Creutzfeld-Jakob  (MCJ)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Maladie de Lyme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Paludisme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Maladie de Chagas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Leishmaniose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Babésiose </w:t>
            </w:r>
          </w:p>
          <w:p w:rsidR="0049531C" w:rsidRPr="00EF7A8B" w:rsidRDefault="0049531C" w:rsidP="0049531C">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Toxoplasmose </w:t>
            </w:r>
          </w:p>
          <w:p w:rsidR="0049531C" w:rsidRPr="00EF7A8B" w:rsidRDefault="0049531C" w:rsidP="00525E32">
            <w:pPr>
              <w:pStyle w:val="Default"/>
              <w:keepNext/>
              <w:ind w:left="361" w:hanging="180"/>
              <w:rPr>
                <w:rFonts w:ascii="Arial" w:hAnsi="Arial" w:cs="Arial"/>
                <w:sz w:val="24"/>
                <w:szCs w:val="24"/>
                <w:lang w:val="fr-CA"/>
              </w:rPr>
            </w:pPr>
            <w:r w:rsidRPr="00EF7A8B">
              <w:rPr>
                <w:rFonts w:ascii="Arial" w:hAnsi="Arial" w:cs="Arial"/>
                <w:sz w:val="24"/>
                <w:szCs w:val="24"/>
                <w:lang w:val="fr-CA"/>
              </w:rPr>
              <w:t xml:space="preserve">• </w:t>
            </w:r>
            <w:r w:rsidRPr="00EF7A8B">
              <w:rPr>
                <w:rFonts w:ascii="Arial" w:hAnsi="Arial" w:cs="Arial"/>
                <w:sz w:val="24"/>
                <w:szCs w:val="24"/>
                <w:lang w:val="fr-CA"/>
              </w:rPr>
              <w:tab/>
              <w:t xml:space="preserve">Microfiliariose </w:t>
            </w:r>
          </w:p>
        </w:tc>
      </w:tr>
    </w:tbl>
    <w:p w:rsidR="00C74999" w:rsidRPr="00DC53E5" w:rsidRDefault="00C74999" w:rsidP="0049531C">
      <w:pPr>
        <w:spacing w:line="228" w:lineRule="auto"/>
        <w:ind w:left="-993"/>
        <w:rPr>
          <w:rFonts w:ascii="Arial" w:hAnsi="Arial"/>
          <w:sz w:val="24"/>
          <w:lang w:val="fr-CA"/>
        </w:rPr>
      </w:pPr>
    </w:p>
    <w:p w:rsidR="00C74999" w:rsidRPr="002172EC" w:rsidRDefault="00C74999">
      <w:pPr>
        <w:numPr>
          <w:ilvl w:val="0"/>
          <w:numId w:val="1"/>
        </w:numPr>
        <w:spacing w:line="228" w:lineRule="auto"/>
        <w:rPr>
          <w:rFonts w:ascii="Arial" w:hAnsi="Arial"/>
          <w:b/>
          <w:sz w:val="28"/>
          <w:lang w:val="fr-CA"/>
        </w:rPr>
      </w:pPr>
      <w:r w:rsidRPr="002172EC">
        <w:rPr>
          <w:rFonts w:ascii="Arial" w:hAnsi="Arial"/>
          <w:b/>
          <w:sz w:val="28"/>
          <w:lang w:val="fr-CA"/>
        </w:rPr>
        <w:t>R</w:t>
      </w:r>
      <w:r w:rsidR="0049531C" w:rsidRPr="002172EC">
        <w:rPr>
          <w:rFonts w:ascii="Arial" w:hAnsi="Arial"/>
          <w:b/>
          <w:sz w:val="28"/>
          <w:lang w:val="fr-CA"/>
        </w:rPr>
        <w:t>é</w:t>
      </w:r>
      <w:r w:rsidRPr="002172EC">
        <w:rPr>
          <w:rFonts w:ascii="Arial" w:hAnsi="Arial"/>
          <w:b/>
          <w:sz w:val="28"/>
          <w:lang w:val="fr-CA"/>
        </w:rPr>
        <w:t>f</w:t>
      </w:r>
      <w:r w:rsidR="0049531C" w:rsidRPr="002172EC">
        <w:rPr>
          <w:rFonts w:ascii="Arial" w:hAnsi="Arial"/>
          <w:b/>
          <w:sz w:val="28"/>
          <w:lang w:val="fr-CA"/>
        </w:rPr>
        <w:t>é</w:t>
      </w:r>
      <w:r w:rsidRPr="002172EC">
        <w:rPr>
          <w:rFonts w:ascii="Arial" w:hAnsi="Arial"/>
          <w:b/>
          <w:sz w:val="28"/>
          <w:lang w:val="fr-CA"/>
        </w:rPr>
        <w:t>rences</w:t>
      </w:r>
    </w:p>
    <w:p w:rsidR="00C74999" w:rsidRPr="002172EC" w:rsidRDefault="00C74999">
      <w:pPr>
        <w:spacing w:line="228" w:lineRule="auto"/>
        <w:ind w:left="720"/>
        <w:rPr>
          <w:rFonts w:ascii="Arial" w:hAnsi="Arial"/>
          <w:b/>
          <w:sz w:val="24"/>
          <w:lang w:val="fr-CA"/>
        </w:rPr>
      </w:pPr>
    </w:p>
    <w:p w:rsidR="00AB2039" w:rsidRPr="009512CD" w:rsidRDefault="00AB2039" w:rsidP="00AB2039">
      <w:pPr>
        <w:numPr>
          <w:ilvl w:val="1"/>
          <w:numId w:val="1"/>
        </w:numPr>
        <w:spacing w:line="228" w:lineRule="auto"/>
        <w:rPr>
          <w:rFonts w:ascii="Arial" w:hAnsi="Arial"/>
          <w:sz w:val="24"/>
          <w:lang w:val="fr-FR"/>
        </w:rPr>
      </w:pPr>
      <w:r w:rsidRPr="009512CD">
        <w:rPr>
          <w:rFonts w:ascii="Arial" w:hAnsi="Arial"/>
          <w:i/>
          <w:sz w:val="24"/>
          <w:lang w:val="fr-FR"/>
        </w:rPr>
        <w:t>Standards for Hospital Transfusion Services</w:t>
      </w:r>
      <w:r w:rsidR="00525E32" w:rsidRPr="009512CD">
        <w:rPr>
          <w:rFonts w:ascii="Arial" w:hAnsi="Arial"/>
          <w:i/>
          <w:sz w:val="24"/>
          <w:lang w:val="fr-FR"/>
        </w:rPr>
        <w:t>,</w:t>
      </w:r>
      <w:r w:rsidRPr="009512CD">
        <w:rPr>
          <w:rFonts w:ascii="Arial" w:hAnsi="Arial"/>
          <w:sz w:val="24"/>
          <w:lang w:val="fr-FR"/>
        </w:rPr>
        <w:t xml:space="preserve"> </w:t>
      </w:r>
      <w:r w:rsidR="00525E32" w:rsidRPr="009512CD">
        <w:rPr>
          <w:rFonts w:ascii="Arial" w:hAnsi="Arial"/>
          <w:sz w:val="24"/>
          <w:lang w:val="fr-FR"/>
        </w:rPr>
        <w:t>v</w:t>
      </w:r>
      <w:r w:rsidRPr="009512CD">
        <w:rPr>
          <w:rFonts w:ascii="Arial" w:hAnsi="Arial"/>
          <w:sz w:val="24"/>
          <w:lang w:val="fr-FR"/>
        </w:rPr>
        <w:t xml:space="preserve">ersion 2 – </w:t>
      </w:r>
      <w:r w:rsidR="00C55C10" w:rsidRPr="009512CD">
        <w:rPr>
          <w:rFonts w:ascii="Arial" w:hAnsi="Arial"/>
          <w:sz w:val="24"/>
          <w:lang w:val="fr-FR"/>
        </w:rPr>
        <w:t>s</w:t>
      </w:r>
      <w:r w:rsidRPr="009512CD">
        <w:rPr>
          <w:rFonts w:ascii="Arial" w:hAnsi="Arial"/>
          <w:sz w:val="24"/>
          <w:lang w:val="fr-FR"/>
        </w:rPr>
        <w:t>eptembr</w:t>
      </w:r>
      <w:r w:rsidR="00C55C10" w:rsidRPr="009512CD">
        <w:rPr>
          <w:rFonts w:ascii="Arial" w:hAnsi="Arial"/>
          <w:sz w:val="24"/>
          <w:lang w:val="fr-FR"/>
        </w:rPr>
        <w:t>e</w:t>
      </w:r>
      <w:r w:rsidRPr="009512CD">
        <w:rPr>
          <w:rFonts w:ascii="Arial" w:hAnsi="Arial"/>
          <w:sz w:val="24"/>
          <w:lang w:val="fr-FR"/>
        </w:rPr>
        <w:t xml:space="preserve"> 2007. </w:t>
      </w:r>
      <w:r w:rsidR="00C55C10" w:rsidRPr="009512CD">
        <w:rPr>
          <w:rFonts w:ascii="Arial" w:hAnsi="Arial"/>
          <w:sz w:val="24"/>
          <w:lang w:val="fr-FR"/>
        </w:rPr>
        <w:t>Société canadienne de médecine transfusionnelle</w:t>
      </w:r>
      <w:r w:rsidRPr="009512CD">
        <w:rPr>
          <w:rFonts w:ascii="Arial" w:hAnsi="Arial"/>
          <w:sz w:val="24"/>
          <w:lang w:val="fr-FR"/>
        </w:rPr>
        <w:t xml:space="preserve">, </w:t>
      </w:r>
      <w:r w:rsidR="00525E32" w:rsidRPr="009512CD">
        <w:rPr>
          <w:rFonts w:ascii="Arial" w:hAnsi="Arial"/>
          <w:sz w:val="24"/>
          <w:lang w:val="fr-FR"/>
        </w:rPr>
        <w:t xml:space="preserve">p. </w:t>
      </w:r>
      <w:r w:rsidRPr="009512CD">
        <w:rPr>
          <w:rFonts w:ascii="Arial" w:hAnsi="Arial"/>
          <w:sz w:val="24"/>
          <w:lang w:val="fr-FR"/>
        </w:rPr>
        <w:t xml:space="preserve">7.1.1, 7.2.2.1, 7.2.3.1, </w:t>
      </w:r>
      <w:r w:rsidR="00C55C10" w:rsidRPr="009512CD">
        <w:rPr>
          <w:rFonts w:ascii="Arial" w:hAnsi="Arial"/>
          <w:sz w:val="24"/>
          <w:lang w:val="fr-FR"/>
        </w:rPr>
        <w:t>annexe</w:t>
      </w:r>
      <w:r w:rsidRPr="009512CD">
        <w:rPr>
          <w:rFonts w:ascii="Arial" w:hAnsi="Arial"/>
          <w:sz w:val="24"/>
          <w:lang w:val="fr-FR"/>
        </w:rPr>
        <w:t xml:space="preserve"> A, 7.2.2.5, 7.2.5.1, 7.2.5.2.</w:t>
      </w:r>
    </w:p>
    <w:p w:rsidR="00AB2039" w:rsidRPr="009512CD" w:rsidRDefault="00AB2039" w:rsidP="00AB2039">
      <w:pPr>
        <w:spacing w:line="228" w:lineRule="auto"/>
        <w:ind w:left="720"/>
        <w:rPr>
          <w:rFonts w:ascii="Arial" w:hAnsi="Arial"/>
          <w:sz w:val="24"/>
          <w:lang w:val="fr-FR"/>
        </w:rPr>
      </w:pPr>
    </w:p>
    <w:p w:rsidR="00AB2039" w:rsidRDefault="00AB2039" w:rsidP="00AB2039">
      <w:pPr>
        <w:numPr>
          <w:ilvl w:val="1"/>
          <w:numId w:val="1"/>
        </w:numPr>
        <w:spacing w:line="228" w:lineRule="auto"/>
        <w:rPr>
          <w:rFonts w:ascii="Arial" w:hAnsi="Arial"/>
          <w:sz w:val="24"/>
        </w:rPr>
      </w:pPr>
      <w:r w:rsidRPr="002950C4">
        <w:rPr>
          <w:rFonts w:ascii="Arial" w:hAnsi="Arial"/>
          <w:i/>
          <w:sz w:val="24"/>
        </w:rPr>
        <w:t>Standards for Blood Banks and Transfusion Service</w:t>
      </w:r>
      <w:r>
        <w:rPr>
          <w:rFonts w:ascii="Arial" w:hAnsi="Arial"/>
          <w:sz w:val="24"/>
        </w:rPr>
        <w:t>, 25</w:t>
      </w:r>
      <w:r w:rsidR="00C55C10">
        <w:rPr>
          <w:rFonts w:ascii="Arial" w:hAnsi="Arial"/>
          <w:sz w:val="24"/>
          <w:vertAlign w:val="superscript"/>
        </w:rPr>
        <w:t>e</w:t>
      </w:r>
      <w:r>
        <w:rPr>
          <w:rFonts w:ascii="Arial" w:hAnsi="Arial"/>
          <w:sz w:val="24"/>
        </w:rPr>
        <w:t xml:space="preserve"> </w:t>
      </w:r>
      <w:r w:rsidR="00C55C10">
        <w:rPr>
          <w:rFonts w:ascii="Arial" w:hAnsi="Arial"/>
          <w:sz w:val="24"/>
        </w:rPr>
        <w:t>é</w:t>
      </w:r>
      <w:r>
        <w:rPr>
          <w:rFonts w:ascii="Arial" w:hAnsi="Arial"/>
          <w:sz w:val="24"/>
        </w:rPr>
        <w:t xml:space="preserve">d. </w:t>
      </w:r>
      <w:smartTag w:uri="urn:schemas-microsoft-com:office:smarttags" w:element="place">
        <w:smartTag w:uri="urn:schemas-microsoft-com:office:smarttags" w:element="City">
          <w:r>
            <w:rPr>
              <w:rFonts w:ascii="Arial" w:hAnsi="Arial"/>
              <w:sz w:val="24"/>
            </w:rPr>
            <w:t>Bethesda</w:t>
          </w:r>
        </w:smartTag>
        <w:r>
          <w:rPr>
            <w:rFonts w:ascii="Arial" w:hAnsi="Arial"/>
            <w:sz w:val="24"/>
          </w:rPr>
          <w:t xml:space="preserve">, </w:t>
        </w:r>
        <w:smartTag w:uri="urn:schemas-microsoft-com:office:smarttags" w:element="State">
          <w:r>
            <w:rPr>
              <w:rFonts w:ascii="Arial" w:hAnsi="Arial"/>
              <w:sz w:val="24"/>
            </w:rPr>
            <w:t>MD</w:t>
          </w:r>
        </w:smartTag>
      </w:smartTag>
      <w:r>
        <w:rPr>
          <w:rFonts w:ascii="Arial" w:hAnsi="Arial"/>
          <w:sz w:val="24"/>
        </w:rPr>
        <w:t xml:space="preserve">: American Association of Blood Banks </w:t>
      </w:r>
      <w:r w:rsidR="00C55C10">
        <w:rPr>
          <w:rFonts w:ascii="Arial" w:hAnsi="Arial"/>
          <w:sz w:val="24"/>
        </w:rPr>
        <w:t>(</w:t>
      </w:r>
      <w:r>
        <w:rPr>
          <w:rFonts w:ascii="Arial" w:hAnsi="Arial"/>
          <w:sz w:val="24"/>
        </w:rPr>
        <w:t>2008</w:t>
      </w:r>
      <w:r w:rsidR="00C55C10">
        <w:rPr>
          <w:rFonts w:ascii="Arial" w:hAnsi="Arial"/>
          <w:sz w:val="24"/>
        </w:rPr>
        <w:t>),</w:t>
      </w:r>
      <w:r>
        <w:rPr>
          <w:rFonts w:ascii="Arial" w:hAnsi="Arial"/>
          <w:sz w:val="24"/>
        </w:rPr>
        <w:t xml:space="preserve"> </w:t>
      </w:r>
      <w:r w:rsidR="002950C4">
        <w:rPr>
          <w:rFonts w:ascii="Arial" w:hAnsi="Arial"/>
          <w:sz w:val="24"/>
        </w:rPr>
        <w:t>p. </w:t>
      </w:r>
      <w:r>
        <w:rPr>
          <w:rFonts w:ascii="Arial" w:hAnsi="Arial"/>
          <w:sz w:val="24"/>
        </w:rPr>
        <w:t>7.4.1, 7.4.1.2.</w:t>
      </w:r>
    </w:p>
    <w:p w:rsidR="00AB2039" w:rsidRDefault="00AB2039" w:rsidP="00AB2039">
      <w:pPr>
        <w:spacing w:line="228" w:lineRule="auto"/>
        <w:ind w:left="720"/>
        <w:rPr>
          <w:rFonts w:ascii="Arial" w:hAnsi="Arial"/>
          <w:sz w:val="24"/>
        </w:rPr>
      </w:pPr>
    </w:p>
    <w:p w:rsidR="00AB2039" w:rsidRPr="00C55C10" w:rsidRDefault="00C55C10" w:rsidP="00AB2039">
      <w:pPr>
        <w:numPr>
          <w:ilvl w:val="1"/>
          <w:numId w:val="1"/>
        </w:numPr>
        <w:spacing w:line="228" w:lineRule="auto"/>
        <w:rPr>
          <w:rFonts w:ascii="Arial" w:hAnsi="Arial"/>
          <w:sz w:val="24"/>
        </w:rPr>
      </w:pPr>
      <w:r w:rsidRPr="00C55C10">
        <w:rPr>
          <w:rFonts w:ascii="Arial" w:hAnsi="Arial"/>
          <w:sz w:val="24"/>
          <w:lang w:val="fr-CA"/>
        </w:rPr>
        <w:t>Circulaire d’information sur l’emploi de sang et de produits sanguins humains. Société canadienne du sang (2006),</w:t>
      </w:r>
      <w:r w:rsidR="002950C4">
        <w:rPr>
          <w:rFonts w:ascii="Arial" w:hAnsi="Arial"/>
          <w:sz w:val="24"/>
          <w:lang w:val="fr-CA"/>
        </w:rPr>
        <w:t xml:space="preserve"> p. </w:t>
      </w:r>
      <w:r w:rsidRPr="00C55C10">
        <w:rPr>
          <w:rFonts w:ascii="Arial" w:hAnsi="Arial"/>
          <w:sz w:val="24"/>
          <w:lang w:val="fr-CA"/>
        </w:rPr>
        <w:t>6</w:t>
      </w:r>
      <w:r w:rsidR="00AB2039" w:rsidRPr="00C55C10">
        <w:rPr>
          <w:rFonts w:ascii="Arial" w:hAnsi="Arial"/>
          <w:sz w:val="24"/>
        </w:rPr>
        <w:t xml:space="preserve">.  </w:t>
      </w:r>
      <w:r w:rsidRPr="00C55C10">
        <w:rPr>
          <w:rFonts w:ascii="Arial" w:hAnsi="Arial"/>
          <w:sz w:val="24"/>
        </w:rPr>
        <w:br/>
      </w:r>
    </w:p>
    <w:p w:rsidR="00AB2039" w:rsidRDefault="00C55C10" w:rsidP="00AB2039">
      <w:pPr>
        <w:numPr>
          <w:ilvl w:val="1"/>
          <w:numId w:val="1"/>
        </w:numPr>
        <w:spacing w:line="228" w:lineRule="auto"/>
        <w:rPr>
          <w:rFonts w:ascii="Arial" w:hAnsi="Arial"/>
          <w:sz w:val="24"/>
        </w:rPr>
      </w:pPr>
      <w:r>
        <w:rPr>
          <w:rFonts w:ascii="Arial" w:hAnsi="Arial"/>
          <w:sz w:val="24"/>
        </w:rPr>
        <w:t>ROBACK JD, é</w:t>
      </w:r>
      <w:r w:rsidR="00AB2039">
        <w:rPr>
          <w:rFonts w:ascii="Arial" w:hAnsi="Arial"/>
          <w:sz w:val="24"/>
        </w:rPr>
        <w:t xml:space="preserve">d. </w:t>
      </w:r>
      <w:r w:rsidR="00AB2039" w:rsidRPr="002950C4">
        <w:rPr>
          <w:rFonts w:ascii="Arial" w:hAnsi="Arial"/>
          <w:i/>
          <w:sz w:val="24"/>
        </w:rPr>
        <w:t>American Association of Blood Banks Technical Manual</w:t>
      </w:r>
      <w:r w:rsidR="00AB2039">
        <w:rPr>
          <w:rFonts w:ascii="Arial" w:hAnsi="Arial"/>
          <w:sz w:val="24"/>
        </w:rPr>
        <w:t>, 16</w:t>
      </w:r>
      <w:r>
        <w:rPr>
          <w:rFonts w:ascii="Arial" w:hAnsi="Arial"/>
          <w:sz w:val="24"/>
          <w:vertAlign w:val="superscript"/>
        </w:rPr>
        <w:t>e</w:t>
      </w:r>
      <w:r w:rsidR="00AB2039">
        <w:rPr>
          <w:rFonts w:ascii="Arial" w:hAnsi="Arial"/>
          <w:sz w:val="24"/>
        </w:rPr>
        <w:t xml:space="preserve"> </w:t>
      </w:r>
      <w:r>
        <w:rPr>
          <w:rFonts w:ascii="Arial" w:hAnsi="Arial"/>
          <w:sz w:val="24"/>
        </w:rPr>
        <w:t>é</w:t>
      </w:r>
      <w:r w:rsidR="00AB2039">
        <w:rPr>
          <w:rFonts w:ascii="Arial" w:hAnsi="Arial"/>
          <w:sz w:val="24"/>
        </w:rPr>
        <w:t xml:space="preserve">d. </w:t>
      </w:r>
      <w:smartTag w:uri="urn:schemas-microsoft-com:office:smarttags" w:element="place">
        <w:smartTag w:uri="urn:schemas-microsoft-com:office:smarttags" w:element="City">
          <w:r w:rsidR="00AB2039">
            <w:rPr>
              <w:rFonts w:ascii="Arial" w:hAnsi="Arial"/>
              <w:sz w:val="24"/>
            </w:rPr>
            <w:t>Bethesda</w:t>
          </w:r>
        </w:smartTag>
        <w:r w:rsidR="00AB2039">
          <w:rPr>
            <w:rFonts w:ascii="Arial" w:hAnsi="Arial"/>
            <w:sz w:val="24"/>
          </w:rPr>
          <w:t xml:space="preserve">, </w:t>
        </w:r>
        <w:smartTag w:uri="urn:schemas-microsoft-com:office:smarttags" w:element="State">
          <w:r w:rsidR="00AB2039">
            <w:rPr>
              <w:rFonts w:ascii="Arial" w:hAnsi="Arial"/>
              <w:sz w:val="24"/>
            </w:rPr>
            <w:t>MD</w:t>
          </w:r>
        </w:smartTag>
      </w:smartTag>
      <w:r w:rsidR="00AB2039">
        <w:rPr>
          <w:rFonts w:ascii="Arial" w:hAnsi="Arial"/>
          <w:sz w:val="24"/>
        </w:rPr>
        <w:t>:  American Association of Blood Banks</w:t>
      </w:r>
      <w:r>
        <w:rPr>
          <w:rFonts w:ascii="Arial" w:hAnsi="Arial"/>
          <w:sz w:val="24"/>
        </w:rPr>
        <w:t xml:space="preserve"> (</w:t>
      </w:r>
      <w:r w:rsidR="00AB2039">
        <w:rPr>
          <w:rFonts w:ascii="Arial" w:hAnsi="Arial"/>
          <w:sz w:val="24"/>
        </w:rPr>
        <w:t>2008</w:t>
      </w:r>
      <w:r>
        <w:rPr>
          <w:rFonts w:ascii="Arial" w:hAnsi="Arial"/>
          <w:sz w:val="24"/>
        </w:rPr>
        <w:t xml:space="preserve">), </w:t>
      </w:r>
      <w:r w:rsidR="002950C4">
        <w:rPr>
          <w:rFonts w:ascii="Arial" w:hAnsi="Arial"/>
          <w:sz w:val="24"/>
        </w:rPr>
        <w:t xml:space="preserve">p. </w:t>
      </w:r>
      <w:r w:rsidR="00AB2039">
        <w:rPr>
          <w:rFonts w:ascii="Arial" w:hAnsi="Arial"/>
          <w:sz w:val="24"/>
        </w:rPr>
        <w:t>715-745.</w:t>
      </w:r>
    </w:p>
    <w:sectPr w:rsidR="00AB2039">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2E" w:rsidRDefault="008A1C2E">
      <w:r>
        <w:separator/>
      </w:r>
    </w:p>
  </w:endnote>
  <w:endnote w:type="continuationSeparator" w:id="0">
    <w:p w:rsidR="008A1C2E" w:rsidRDefault="008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152CC" w:rsidRPr="00F76D2E">
      <w:trPr>
        <w:trHeight w:val="720"/>
      </w:trPr>
      <w:tc>
        <w:tcPr>
          <w:tcW w:w="1368" w:type="dxa"/>
        </w:tcPr>
        <w:p w:rsidR="004152CC" w:rsidRDefault="004152CC">
          <w:pPr>
            <w:pStyle w:val="Footer"/>
            <w:jc w:val="center"/>
            <w:rPr>
              <w:sz w:val="8"/>
            </w:rPr>
          </w:pPr>
        </w:p>
        <w:p w:rsidR="004152CC" w:rsidRDefault="00EE6BD3">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F71815" w:rsidRDefault="00F71815" w:rsidP="00F71815">
          <w:pPr>
            <w:pStyle w:val="Footer"/>
            <w:jc w:val="center"/>
            <w:rPr>
              <w:rFonts w:ascii="Arial" w:hAnsi="Arial"/>
              <w:sz w:val="18"/>
            </w:rPr>
          </w:pPr>
        </w:p>
        <w:p w:rsidR="00F71815" w:rsidRPr="00D52543" w:rsidRDefault="00F71815" w:rsidP="00F71815">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F71815" w:rsidRDefault="00F71815" w:rsidP="00F71815">
          <w:pPr>
            <w:pStyle w:val="Footer"/>
            <w:jc w:val="center"/>
            <w:rPr>
              <w:rFonts w:ascii="Arial" w:hAnsi="Arial"/>
              <w:sz w:val="18"/>
              <w:lang w:val="fr-CA"/>
            </w:rPr>
          </w:pPr>
        </w:p>
        <w:p w:rsidR="00F71815" w:rsidRPr="00D52543" w:rsidRDefault="00F71815" w:rsidP="00F71815">
          <w:pPr>
            <w:pStyle w:val="Footer"/>
            <w:jc w:val="center"/>
            <w:rPr>
              <w:rFonts w:ascii="Arial" w:hAnsi="Arial"/>
              <w:sz w:val="18"/>
              <w:lang w:val="fr-CA"/>
            </w:rPr>
          </w:pPr>
          <w:r>
            <w:rPr>
              <w:rFonts w:ascii="Arial" w:hAnsi="Arial"/>
              <w:sz w:val="18"/>
              <w:lang w:val="fr-CA"/>
            </w:rPr>
            <w:t>Manuel des d</w:t>
          </w:r>
          <w:r w:rsidRPr="00D52543">
            <w:rPr>
              <w:rFonts w:ascii="Arial" w:hAnsi="Arial"/>
              <w:sz w:val="18"/>
              <w:lang w:val="fr-CA"/>
            </w:rPr>
            <w:t>irectives de travail normalisées</w:t>
          </w:r>
        </w:p>
        <w:p w:rsidR="004152CC" w:rsidRPr="00F76D2E" w:rsidRDefault="004152CC">
          <w:pPr>
            <w:pStyle w:val="Footer"/>
            <w:jc w:val="center"/>
            <w:rPr>
              <w:rFonts w:ascii="Arial" w:hAnsi="Arial"/>
              <w:sz w:val="18"/>
              <w:lang w:val="fr-CA"/>
            </w:rPr>
          </w:pPr>
        </w:p>
      </w:tc>
      <w:tc>
        <w:tcPr>
          <w:tcW w:w="1494" w:type="dxa"/>
        </w:tcPr>
        <w:p w:rsidR="004152CC" w:rsidRPr="00F76D2E" w:rsidRDefault="004152CC">
          <w:pPr>
            <w:pStyle w:val="Footer"/>
            <w:jc w:val="right"/>
            <w:rPr>
              <w:rFonts w:ascii="Arial" w:hAnsi="Arial"/>
              <w:sz w:val="18"/>
              <w:lang w:val="fr-CA"/>
            </w:rPr>
          </w:pPr>
        </w:p>
        <w:p w:rsidR="004152CC" w:rsidRPr="00F76D2E" w:rsidRDefault="004152CC">
          <w:pPr>
            <w:pStyle w:val="Footer"/>
            <w:jc w:val="right"/>
            <w:rPr>
              <w:rFonts w:ascii="Arial" w:hAnsi="Arial"/>
              <w:sz w:val="18"/>
              <w:lang w:val="fr-CA"/>
            </w:rPr>
          </w:pPr>
          <w:r w:rsidRPr="00F76D2E">
            <w:rPr>
              <w:rFonts w:ascii="Arial" w:hAnsi="Arial"/>
              <w:sz w:val="18"/>
              <w:lang w:val="fr-CA"/>
            </w:rPr>
            <w:t>AR.012</w:t>
          </w:r>
          <w:r w:rsidRPr="00F76D2E">
            <w:rPr>
              <w:rFonts w:ascii="Arial" w:hAnsi="Arial"/>
              <w:sz w:val="18"/>
              <w:lang w:val="fr-CA"/>
            </w:rPr>
            <w:br/>
          </w:r>
        </w:p>
        <w:p w:rsidR="004152CC" w:rsidRPr="00F76D2E" w:rsidRDefault="004152CC">
          <w:pPr>
            <w:pStyle w:val="Footer"/>
            <w:jc w:val="right"/>
            <w:rPr>
              <w:rFonts w:ascii="Arial" w:hAnsi="Arial"/>
              <w:sz w:val="18"/>
              <w:lang w:val="fr-CA"/>
            </w:rPr>
          </w:pPr>
          <w:r w:rsidRPr="00F76D2E">
            <w:rPr>
              <w:rFonts w:ascii="Arial" w:hAnsi="Arial"/>
              <w:snapToGrid w:val="0"/>
              <w:sz w:val="18"/>
              <w:lang w:val="fr-CA"/>
            </w:rPr>
            <w:t xml:space="preserve">Page </w:t>
          </w:r>
          <w:r w:rsidRPr="00F76D2E">
            <w:rPr>
              <w:rFonts w:ascii="Arial" w:hAnsi="Arial"/>
              <w:snapToGrid w:val="0"/>
              <w:sz w:val="18"/>
              <w:lang w:val="fr-CA"/>
            </w:rPr>
            <w:fldChar w:fldCharType="begin"/>
          </w:r>
          <w:r w:rsidRPr="00F76D2E">
            <w:rPr>
              <w:rFonts w:ascii="Arial" w:hAnsi="Arial"/>
              <w:snapToGrid w:val="0"/>
              <w:sz w:val="18"/>
              <w:lang w:val="fr-CA"/>
            </w:rPr>
            <w:instrText xml:space="preserve"> PAGE </w:instrText>
          </w:r>
          <w:r w:rsidRPr="00F76D2E">
            <w:rPr>
              <w:rFonts w:ascii="Arial" w:hAnsi="Arial"/>
              <w:snapToGrid w:val="0"/>
              <w:sz w:val="18"/>
              <w:lang w:val="fr-CA"/>
            </w:rPr>
            <w:fldChar w:fldCharType="separate"/>
          </w:r>
          <w:r w:rsidR="004C082D">
            <w:rPr>
              <w:rFonts w:ascii="Arial" w:hAnsi="Arial"/>
              <w:noProof/>
              <w:snapToGrid w:val="0"/>
              <w:sz w:val="18"/>
              <w:lang w:val="fr-CA"/>
            </w:rPr>
            <w:t>15</w:t>
          </w:r>
          <w:r w:rsidRPr="00F76D2E">
            <w:rPr>
              <w:rFonts w:ascii="Arial" w:hAnsi="Arial"/>
              <w:snapToGrid w:val="0"/>
              <w:sz w:val="18"/>
              <w:lang w:val="fr-CA"/>
            </w:rPr>
            <w:fldChar w:fldCharType="end"/>
          </w:r>
          <w:r w:rsidRPr="00F76D2E">
            <w:rPr>
              <w:rFonts w:ascii="Arial" w:hAnsi="Arial"/>
              <w:snapToGrid w:val="0"/>
              <w:sz w:val="18"/>
              <w:lang w:val="fr-CA"/>
            </w:rPr>
            <w:t xml:space="preserve"> de </w:t>
          </w:r>
          <w:r w:rsidRPr="00F76D2E">
            <w:rPr>
              <w:rFonts w:ascii="Arial" w:hAnsi="Arial"/>
              <w:snapToGrid w:val="0"/>
              <w:sz w:val="18"/>
              <w:lang w:val="fr-CA"/>
            </w:rPr>
            <w:fldChar w:fldCharType="begin"/>
          </w:r>
          <w:r w:rsidRPr="00F76D2E">
            <w:rPr>
              <w:rFonts w:ascii="Arial" w:hAnsi="Arial"/>
              <w:snapToGrid w:val="0"/>
              <w:sz w:val="18"/>
              <w:lang w:val="fr-CA"/>
            </w:rPr>
            <w:instrText xml:space="preserve"> NUMPAGES </w:instrText>
          </w:r>
          <w:r w:rsidRPr="00F76D2E">
            <w:rPr>
              <w:rFonts w:ascii="Arial" w:hAnsi="Arial"/>
              <w:snapToGrid w:val="0"/>
              <w:sz w:val="18"/>
              <w:lang w:val="fr-CA"/>
            </w:rPr>
            <w:fldChar w:fldCharType="separate"/>
          </w:r>
          <w:r w:rsidR="004C082D">
            <w:rPr>
              <w:rFonts w:ascii="Arial" w:hAnsi="Arial"/>
              <w:noProof/>
              <w:snapToGrid w:val="0"/>
              <w:sz w:val="18"/>
              <w:lang w:val="fr-CA"/>
            </w:rPr>
            <w:t>15</w:t>
          </w:r>
          <w:r w:rsidRPr="00F76D2E">
            <w:rPr>
              <w:rFonts w:ascii="Arial" w:hAnsi="Arial"/>
              <w:snapToGrid w:val="0"/>
              <w:sz w:val="18"/>
              <w:lang w:val="fr-CA"/>
            </w:rPr>
            <w:fldChar w:fldCharType="end"/>
          </w:r>
        </w:p>
      </w:tc>
    </w:tr>
  </w:tbl>
  <w:p w:rsidR="004152CC" w:rsidRDefault="00415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152CC">
      <w:trPr>
        <w:trHeight w:val="720"/>
      </w:trPr>
      <w:tc>
        <w:tcPr>
          <w:tcW w:w="1368" w:type="dxa"/>
        </w:tcPr>
        <w:p w:rsidR="004152CC" w:rsidRDefault="004152CC">
          <w:pPr>
            <w:pStyle w:val="Footer"/>
            <w:jc w:val="center"/>
            <w:rPr>
              <w:rFonts w:ascii="Verdana" w:hAnsi="Verdana"/>
              <w:sz w:val="8"/>
            </w:rPr>
          </w:pPr>
        </w:p>
        <w:p w:rsidR="00F71815" w:rsidRDefault="00EE6BD3">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F71815" w:rsidRDefault="00F71815" w:rsidP="00F71815">
          <w:pPr>
            <w:pStyle w:val="Footer"/>
            <w:jc w:val="center"/>
            <w:rPr>
              <w:rFonts w:ascii="Arial" w:hAnsi="Arial"/>
              <w:sz w:val="18"/>
            </w:rPr>
          </w:pPr>
        </w:p>
        <w:p w:rsidR="00F71815" w:rsidRPr="00D52543" w:rsidRDefault="00F71815" w:rsidP="00F71815">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F71815" w:rsidRDefault="00F71815" w:rsidP="00F71815">
          <w:pPr>
            <w:pStyle w:val="Footer"/>
            <w:jc w:val="center"/>
            <w:rPr>
              <w:rFonts w:ascii="Arial" w:hAnsi="Arial"/>
              <w:sz w:val="18"/>
              <w:lang w:val="fr-CA"/>
            </w:rPr>
          </w:pPr>
        </w:p>
        <w:p w:rsidR="00F71815" w:rsidRPr="00D52543" w:rsidRDefault="00F71815" w:rsidP="00F71815">
          <w:pPr>
            <w:pStyle w:val="Footer"/>
            <w:jc w:val="center"/>
            <w:rPr>
              <w:rFonts w:ascii="Arial" w:hAnsi="Arial"/>
              <w:sz w:val="18"/>
              <w:lang w:val="fr-CA"/>
            </w:rPr>
          </w:pPr>
          <w:r>
            <w:rPr>
              <w:rFonts w:ascii="Arial" w:hAnsi="Arial"/>
              <w:sz w:val="18"/>
              <w:lang w:val="fr-CA"/>
            </w:rPr>
            <w:t>Manuel des d</w:t>
          </w:r>
          <w:r w:rsidRPr="00D52543">
            <w:rPr>
              <w:rFonts w:ascii="Arial" w:hAnsi="Arial"/>
              <w:sz w:val="18"/>
              <w:lang w:val="fr-CA"/>
            </w:rPr>
            <w:t>irectives de travail normalisées</w:t>
          </w:r>
        </w:p>
        <w:p w:rsidR="004152CC" w:rsidRPr="009512CD" w:rsidRDefault="004152CC">
          <w:pPr>
            <w:pStyle w:val="Footer"/>
            <w:jc w:val="center"/>
            <w:rPr>
              <w:rFonts w:ascii="Arial" w:hAnsi="Arial"/>
              <w:sz w:val="18"/>
              <w:lang w:val="fr-FR"/>
            </w:rPr>
          </w:pPr>
        </w:p>
      </w:tc>
      <w:tc>
        <w:tcPr>
          <w:tcW w:w="1494" w:type="dxa"/>
        </w:tcPr>
        <w:p w:rsidR="004152CC" w:rsidRPr="009512CD" w:rsidRDefault="004152CC">
          <w:pPr>
            <w:pStyle w:val="Footer"/>
            <w:jc w:val="right"/>
            <w:rPr>
              <w:rFonts w:ascii="Arial" w:hAnsi="Arial"/>
              <w:sz w:val="18"/>
              <w:lang w:val="fr-FR"/>
            </w:rPr>
          </w:pPr>
        </w:p>
        <w:p w:rsidR="004152CC" w:rsidRDefault="004152CC">
          <w:pPr>
            <w:pStyle w:val="Footer"/>
            <w:jc w:val="right"/>
            <w:rPr>
              <w:rFonts w:ascii="Arial" w:hAnsi="Arial"/>
              <w:sz w:val="18"/>
            </w:rPr>
          </w:pPr>
          <w:r>
            <w:rPr>
              <w:rFonts w:ascii="Arial" w:hAnsi="Arial"/>
              <w:sz w:val="18"/>
            </w:rPr>
            <w:t>AR.012</w:t>
          </w:r>
          <w:r>
            <w:rPr>
              <w:rFonts w:ascii="Arial" w:hAnsi="Arial"/>
              <w:sz w:val="18"/>
            </w:rPr>
            <w:br/>
          </w:r>
        </w:p>
        <w:p w:rsidR="004152CC" w:rsidRDefault="004152CC">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C082D">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C082D">
            <w:rPr>
              <w:rFonts w:ascii="Arial" w:hAnsi="Arial"/>
              <w:noProof/>
              <w:snapToGrid w:val="0"/>
              <w:sz w:val="18"/>
            </w:rPr>
            <w:t>1</w:t>
          </w:r>
          <w:r>
            <w:rPr>
              <w:rFonts w:ascii="Arial" w:hAnsi="Arial"/>
              <w:snapToGrid w:val="0"/>
              <w:sz w:val="18"/>
            </w:rPr>
            <w:fldChar w:fldCharType="end"/>
          </w:r>
        </w:p>
      </w:tc>
    </w:tr>
  </w:tbl>
  <w:p w:rsidR="004152CC" w:rsidRDefault="00415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2E" w:rsidRDefault="008A1C2E">
      <w:r>
        <w:separator/>
      </w:r>
    </w:p>
  </w:footnote>
  <w:footnote w:type="continuationSeparator" w:id="0">
    <w:p w:rsidR="008A1C2E" w:rsidRDefault="008A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CC" w:rsidRDefault="004152CC">
    <w:pPr>
      <w:pStyle w:val="Header"/>
      <w:jc w:val="center"/>
      <w:rPr>
        <w:rFonts w:ascii="Arial" w:hAnsi="Arial"/>
        <w:b/>
        <w:sz w:val="28"/>
        <w:lang w:val="fr-CA"/>
      </w:rPr>
    </w:pPr>
    <w:r>
      <w:rPr>
        <w:rFonts w:ascii="Arial" w:hAnsi="Arial"/>
        <w:b/>
        <w:sz w:val="28"/>
        <w:lang w:val="fr-CA"/>
      </w:rPr>
      <w:t>Investigation des complications transfusionnelles</w:t>
    </w:r>
  </w:p>
  <w:p w:rsidR="004152CC" w:rsidRDefault="004152CC">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CC" w:rsidRDefault="004152CC">
    <w:pPr>
      <w:pStyle w:val="Header"/>
    </w:pPr>
  </w:p>
  <w:p w:rsidR="004152CC" w:rsidRDefault="004152CC">
    <w:pPr>
      <w:pStyle w:val="Header"/>
      <w:jc w:val="center"/>
      <w:rPr>
        <w:rFonts w:ascii="Arial" w:hAnsi="Arial" w:cs="Arial"/>
        <w:b/>
        <w:bCs/>
        <w:sz w:val="22"/>
        <w:lang w:val="fr-CA"/>
      </w:rPr>
    </w:pPr>
    <w:r>
      <w:rPr>
        <w:rFonts w:ascii="Arial" w:hAnsi="Arial" w:cs="Arial"/>
        <w:b/>
        <w:bCs/>
        <w:sz w:val="22"/>
        <w:lang w:val="fr-CA"/>
      </w:rPr>
      <w:t>PATHOLOGIE ET MÉDECINE DE LABORATOIRE</w:t>
    </w:r>
  </w:p>
  <w:p w:rsidR="004152CC" w:rsidRDefault="004152CC">
    <w:pPr>
      <w:pStyle w:val="Header"/>
      <w:jc w:val="center"/>
      <w:rPr>
        <w:rFonts w:ascii="Arial" w:hAnsi="Arial" w:cs="Arial"/>
        <w:b/>
        <w:bCs/>
        <w:sz w:val="22"/>
        <w:lang w:val="fr-CA"/>
      </w:rPr>
    </w:pPr>
    <w:r>
      <w:rPr>
        <w:rFonts w:ascii="Arial" w:hAnsi="Arial" w:cs="Arial"/>
        <w:b/>
        <w:bCs/>
        <w:sz w:val="22"/>
        <w:lang w:val="fr-CA"/>
      </w:rPr>
      <w:t>DIVISION DE LA MÉDECINE TRANSFUSIONNELLE</w:t>
    </w:r>
  </w:p>
  <w:p w:rsidR="004152CC" w:rsidRDefault="004152CC">
    <w:pPr>
      <w:pStyle w:val="Header"/>
      <w:jc w:val="center"/>
      <w:rPr>
        <w:rFonts w:ascii="Arial" w:hAnsi="Arial" w:cs="Arial"/>
        <w:b/>
        <w:bCs/>
        <w:sz w:val="22"/>
        <w:lang w:val="fr-CA"/>
      </w:rPr>
    </w:pPr>
    <w:r>
      <w:rPr>
        <w:rFonts w:ascii="Arial" w:hAnsi="Arial" w:cs="Arial"/>
        <w:b/>
        <w:bCs/>
        <w:sz w:val="22"/>
        <w:lang w:val="fr-CA"/>
      </w:rPr>
      <w:t>MANUEL DES DIRECTIVES DE TRAVAIL NORMALISÉES</w:t>
    </w:r>
  </w:p>
  <w:p w:rsidR="004152CC" w:rsidRDefault="004152CC">
    <w:pPr>
      <w:pStyle w:val="Header"/>
      <w:jc w:val="center"/>
      <w:rPr>
        <w:rFonts w:ascii="Arial" w:hAnsi="Arial"/>
        <w:b/>
        <w:sz w:val="28"/>
        <w:lang w:val="fr-CA"/>
      </w:rPr>
    </w:pPr>
  </w:p>
  <w:p w:rsidR="004152CC" w:rsidRDefault="004152CC">
    <w:pPr>
      <w:pStyle w:val="Header"/>
      <w:jc w:val="center"/>
      <w:rPr>
        <w:rFonts w:ascii="Arial" w:hAnsi="Arial"/>
        <w:b/>
        <w:sz w:val="28"/>
        <w:lang w:val="fr-CA"/>
      </w:rPr>
    </w:pPr>
    <w:r>
      <w:rPr>
        <w:rFonts w:ascii="Arial" w:hAnsi="Arial"/>
        <w:b/>
        <w:sz w:val="28"/>
        <w:lang w:val="fr-CA"/>
      </w:rPr>
      <w:t>Investigation des complications transfusionnelles</w:t>
    </w:r>
  </w:p>
  <w:p w:rsidR="004152CC" w:rsidRDefault="004152CC">
    <w:pPr>
      <w:pStyle w:val="Header"/>
      <w:jc w:val="center"/>
      <w:rPr>
        <w:rFonts w:ascii="Arial" w:hAnsi="Arial"/>
        <w:b/>
        <w:sz w:val="28"/>
        <w:lang w:val="fr-CA"/>
      </w:rPr>
    </w:pPr>
  </w:p>
  <w:p w:rsidR="004152CC" w:rsidRDefault="004152CC">
    <w:pPr>
      <w:pStyle w:val="Header"/>
      <w:jc w:val="center"/>
      <w:rPr>
        <w:rFonts w:ascii="Arial" w:hAnsi="Arial" w:cs="Arial"/>
        <w:b/>
        <w:bCs/>
        <w:lang w:val="fr-CA"/>
      </w:rPr>
    </w:pPr>
    <w:r>
      <w:rPr>
        <w:rFonts w:ascii="Arial" w:hAnsi="Arial" w:cs="Arial"/>
        <w:b/>
        <w:bCs/>
        <w:lang w:val="fr-CA"/>
      </w:rPr>
      <w:tab/>
    </w:r>
    <w:r w:rsidR="00EE6BD3">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B34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I9kDYx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4"/>
      <w:gridCol w:w="4316"/>
    </w:tblGrid>
    <w:tr w:rsidR="00F71815">
      <w:tc>
        <w:tcPr>
          <w:tcW w:w="4428" w:type="dxa"/>
        </w:tcPr>
        <w:p w:rsidR="00F71815" w:rsidRDefault="0079634C" w:rsidP="0011778F">
          <w:pPr>
            <w:pStyle w:val="Header"/>
            <w:rPr>
              <w:rFonts w:ascii="Arial" w:hAnsi="Arial" w:cs="Arial"/>
              <w:color w:val="000000"/>
              <w:lang w:val="fr-CA"/>
            </w:rPr>
          </w:pPr>
          <w:r>
            <w:rPr>
              <w:rFonts w:ascii="Arial" w:hAnsi="Arial" w:cs="Arial"/>
              <w:lang w:val="fr-CA"/>
            </w:rPr>
            <w:t>Approbation </w:t>
          </w:r>
          <w:r w:rsidR="00F71815">
            <w:rPr>
              <w:rFonts w:ascii="Arial" w:hAnsi="Arial" w:cs="Arial"/>
              <w:lang w:val="fr-CA"/>
            </w:rPr>
            <w:t>: D</w:t>
          </w:r>
          <w:r w:rsidR="00F71815" w:rsidRPr="00DB21A4">
            <w:rPr>
              <w:rFonts w:ascii="Arial" w:hAnsi="Arial" w:cs="Arial"/>
              <w:vertAlign w:val="superscript"/>
              <w:lang w:val="fr-CA"/>
            </w:rPr>
            <w:t xml:space="preserve">r </w:t>
          </w:r>
          <w:r w:rsidR="00F71815">
            <w:rPr>
              <w:rFonts w:ascii="Arial" w:hAnsi="Arial" w:cs="Arial"/>
              <w:lang w:val="fr-CA"/>
            </w:rPr>
            <w:t>Antonio Giulivi</w:t>
          </w:r>
        </w:p>
      </w:tc>
      <w:tc>
        <w:tcPr>
          <w:tcW w:w="4428" w:type="dxa"/>
        </w:tcPr>
        <w:p w:rsidR="00F71815" w:rsidRDefault="00F71815">
          <w:pPr>
            <w:pStyle w:val="Header"/>
            <w:rPr>
              <w:rFonts w:ascii="Arial" w:hAnsi="Arial" w:cs="Arial"/>
              <w:lang w:val="fr-CA"/>
            </w:rPr>
          </w:pPr>
          <w:r>
            <w:rPr>
              <w:rFonts w:ascii="Arial" w:hAnsi="Arial" w:cs="Arial"/>
              <w:lang w:val="fr-CA"/>
            </w:rPr>
            <w:t>Document n</w:t>
          </w:r>
          <w:r>
            <w:rPr>
              <w:rFonts w:ascii="Arial" w:hAnsi="Arial" w:cs="Arial"/>
              <w:vertAlign w:val="superscript"/>
              <w:lang w:val="fr-CA"/>
            </w:rPr>
            <w:t>o</w:t>
          </w:r>
          <w:r>
            <w:rPr>
              <w:rFonts w:ascii="Arial" w:hAnsi="Arial" w:cs="Arial"/>
              <w:lang w:val="fr-CA"/>
            </w:rPr>
            <w:t xml:space="preserve"> : AR.012</w:t>
          </w:r>
        </w:p>
      </w:tc>
    </w:tr>
    <w:tr w:rsidR="00F71815">
      <w:tc>
        <w:tcPr>
          <w:tcW w:w="4428" w:type="dxa"/>
        </w:tcPr>
        <w:p w:rsidR="00F71815" w:rsidRDefault="00F71815">
          <w:pPr>
            <w:pStyle w:val="Header"/>
            <w:rPr>
              <w:rFonts w:ascii="Arial" w:hAnsi="Arial" w:cs="Arial"/>
              <w:lang w:val="fr-CA"/>
            </w:rPr>
          </w:pPr>
          <w:r>
            <w:rPr>
              <w:rFonts w:ascii="Arial" w:hAnsi="Arial" w:cs="Arial"/>
              <w:lang w:val="fr-CA"/>
            </w:rPr>
            <w:t xml:space="preserve">Date de </w:t>
          </w:r>
          <w:r w:rsidR="0079634C">
            <w:rPr>
              <w:rFonts w:ascii="Arial" w:hAnsi="Arial" w:cs="Arial"/>
              <w:lang w:val="fr-CA"/>
            </w:rPr>
            <w:t>publication </w:t>
          </w:r>
          <w:r>
            <w:rPr>
              <w:rFonts w:ascii="Arial" w:hAnsi="Arial" w:cs="Arial"/>
              <w:lang w:val="fr-CA"/>
            </w:rPr>
            <w:t>: 2006/08/01</w:t>
          </w:r>
        </w:p>
      </w:tc>
      <w:tc>
        <w:tcPr>
          <w:tcW w:w="4428" w:type="dxa"/>
        </w:tcPr>
        <w:p w:rsidR="00F71815" w:rsidRDefault="0079634C">
          <w:pPr>
            <w:pStyle w:val="Header"/>
            <w:rPr>
              <w:rFonts w:ascii="Arial" w:hAnsi="Arial" w:cs="Arial"/>
              <w:lang w:val="fr-CA"/>
            </w:rPr>
          </w:pPr>
          <w:r>
            <w:rPr>
              <w:rFonts w:ascii="Arial" w:hAnsi="Arial" w:cs="Arial"/>
              <w:lang w:val="fr-CA"/>
            </w:rPr>
            <w:t>Catégorie </w:t>
          </w:r>
          <w:r w:rsidR="00F71815">
            <w:rPr>
              <w:rFonts w:ascii="Arial" w:hAnsi="Arial" w:cs="Arial"/>
              <w:lang w:val="fr-CA"/>
            </w:rPr>
            <w:t>: Analyses de routine</w:t>
          </w:r>
        </w:p>
      </w:tc>
    </w:tr>
    <w:tr w:rsidR="00F71815">
      <w:tc>
        <w:tcPr>
          <w:tcW w:w="4428" w:type="dxa"/>
        </w:tcPr>
        <w:p w:rsidR="00F71815" w:rsidRDefault="00F71815" w:rsidP="0011778F">
          <w:pPr>
            <w:pStyle w:val="Header"/>
            <w:rPr>
              <w:rFonts w:ascii="Arial" w:hAnsi="Arial" w:cs="Arial"/>
              <w:lang w:val="fr-CA"/>
            </w:rPr>
          </w:pPr>
          <w:r>
            <w:rPr>
              <w:rFonts w:ascii="Arial" w:hAnsi="Arial" w:cs="Arial"/>
              <w:lang w:val="fr-CA"/>
            </w:rPr>
            <w:t xml:space="preserve">Date de </w:t>
          </w:r>
          <w:r w:rsidR="0079634C">
            <w:rPr>
              <w:rFonts w:ascii="Arial" w:hAnsi="Arial" w:cs="Arial"/>
              <w:lang w:val="fr-CA"/>
            </w:rPr>
            <w:t>révision </w:t>
          </w:r>
          <w:r>
            <w:rPr>
              <w:rFonts w:ascii="Arial" w:hAnsi="Arial" w:cs="Arial"/>
              <w:lang w:val="fr-CA"/>
            </w:rPr>
            <w:t>: 2009/12/31</w:t>
          </w:r>
        </w:p>
      </w:tc>
      <w:tc>
        <w:tcPr>
          <w:tcW w:w="4428" w:type="dxa"/>
        </w:tcPr>
        <w:p w:rsidR="00F71815" w:rsidRDefault="0079634C">
          <w:pPr>
            <w:pStyle w:val="Header"/>
            <w:rPr>
              <w:rFonts w:ascii="Arial" w:hAnsi="Arial" w:cs="Arial"/>
              <w:lang w:val="fr-CA"/>
            </w:rPr>
          </w:pPr>
          <w:r>
            <w:rPr>
              <w:rFonts w:ascii="Arial" w:hAnsi="Arial" w:cs="Arial"/>
              <w:lang w:val="fr-CA"/>
            </w:rPr>
            <w:t>Pages </w:t>
          </w:r>
          <w:r w:rsidR="00F71815">
            <w:rPr>
              <w:rFonts w:ascii="Arial" w:hAnsi="Arial" w:cs="Arial"/>
              <w:lang w:val="fr-CA"/>
            </w:rPr>
            <w:t>:</w:t>
          </w:r>
          <w:r w:rsidR="00F71815">
            <w:rPr>
              <w:rFonts w:ascii="Arial" w:hAnsi="Arial" w:cs="Arial"/>
              <w:lang w:val="fr-CA"/>
            </w:rPr>
            <w:fldChar w:fldCharType="begin"/>
          </w:r>
          <w:r w:rsidR="00F71815">
            <w:rPr>
              <w:rFonts w:ascii="Arial" w:hAnsi="Arial" w:cs="Arial"/>
              <w:lang w:val="fr-CA"/>
            </w:rPr>
            <w:instrText xml:space="preserve"> NUMPAGES </w:instrText>
          </w:r>
          <w:r w:rsidR="00F71815">
            <w:rPr>
              <w:rFonts w:ascii="Arial" w:hAnsi="Arial" w:cs="Arial"/>
              <w:lang w:val="fr-CA"/>
            </w:rPr>
            <w:fldChar w:fldCharType="separate"/>
          </w:r>
          <w:r w:rsidR="004C082D">
            <w:rPr>
              <w:rFonts w:ascii="Arial" w:hAnsi="Arial" w:cs="Arial"/>
              <w:noProof/>
              <w:lang w:val="fr-CA"/>
            </w:rPr>
            <w:t>1</w:t>
          </w:r>
          <w:r w:rsidR="00F71815">
            <w:rPr>
              <w:rFonts w:ascii="Arial" w:hAnsi="Arial" w:cs="Arial"/>
              <w:lang w:val="fr-CA"/>
            </w:rPr>
            <w:fldChar w:fldCharType="end"/>
          </w:r>
        </w:p>
      </w:tc>
    </w:tr>
  </w:tbl>
  <w:p w:rsidR="004152CC" w:rsidRDefault="00EE6BD3">
    <w:pPr>
      <w:pStyle w:val="Header"/>
      <w:tabs>
        <w:tab w:val="clear" w:pos="8640"/>
        <w:tab w:val="left" w:pos="4714"/>
      </w:tabs>
      <w:rPr>
        <w:lang w:val="fr-CA"/>
      </w:rPr>
    </w:pPr>
    <w:r>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164C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DSfYWN&#10;EgIAACgEAAAOAAAAAAAAAAAAAAAAAC4CAABkcnMvZTJvRG9jLnhtbFBLAQItABQABgAIAAAAIQAf&#10;PZp03AAAAAgBAAAPAAAAAAAAAAAAAAAAAGwEAABkcnMvZG93bnJldi54bWxQSwUGAAAAAAQABADz&#10;AAAAdQUAAAAA&#10;"/>
          </w:pict>
        </mc:Fallback>
      </mc:AlternateContent>
    </w:r>
    <w:r w:rsidR="004152CC">
      <w:rPr>
        <w:rFonts w:ascii="Arial" w:hAnsi="Arial" w:cs="Arial"/>
        <w:lang w:val="fr-CA"/>
      </w:rPr>
      <w:tab/>
    </w:r>
    <w:r w:rsidR="004152CC">
      <w:rPr>
        <w:rFonts w:ascii="Arial" w:hAnsi="Arial" w:cs="Arial"/>
        <w:lang w:val="fr-CA"/>
      </w:rPr>
      <w:tab/>
    </w:r>
  </w:p>
  <w:p w:rsidR="004152CC" w:rsidRDefault="004152CC">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A48B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50F24"/>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94311D"/>
    <w:multiLevelType w:val="multilevel"/>
    <w:tmpl w:val="B7B677B4"/>
    <w:lvl w:ilvl="0">
      <w:start w:val="1"/>
      <w:numFmt w:val="decimal"/>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9123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EE61D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45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0E5B0D"/>
    <w:multiLevelType w:val="singleLevel"/>
    <w:tmpl w:val="7D1066DA"/>
    <w:lvl w:ilvl="0">
      <w:start w:val="2"/>
      <w:numFmt w:val="upperLetter"/>
      <w:lvlText w:val="%1)"/>
      <w:lvlJc w:val="left"/>
      <w:pPr>
        <w:tabs>
          <w:tab w:val="num" w:pos="2880"/>
        </w:tabs>
        <w:ind w:left="2880" w:hanging="720"/>
      </w:pPr>
      <w:rPr>
        <w:rFonts w:hint="default"/>
      </w:rPr>
    </w:lvl>
  </w:abstractNum>
  <w:abstractNum w:abstractNumId="7" w15:restartNumberingAfterBreak="0">
    <w:nsid w:val="15D94F45"/>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0C74DC"/>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533D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A1C1EB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AF316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3C8B6D5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082C5E"/>
    <w:multiLevelType w:val="singleLevel"/>
    <w:tmpl w:val="3AB80820"/>
    <w:lvl w:ilvl="0">
      <w:start w:val="2"/>
      <w:numFmt w:val="lowerLetter"/>
      <w:lvlText w:val="%1)"/>
      <w:lvlJc w:val="left"/>
      <w:pPr>
        <w:tabs>
          <w:tab w:val="num" w:pos="1800"/>
        </w:tabs>
        <w:ind w:left="1800" w:hanging="360"/>
      </w:pPr>
      <w:rPr>
        <w:rFonts w:ascii="Arial" w:hAnsi="Arial" w:hint="default"/>
      </w:rPr>
    </w:lvl>
  </w:abstractNum>
  <w:abstractNum w:abstractNumId="15" w15:restartNumberingAfterBreak="0">
    <w:nsid w:val="45772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66EE9"/>
    <w:multiLevelType w:val="singleLevel"/>
    <w:tmpl w:val="D776632A"/>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3F70468"/>
    <w:multiLevelType w:val="hybridMultilevel"/>
    <w:tmpl w:val="820C679E"/>
    <w:lvl w:ilvl="0" w:tplc="0C0C0001">
      <w:start w:val="1"/>
      <w:numFmt w:val="bullet"/>
      <w:lvlText w:val=""/>
      <w:lvlJc w:val="left"/>
      <w:pPr>
        <w:tabs>
          <w:tab w:val="num" w:pos="4320"/>
        </w:tabs>
        <w:ind w:left="4320" w:hanging="360"/>
      </w:pPr>
      <w:rPr>
        <w:rFonts w:ascii="Symbol" w:hAnsi="Symbol" w:hint="default"/>
      </w:rPr>
    </w:lvl>
    <w:lvl w:ilvl="1" w:tplc="0C0C0003" w:tentative="1">
      <w:start w:val="1"/>
      <w:numFmt w:val="bullet"/>
      <w:lvlText w:val="o"/>
      <w:lvlJc w:val="left"/>
      <w:pPr>
        <w:tabs>
          <w:tab w:val="num" w:pos="5040"/>
        </w:tabs>
        <w:ind w:left="5040" w:hanging="360"/>
      </w:pPr>
      <w:rPr>
        <w:rFonts w:ascii="Courier New" w:hAnsi="Courier New" w:cs="Courier New" w:hint="default"/>
      </w:rPr>
    </w:lvl>
    <w:lvl w:ilvl="2" w:tplc="0C0C0005" w:tentative="1">
      <w:start w:val="1"/>
      <w:numFmt w:val="bullet"/>
      <w:lvlText w:val=""/>
      <w:lvlJc w:val="left"/>
      <w:pPr>
        <w:tabs>
          <w:tab w:val="num" w:pos="5760"/>
        </w:tabs>
        <w:ind w:left="5760" w:hanging="360"/>
      </w:pPr>
      <w:rPr>
        <w:rFonts w:ascii="Wingdings" w:hAnsi="Wingdings" w:hint="default"/>
      </w:rPr>
    </w:lvl>
    <w:lvl w:ilvl="3" w:tplc="0C0C0001" w:tentative="1">
      <w:start w:val="1"/>
      <w:numFmt w:val="bullet"/>
      <w:lvlText w:val=""/>
      <w:lvlJc w:val="left"/>
      <w:pPr>
        <w:tabs>
          <w:tab w:val="num" w:pos="6480"/>
        </w:tabs>
        <w:ind w:left="6480" w:hanging="360"/>
      </w:pPr>
      <w:rPr>
        <w:rFonts w:ascii="Symbol" w:hAnsi="Symbol" w:hint="default"/>
      </w:rPr>
    </w:lvl>
    <w:lvl w:ilvl="4" w:tplc="0C0C0003" w:tentative="1">
      <w:start w:val="1"/>
      <w:numFmt w:val="bullet"/>
      <w:lvlText w:val="o"/>
      <w:lvlJc w:val="left"/>
      <w:pPr>
        <w:tabs>
          <w:tab w:val="num" w:pos="7200"/>
        </w:tabs>
        <w:ind w:left="7200" w:hanging="360"/>
      </w:pPr>
      <w:rPr>
        <w:rFonts w:ascii="Courier New" w:hAnsi="Courier New" w:cs="Courier New" w:hint="default"/>
      </w:rPr>
    </w:lvl>
    <w:lvl w:ilvl="5" w:tplc="0C0C0005" w:tentative="1">
      <w:start w:val="1"/>
      <w:numFmt w:val="bullet"/>
      <w:lvlText w:val=""/>
      <w:lvlJc w:val="left"/>
      <w:pPr>
        <w:tabs>
          <w:tab w:val="num" w:pos="7920"/>
        </w:tabs>
        <w:ind w:left="7920" w:hanging="360"/>
      </w:pPr>
      <w:rPr>
        <w:rFonts w:ascii="Wingdings" w:hAnsi="Wingdings" w:hint="default"/>
      </w:rPr>
    </w:lvl>
    <w:lvl w:ilvl="6" w:tplc="0C0C0001" w:tentative="1">
      <w:start w:val="1"/>
      <w:numFmt w:val="bullet"/>
      <w:lvlText w:val=""/>
      <w:lvlJc w:val="left"/>
      <w:pPr>
        <w:tabs>
          <w:tab w:val="num" w:pos="8640"/>
        </w:tabs>
        <w:ind w:left="8640" w:hanging="360"/>
      </w:pPr>
      <w:rPr>
        <w:rFonts w:ascii="Symbol" w:hAnsi="Symbol" w:hint="default"/>
      </w:rPr>
    </w:lvl>
    <w:lvl w:ilvl="7" w:tplc="0C0C0003" w:tentative="1">
      <w:start w:val="1"/>
      <w:numFmt w:val="bullet"/>
      <w:lvlText w:val="o"/>
      <w:lvlJc w:val="left"/>
      <w:pPr>
        <w:tabs>
          <w:tab w:val="num" w:pos="9360"/>
        </w:tabs>
        <w:ind w:left="9360" w:hanging="360"/>
      </w:pPr>
      <w:rPr>
        <w:rFonts w:ascii="Courier New" w:hAnsi="Courier New" w:cs="Courier New" w:hint="default"/>
      </w:rPr>
    </w:lvl>
    <w:lvl w:ilvl="8" w:tplc="0C0C0005" w:tentative="1">
      <w:start w:val="1"/>
      <w:numFmt w:val="bullet"/>
      <w:lvlText w:val=""/>
      <w:lvlJc w:val="left"/>
      <w:pPr>
        <w:tabs>
          <w:tab w:val="num" w:pos="10080"/>
        </w:tabs>
        <w:ind w:left="10080" w:hanging="360"/>
      </w:pPr>
      <w:rPr>
        <w:rFonts w:ascii="Wingdings" w:hAnsi="Wingdings" w:hint="default"/>
      </w:rPr>
    </w:lvl>
  </w:abstractNum>
  <w:abstractNum w:abstractNumId="18" w15:restartNumberingAfterBreak="0">
    <w:nsid w:val="559F707B"/>
    <w:multiLevelType w:val="hybridMultilevel"/>
    <w:tmpl w:val="BCF0D634"/>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9" w15:restartNumberingAfterBreak="0">
    <w:nsid w:val="5C823CF6"/>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10103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723A7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AB03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B7710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6"/>
  </w:num>
  <w:num w:numId="3">
    <w:abstractNumId w:val="11"/>
  </w:num>
  <w:num w:numId="4">
    <w:abstractNumId w:val="6"/>
  </w:num>
  <w:num w:numId="5">
    <w:abstractNumId w:val="14"/>
  </w:num>
  <w:num w:numId="6">
    <w:abstractNumId w:val="13"/>
  </w:num>
  <w:num w:numId="7">
    <w:abstractNumId w:val="1"/>
  </w:num>
  <w:num w:numId="8">
    <w:abstractNumId w:val="7"/>
  </w:num>
  <w:num w:numId="9">
    <w:abstractNumId w:val="19"/>
  </w:num>
  <w:num w:numId="10">
    <w:abstractNumId w:val="12"/>
  </w:num>
  <w:num w:numId="11">
    <w:abstractNumId w:val="5"/>
  </w:num>
  <w:num w:numId="12">
    <w:abstractNumId w:val="3"/>
  </w:num>
  <w:num w:numId="13">
    <w:abstractNumId w:val="22"/>
  </w:num>
  <w:num w:numId="14">
    <w:abstractNumId w:val="4"/>
  </w:num>
  <w:num w:numId="15">
    <w:abstractNumId w:val="23"/>
  </w:num>
  <w:num w:numId="16">
    <w:abstractNumId w:val="20"/>
  </w:num>
  <w:num w:numId="17">
    <w:abstractNumId w:val="9"/>
  </w:num>
  <w:num w:numId="18">
    <w:abstractNumId w:val="8"/>
  </w:num>
  <w:num w:numId="19">
    <w:abstractNumId w:val="21"/>
  </w:num>
  <w:num w:numId="20">
    <w:abstractNumId w:val="10"/>
  </w:num>
  <w:num w:numId="21">
    <w:abstractNumId w:val="15"/>
  </w:num>
  <w:num w:numId="22">
    <w:abstractNumId w:val="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6B"/>
    <w:rsid w:val="00035A51"/>
    <w:rsid w:val="00046742"/>
    <w:rsid w:val="0010402C"/>
    <w:rsid w:val="0011778F"/>
    <w:rsid w:val="001D7F38"/>
    <w:rsid w:val="001E4822"/>
    <w:rsid w:val="001F4098"/>
    <w:rsid w:val="002172EC"/>
    <w:rsid w:val="0023042A"/>
    <w:rsid w:val="0028004D"/>
    <w:rsid w:val="002950C4"/>
    <w:rsid w:val="002B77B7"/>
    <w:rsid w:val="002C11E3"/>
    <w:rsid w:val="00315F7D"/>
    <w:rsid w:val="0036061A"/>
    <w:rsid w:val="003718F3"/>
    <w:rsid w:val="0037302B"/>
    <w:rsid w:val="003A226B"/>
    <w:rsid w:val="003B5F67"/>
    <w:rsid w:val="003F23F2"/>
    <w:rsid w:val="00400A9C"/>
    <w:rsid w:val="004152CC"/>
    <w:rsid w:val="00465BC4"/>
    <w:rsid w:val="00474DE5"/>
    <w:rsid w:val="0049531C"/>
    <w:rsid w:val="004C082D"/>
    <w:rsid w:val="004D20AF"/>
    <w:rsid w:val="004E03BE"/>
    <w:rsid w:val="00525E32"/>
    <w:rsid w:val="005A53D5"/>
    <w:rsid w:val="005B3249"/>
    <w:rsid w:val="005D2781"/>
    <w:rsid w:val="005F56B9"/>
    <w:rsid w:val="00644568"/>
    <w:rsid w:val="0065780B"/>
    <w:rsid w:val="006800C3"/>
    <w:rsid w:val="00743C58"/>
    <w:rsid w:val="0078190F"/>
    <w:rsid w:val="00793235"/>
    <w:rsid w:val="0079634C"/>
    <w:rsid w:val="00837A0F"/>
    <w:rsid w:val="008561D1"/>
    <w:rsid w:val="008653E2"/>
    <w:rsid w:val="00865B2A"/>
    <w:rsid w:val="008846B9"/>
    <w:rsid w:val="008A1126"/>
    <w:rsid w:val="008A1C2E"/>
    <w:rsid w:val="008D6EC7"/>
    <w:rsid w:val="008F1BCB"/>
    <w:rsid w:val="00926802"/>
    <w:rsid w:val="0093563E"/>
    <w:rsid w:val="009512CD"/>
    <w:rsid w:val="00984895"/>
    <w:rsid w:val="009E2294"/>
    <w:rsid w:val="009F54E0"/>
    <w:rsid w:val="00AB2039"/>
    <w:rsid w:val="00B1206E"/>
    <w:rsid w:val="00B86850"/>
    <w:rsid w:val="00BC7A32"/>
    <w:rsid w:val="00C55C10"/>
    <w:rsid w:val="00C74999"/>
    <w:rsid w:val="00C934BA"/>
    <w:rsid w:val="00CD137F"/>
    <w:rsid w:val="00D42BBA"/>
    <w:rsid w:val="00DC0166"/>
    <w:rsid w:val="00DC53E5"/>
    <w:rsid w:val="00DE05DE"/>
    <w:rsid w:val="00E16E5E"/>
    <w:rsid w:val="00EA438E"/>
    <w:rsid w:val="00EE6BD3"/>
    <w:rsid w:val="00EF7A8B"/>
    <w:rsid w:val="00F71815"/>
    <w:rsid w:val="00F76D2E"/>
    <w:rsid w:val="00FC4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89C1D1A6-AE63-44DA-8C50-3C30CB8D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rFonts w:ascii="Arial" w:hAnsi="Arial"/>
      <w:sz w:val="24"/>
    </w:rPr>
  </w:style>
  <w:style w:type="paragraph" w:styleId="Heading2">
    <w:name w:val="heading 2"/>
    <w:basedOn w:val="Normal"/>
    <w:next w:val="Normal"/>
    <w:qFormat/>
    <w:pPr>
      <w:keepNext/>
      <w:numPr>
        <w:ilvl w:val="1"/>
        <w:numId w:val="1"/>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paragraph" w:styleId="Heading4">
    <w:name w:val="heading 4"/>
    <w:basedOn w:val="Normal"/>
    <w:next w:val="Normal"/>
    <w:qFormat/>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1"/>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1"/>
      </w:numPr>
      <w:spacing w:after="240"/>
      <w:outlineLvl w:val="5"/>
    </w:pPr>
    <w:rPr>
      <w:rFonts w:ascii="Verdana" w:hAnsi="Verdana"/>
      <w:b/>
      <w:snapToGrid w:val="0"/>
      <w:kern w:val="24"/>
      <w:sz w:val="24"/>
    </w:rPr>
  </w:style>
  <w:style w:type="paragraph" w:styleId="Heading7">
    <w:name w:val="heading 7"/>
    <w:basedOn w:val="Normal"/>
    <w:next w:val="Normal"/>
    <w:qFormat/>
    <w:pPr>
      <w:keepNext/>
      <w:outlineLvl w:val="6"/>
    </w:pPr>
    <w:rPr>
      <w:rFonts w:ascii="Verdana" w:hAnsi="Verdana"/>
      <w:b/>
      <w:kern w:val="24"/>
      <w:sz w:val="28"/>
    </w:rPr>
  </w:style>
  <w:style w:type="paragraph" w:styleId="Heading8">
    <w:name w:val="heading 8"/>
    <w:basedOn w:val="Normal"/>
    <w:next w:val="Normal"/>
    <w:qFormat/>
    <w:pPr>
      <w:keepNext/>
      <w:jc w:val="center"/>
      <w:outlineLvl w:val="7"/>
    </w:pPr>
    <w:rPr>
      <w:rFonts w:ascii="Verdana" w:hAnsi="Verdana"/>
      <w:b/>
      <w:kern w:val="24"/>
      <w:sz w:val="24"/>
    </w:rPr>
  </w:style>
  <w:style w:type="paragraph" w:styleId="Heading9">
    <w:name w:val="heading 9"/>
    <w:basedOn w:val="Normal"/>
    <w:next w:val="Normal"/>
    <w:qFormat/>
    <w:pPr>
      <w:keepNext/>
      <w:jc w:val="center"/>
      <w:outlineLvl w:val="8"/>
    </w:pPr>
    <w:rPr>
      <w:rFonts w:ascii="Verdana" w:hAnsi="Verdana"/>
      <w:b/>
      <w:kern w:val="2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Arial" w:hAnsi="Arial"/>
      <w:sz w:val="24"/>
    </w:rPr>
  </w:style>
  <w:style w:type="paragraph" w:styleId="BodyText">
    <w:name w:val="Body Text"/>
    <w:basedOn w:val="Normal"/>
    <w:rPr>
      <w:rFonts w:ascii="Arial" w:hAnsi="Arial"/>
      <w:b/>
      <w:sz w:val="24"/>
    </w:rPr>
  </w:style>
  <w:style w:type="character" w:styleId="PageNumber">
    <w:name w:val="page number"/>
    <w:basedOn w:val="DefaultParagraphFont"/>
  </w:style>
  <w:style w:type="paragraph" w:customStyle="1" w:styleId="bbpsubtitle">
    <w:name w:val="bbpsubtitle"/>
    <w:basedOn w:val="Normal"/>
    <w:pPr>
      <w:spacing w:before="100" w:beforeAutospacing="1" w:after="100" w:afterAutospacing="1"/>
    </w:pPr>
    <w:rPr>
      <w:rFonts w:ascii="Arial" w:eastAsia="Arial Unicode MS" w:hAnsi="Arial" w:cs="Arial"/>
      <w:b/>
      <w:bCs/>
      <w:color w:val="333399"/>
      <w:sz w:val="18"/>
      <w:szCs w:val="18"/>
      <w:lang w:val="fr-CA" w:eastAsia="fr-FR"/>
    </w:rPr>
  </w:style>
  <w:style w:type="paragraph" w:styleId="BodyTextIndent2">
    <w:name w:val="Body Text Indent 2"/>
    <w:basedOn w:val="Normal"/>
    <w:pPr>
      <w:ind w:left="1440"/>
    </w:pPr>
    <w:rPr>
      <w:rFonts w:ascii="Arial" w:hAnsi="Arial"/>
      <w:sz w:val="24"/>
      <w:lang w:val="fr-CA"/>
    </w:rPr>
  </w:style>
  <w:style w:type="paragraph" w:styleId="ListBullet">
    <w:name w:val="List Bullet"/>
    <w:basedOn w:val="Normal"/>
    <w:autoRedefine/>
    <w:pPr>
      <w:numPr>
        <w:numId w:val="22"/>
      </w:numPr>
    </w:pPr>
  </w:style>
  <w:style w:type="paragraph" w:styleId="BodyTextIndent3">
    <w:name w:val="Body Text Indent 3"/>
    <w:basedOn w:val="Normal"/>
    <w:pPr>
      <w:ind w:left="3600"/>
    </w:pPr>
    <w:rPr>
      <w:rFonts w:ascii="Arial" w:hAnsi="Arial"/>
      <w:sz w:val="24"/>
      <w:lang w:val="fr-CA"/>
    </w:rPr>
  </w:style>
  <w:style w:type="paragraph" w:customStyle="1" w:styleId="Default">
    <w:name w:val="Default"/>
    <w:rsid w:val="0049531C"/>
    <w:pPr>
      <w:autoSpaceDE w:val="0"/>
      <w:autoSpaceDN w:val="0"/>
      <w:adjustRightInd w:val="0"/>
    </w:pPr>
    <w:rPr>
      <w:rFonts w:ascii="TimesNewRoman,Bold" w:hAnsi="TimesNewRoman,Bold"/>
      <w:lang w:val="fr-FR" w:eastAsia="fr-FR"/>
    </w:rPr>
  </w:style>
  <w:style w:type="paragraph" w:customStyle="1" w:styleId="Heading71">
    <w:name w:val="Heading 71"/>
    <w:basedOn w:val="Default"/>
    <w:next w:val="Default"/>
    <w:rsid w:val="0049531C"/>
    <w:rPr>
      <w:szCs w:val="24"/>
    </w:rPr>
  </w:style>
  <w:style w:type="paragraph" w:customStyle="1" w:styleId="Heading91">
    <w:name w:val="Heading 91"/>
    <w:basedOn w:val="Default"/>
    <w:next w:val="Default"/>
    <w:rsid w:val="0049531C"/>
    <w:rPr>
      <w:szCs w:val="24"/>
    </w:rPr>
  </w:style>
  <w:style w:type="paragraph" w:customStyle="1" w:styleId="Heading81">
    <w:name w:val="Heading 81"/>
    <w:basedOn w:val="Normal"/>
    <w:next w:val="Normal"/>
    <w:rsid w:val="002B77B7"/>
    <w:pPr>
      <w:autoSpaceDE w:val="0"/>
      <w:autoSpaceDN w:val="0"/>
      <w:adjustRightInd w:val="0"/>
    </w:pPr>
    <w:rPr>
      <w:rFonts w:ascii="TimesNewRoman,Bold" w:hAnsi="TimesNewRoman,Bold"/>
      <w:szCs w:val="24"/>
      <w:lang w:val="fr-FR" w:eastAsia="fr-FR"/>
    </w:rPr>
  </w:style>
  <w:style w:type="paragraph" w:customStyle="1" w:styleId="Header1">
    <w:name w:val="Header1"/>
    <w:basedOn w:val="Default"/>
    <w:next w:val="Default"/>
    <w:rsid w:val="002B77B7"/>
    <w:rPr>
      <w:szCs w:val="24"/>
    </w:rPr>
  </w:style>
  <w:style w:type="paragraph" w:styleId="BalloonText">
    <w:name w:val="Balloon Text"/>
    <w:basedOn w:val="Normal"/>
    <w:semiHidden/>
    <w:rsid w:val="0037302B"/>
    <w:rPr>
      <w:rFonts w:ascii="Tahoma" w:hAnsi="Tahoma" w:cs="Tahoma"/>
      <w:sz w:val="16"/>
      <w:szCs w:val="16"/>
    </w:rPr>
  </w:style>
  <w:style w:type="paragraph" w:customStyle="1" w:styleId="Paragraphedeliste">
    <w:name w:val="Paragraphe de liste"/>
    <w:basedOn w:val="Normal"/>
    <w:uiPriority w:val="34"/>
    <w:qFormat/>
    <w:rsid w:val="00AB20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3819</Words>
  <Characters>21770</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RT.012 Investigation of Transfusion Complications</vt:lpstr>
      <vt:lpstr>Échantillon pré-transfusionnel </vt:lpstr>
      <vt:lpstr>Fournitures :	avis de réaction transfusionnelle de Santé Canada</vt:lpstr>
    </vt:vector>
  </TitlesOfParts>
  <Company>The Ottawa Hospital</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RT.012 Investigation of Transfusion Complications</dc:title>
  <dc:subject/>
  <dc:creator>Transfusion Ontario Program Office</dc:creator>
  <cp:keywords/>
  <cp:lastModifiedBy>Nesrallah, Heather</cp:lastModifiedBy>
  <cp:revision>2</cp:revision>
  <cp:lastPrinted>2011-01-11T21:40:00Z</cp:lastPrinted>
  <dcterms:created xsi:type="dcterms:W3CDTF">2020-08-10T17:55:00Z</dcterms:created>
  <dcterms:modified xsi:type="dcterms:W3CDTF">2020-08-10T17:55:00Z</dcterms:modified>
</cp:coreProperties>
</file>