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5A" w:rsidRPr="00CF475E" w:rsidRDefault="00AD0F5A" w:rsidP="00AD0F5A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smartTag w:uri="urn:schemas-microsoft-com:office:smarttags" w:element="place">
        <w:r>
          <w:rPr>
            <w:rFonts w:ascii="Arial" w:hAnsi="Arial"/>
            <w:b/>
            <w:sz w:val="28"/>
          </w:rPr>
          <w:t>Principe</w:t>
        </w:r>
      </w:smartTag>
      <w:r>
        <w:rPr>
          <w:rFonts w:ascii="Arial" w:hAnsi="Arial"/>
          <w:b/>
          <w:sz w:val="28"/>
        </w:rPr>
        <w:br/>
      </w:r>
    </w:p>
    <w:p w:rsidR="00E8364F" w:rsidRPr="00CF475E" w:rsidRDefault="00AD0F5A" w:rsidP="008F0A98">
      <w:pPr>
        <w:numPr>
          <w:ilvl w:val="1"/>
          <w:numId w:val="25"/>
        </w:numPr>
        <w:ind w:left="1429"/>
        <w:rPr>
          <w:rFonts w:ascii="Arial" w:hAnsi="Arial"/>
          <w:sz w:val="24"/>
          <w:lang w:val="fr-CA"/>
        </w:rPr>
      </w:pPr>
      <w:r w:rsidRPr="00CF475E">
        <w:rPr>
          <w:rFonts w:ascii="Arial" w:hAnsi="Arial"/>
          <w:sz w:val="24"/>
          <w:lang w:val="fr-CA"/>
        </w:rPr>
        <w:t xml:space="preserve">Pour déterminer la compatibilité </w:t>
      </w:r>
      <w:r w:rsidR="00E8364F" w:rsidRPr="00CF475E">
        <w:rPr>
          <w:rFonts w:ascii="Arial" w:hAnsi="Arial"/>
          <w:sz w:val="24"/>
          <w:lang w:val="fr-CA"/>
        </w:rPr>
        <w:t>entre les globules rouges d’un donneur et le plasma d’un patient.</w:t>
      </w:r>
    </w:p>
    <w:p w:rsidR="00E8364F" w:rsidRPr="00CF475E" w:rsidRDefault="00E8364F" w:rsidP="008F0A98">
      <w:pPr>
        <w:ind w:left="1429"/>
        <w:rPr>
          <w:rFonts w:ascii="Arial" w:hAnsi="Arial"/>
          <w:sz w:val="24"/>
          <w:lang w:val="fr-CA"/>
        </w:rPr>
      </w:pPr>
    </w:p>
    <w:p w:rsidR="00E8364F" w:rsidRPr="00CF475E" w:rsidRDefault="008F0A98" w:rsidP="008F0A98">
      <w:pPr>
        <w:numPr>
          <w:ilvl w:val="1"/>
          <w:numId w:val="24"/>
        </w:numPr>
        <w:ind w:left="1418" w:hanging="709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 w:rsidR="00E8364F" w:rsidRPr="00CF475E">
        <w:rPr>
          <w:rFonts w:ascii="Arial" w:hAnsi="Arial"/>
          <w:sz w:val="24"/>
          <w:lang w:val="fr-CA"/>
        </w:rPr>
        <w:t xml:space="preserve">Les anticorps anti-globules rouges peuvent entraîner l'agglutination directe ou la lyse des globules rouges ou recouvrir les globules rouges de globuline (c'est-à-dire IgG). </w:t>
      </w:r>
      <w:r w:rsidR="00CF475E" w:rsidRPr="00CF475E">
        <w:rPr>
          <w:rFonts w:ascii="Arial" w:hAnsi="Arial"/>
          <w:sz w:val="24"/>
          <w:lang w:val="fr-CA"/>
        </w:rPr>
        <w:t xml:space="preserve">Lors d’une épreuve de compatibilité avec </w:t>
      </w:r>
      <w:r w:rsidR="00E8364F" w:rsidRPr="00CF475E">
        <w:rPr>
          <w:rFonts w:ascii="Arial" w:hAnsi="Arial"/>
          <w:sz w:val="24"/>
          <w:lang w:val="fr-CA"/>
        </w:rPr>
        <w:t>antiglobulin</w:t>
      </w:r>
      <w:r w:rsidR="00CF475E" w:rsidRPr="00CF475E">
        <w:rPr>
          <w:rFonts w:ascii="Arial" w:hAnsi="Arial"/>
          <w:sz w:val="24"/>
          <w:lang w:val="fr-CA"/>
        </w:rPr>
        <w:t xml:space="preserve">e, les cellules de donneurs sont </w:t>
      </w:r>
      <w:r w:rsidR="00B3227D">
        <w:rPr>
          <w:rFonts w:ascii="Arial" w:hAnsi="Arial"/>
          <w:sz w:val="24"/>
          <w:lang w:val="fr-CA"/>
        </w:rPr>
        <w:t>incubées</w:t>
      </w:r>
      <w:r w:rsidR="00CF475E" w:rsidRPr="00CF475E">
        <w:rPr>
          <w:rFonts w:ascii="Arial" w:hAnsi="Arial"/>
          <w:sz w:val="24"/>
          <w:lang w:val="fr-CA"/>
        </w:rPr>
        <w:t xml:space="preserve"> avec le plasma du patient à 37 </w:t>
      </w:r>
      <w:r w:rsidR="00CF475E" w:rsidRPr="00CF475E">
        <w:rPr>
          <w:rFonts w:ascii="Arial" w:hAnsi="Arial"/>
          <w:sz w:val="24"/>
          <w:vertAlign w:val="superscript"/>
          <w:lang w:val="fr-CA"/>
        </w:rPr>
        <w:t>o</w:t>
      </w:r>
      <w:r w:rsidR="00CF475E" w:rsidRPr="00CF475E">
        <w:rPr>
          <w:rFonts w:ascii="Arial" w:hAnsi="Arial"/>
          <w:sz w:val="24"/>
          <w:lang w:val="fr-CA"/>
        </w:rPr>
        <w:t>C.</w:t>
      </w:r>
      <w:r w:rsidR="00E8364F" w:rsidRPr="00CF475E">
        <w:rPr>
          <w:rFonts w:ascii="Arial" w:hAnsi="Arial"/>
          <w:sz w:val="24"/>
          <w:lang w:val="fr-CA"/>
        </w:rPr>
        <w:t xml:space="preserve"> </w:t>
      </w:r>
      <w:r w:rsidR="00CF475E" w:rsidRPr="00CF475E">
        <w:rPr>
          <w:rFonts w:ascii="Arial" w:hAnsi="Arial"/>
          <w:sz w:val="24"/>
          <w:lang w:val="fr-CA"/>
        </w:rPr>
        <w:t>Après l’incubation</w:t>
      </w:r>
      <w:r w:rsidR="00E8364F" w:rsidRPr="00CF475E">
        <w:rPr>
          <w:rFonts w:ascii="Arial" w:hAnsi="Arial"/>
          <w:sz w:val="24"/>
          <w:lang w:val="fr-CA"/>
        </w:rPr>
        <w:t xml:space="preserve">, </w:t>
      </w:r>
      <w:r w:rsidR="00CF475E" w:rsidRPr="00CF475E">
        <w:rPr>
          <w:rFonts w:ascii="Arial" w:hAnsi="Arial"/>
          <w:sz w:val="24"/>
          <w:lang w:val="fr-CA"/>
        </w:rPr>
        <w:t>on examine les globules rouges pour détecter une agglutination directe ou une hémolyse, on les lave pour éliminer les globulines non fixées et on les soumet à de la globuline anti-humaine (GAH) anti-IgG</w:t>
      </w:r>
      <w:r w:rsidR="00E8364F" w:rsidRPr="00CF475E">
        <w:rPr>
          <w:rFonts w:ascii="Arial" w:hAnsi="Arial"/>
          <w:sz w:val="24"/>
          <w:lang w:val="fr-CA"/>
        </w:rPr>
        <w:t xml:space="preserve">. </w:t>
      </w:r>
      <w:r w:rsidR="00CF475E" w:rsidRPr="00CF475E">
        <w:rPr>
          <w:rFonts w:ascii="Arial" w:hAnsi="Arial"/>
          <w:sz w:val="24"/>
          <w:lang w:val="fr-CA"/>
        </w:rPr>
        <w:t xml:space="preserve">Après la </w:t>
      </w:r>
      <w:r w:rsidR="00E8364F" w:rsidRPr="00CF475E">
        <w:rPr>
          <w:rFonts w:ascii="Arial" w:hAnsi="Arial"/>
          <w:sz w:val="24"/>
          <w:lang w:val="fr-CA"/>
        </w:rPr>
        <w:t xml:space="preserve">centrifugation, </w:t>
      </w:r>
      <w:r w:rsidR="00CF475E" w:rsidRPr="00CF475E">
        <w:rPr>
          <w:rFonts w:ascii="Arial" w:hAnsi="Arial"/>
          <w:sz w:val="24"/>
          <w:lang w:val="fr-CA"/>
        </w:rPr>
        <w:t xml:space="preserve">on procède à une lecture macroscopique et à une lecture </w:t>
      </w:r>
      <w:r w:rsidR="00E8364F" w:rsidRPr="00CF475E">
        <w:rPr>
          <w:rFonts w:ascii="Arial" w:hAnsi="Arial"/>
          <w:sz w:val="24"/>
          <w:lang w:val="fr-CA"/>
        </w:rPr>
        <w:t>microscopi</w:t>
      </w:r>
      <w:r w:rsidR="00CF475E" w:rsidRPr="00CF475E">
        <w:rPr>
          <w:rFonts w:ascii="Arial" w:hAnsi="Arial"/>
          <w:sz w:val="24"/>
          <w:lang w:val="fr-CA"/>
        </w:rPr>
        <w:t>que des réactions. On peut ajouter un</w:t>
      </w:r>
      <w:r w:rsidR="00CF475E" w:rsidRPr="009B7747">
        <w:rPr>
          <w:lang w:val="fr-FR"/>
        </w:rPr>
        <w:t xml:space="preserve"> </w:t>
      </w:r>
      <w:r w:rsidR="00CF475E" w:rsidRPr="00CF475E">
        <w:rPr>
          <w:rFonts w:ascii="Arial" w:hAnsi="Arial"/>
          <w:sz w:val="24"/>
          <w:lang w:val="fr-CA"/>
        </w:rPr>
        <w:t>réactif de potentialisation qui accélère la fixation des anticorps aux globules rouges</w:t>
      </w:r>
      <w:r w:rsidR="00E8364F" w:rsidRPr="00CF475E">
        <w:rPr>
          <w:rFonts w:ascii="Arial" w:hAnsi="Arial"/>
          <w:sz w:val="24"/>
          <w:lang w:val="fr-CA"/>
        </w:rPr>
        <w:t xml:space="preserve"> </w:t>
      </w:r>
      <w:r w:rsidR="00CF475E" w:rsidRPr="00CF475E">
        <w:rPr>
          <w:rFonts w:ascii="Arial" w:hAnsi="Arial"/>
          <w:sz w:val="24"/>
          <w:lang w:val="fr-CA"/>
        </w:rPr>
        <w:t>[solution à faible concentration ionique (SFCI)</w:t>
      </w:r>
      <w:r w:rsidR="00E8364F" w:rsidRPr="00CF475E">
        <w:rPr>
          <w:rFonts w:ascii="Arial" w:hAnsi="Arial"/>
          <w:sz w:val="24"/>
          <w:lang w:val="fr-CA"/>
        </w:rPr>
        <w:t xml:space="preserve"> o</w:t>
      </w:r>
      <w:r w:rsidR="00CF475E" w:rsidRPr="00CF475E">
        <w:rPr>
          <w:rFonts w:ascii="Arial" w:hAnsi="Arial"/>
          <w:sz w:val="24"/>
          <w:lang w:val="fr-CA"/>
        </w:rPr>
        <w:t>u polyéthylène glycol (PEG)]</w:t>
      </w:r>
      <w:r w:rsidR="00E8364F" w:rsidRPr="00CF475E">
        <w:rPr>
          <w:rFonts w:ascii="Arial" w:hAnsi="Arial"/>
          <w:sz w:val="24"/>
          <w:lang w:val="fr-CA"/>
        </w:rPr>
        <w:t xml:space="preserve"> </w:t>
      </w:r>
      <w:r w:rsidR="00CF475E" w:rsidRPr="00CF475E">
        <w:rPr>
          <w:rFonts w:ascii="Arial" w:hAnsi="Arial"/>
          <w:sz w:val="24"/>
          <w:lang w:val="fr-CA"/>
        </w:rPr>
        <w:t>si ces réactifs ont été utilisés lors du dépistage d’anticorps</w:t>
      </w:r>
      <w:r w:rsidR="00E8364F" w:rsidRPr="00CF475E">
        <w:rPr>
          <w:rFonts w:ascii="Arial" w:hAnsi="Arial"/>
          <w:sz w:val="24"/>
          <w:lang w:val="fr-CA"/>
        </w:rPr>
        <w:t>.</w:t>
      </w:r>
    </w:p>
    <w:p w:rsidR="00E8364F" w:rsidRPr="00E8364F" w:rsidRDefault="00E8364F" w:rsidP="008F0A98">
      <w:pPr>
        <w:ind w:left="709"/>
        <w:rPr>
          <w:rFonts w:ascii="Arial" w:hAnsi="Arial"/>
          <w:sz w:val="24"/>
          <w:lang w:val="fr-CA"/>
        </w:rPr>
      </w:pPr>
    </w:p>
    <w:p w:rsidR="00E8364F" w:rsidRPr="00E62919" w:rsidRDefault="008F0A98" w:rsidP="008F0A98">
      <w:pPr>
        <w:numPr>
          <w:ilvl w:val="1"/>
          <w:numId w:val="24"/>
        </w:numPr>
        <w:ind w:left="1418" w:hanging="709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 w:rsidR="00CF475E" w:rsidRPr="00E62919">
        <w:rPr>
          <w:rFonts w:ascii="Arial" w:hAnsi="Arial"/>
          <w:sz w:val="24"/>
          <w:lang w:val="fr-CA"/>
        </w:rPr>
        <w:t xml:space="preserve">L'agglutination directe ou l'hémolyse indique habituellement la présence d'anticorps </w:t>
      </w:r>
      <w:r w:rsidR="00E62919" w:rsidRPr="00E62919">
        <w:rPr>
          <w:rFonts w:ascii="Arial" w:hAnsi="Arial"/>
          <w:sz w:val="24"/>
          <w:lang w:val="fr-CA"/>
        </w:rPr>
        <w:t>I</w:t>
      </w:r>
      <w:r w:rsidR="00CF475E" w:rsidRPr="00E62919">
        <w:rPr>
          <w:rFonts w:ascii="Arial" w:hAnsi="Arial"/>
          <w:sz w:val="24"/>
          <w:lang w:val="fr-CA"/>
        </w:rPr>
        <w:t>g</w:t>
      </w:r>
      <w:r w:rsidR="00E62919" w:rsidRPr="00E62919">
        <w:rPr>
          <w:rFonts w:ascii="Arial" w:hAnsi="Arial"/>
          <w:sz w:val="24"/>
          <w:lang w:val="fr-CA"/>
        </w:rPr>
        <w:t>M</w:t>
      </w:r>
      <w:r w:rsidR="00CF475E" w:rsidRPr="00E62919">
        <w:rPr>
          <w:rFonts w:ascii="Arial" w:hAnsi="Arial"/>
          <w:sz w:val="24"/>
          <w:lang w:val="fr-CA"/>
        </w:rPr>
        <w:t xml:space="preserve"> (p. ex. ABO ou anticorps froids).</w:t>
      </w:r>
      <w:r w:rsidR="00F5390F">
        <w:rPr>
          <w:rFonts w:ascii="Arial" w:hAnsi="Arial"/>
          <w:sz w:val="24"/>
          <w:lang w:val="fr-CA"/>
        </w:rPr>
        <w:t xml:space="preserve"> </w:t>
      </w:r>
      <w:r w:rsidR="00CF475E" w:rsidRPr="00E62919">
        <w:rPr>
          <w:rFonts w:ascii="Arial" w:hAnsi="Arial"/>
          <w:sz w:val="24"/>
          <w:lang w:val="fr-CA"/>
        </w:rPr>
        <w:t>Une agglutination en présence de GAH indique que les globules rouges du donneur ont été recouverts de globuline (IgG).</w:t>
      </w:r>
    </w:p>
    <w:p w:rsidR="00E8364F" w:rsidRPr="00E8364F" w:rsidRDefault="00E8364F" w:rsidP="008F0A98">
      <w:pPr>
        <w:ind w:left="709"/>
        <w:rPr>
          <w:rFonts w:ascii="Arial" w:hAnsi="Arial"/>
          <w:sz w:val="24"/>
          <w:lang w:val="fr-CA"/>
        </w:rPr>
      </w:pPr>
    </w:p>
    <w:p w:rsidR="00F8045E" w:rsidRDefault="008F0A98" w:rsidP="008F0A98">
      <w:pPr>
        <w:numPr>
          <w:ilvl w:val="1"/>
          <w:numId w:val="24"/>
        </w:numPr>
        <w:ind w:left="1418" w:hanging="709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 w:rsidR="00E62919" w:rsidRPr="00E62919">
        <w:rPr>
          <w:rFonts w:ascii="Arial" w:hAnsi="Arial"/>
          <w:sz w:val="24"/>
          <w:lang w:val="fr-CA"/>
        </w:rPr>
        <w:t xml:space="preserve">Certains anticorps cliniquement significatifs habituellement décelés à l'aide </w:t>
      </w:r>
      <w:r w:rsidR="00F8045E" w:rsidRPr="00F8045E">
        <w:rPr>
          <w:rFonts w:ascii="Arial" w:hAnsi="Arial"/>
          <w:sz w:val="24"/>
          <w:lang w:val="fr-CA"/>
        </w:rPr>
        <w:t>d</w:t>
      </w:r>
      <w:r w:rsidR="00F8045E">
        <w:rPr>
          <w:rFonts w:ascii="Arial" w:hAnsi="Arial"/>
          <w:sz w:val="24"/>
          <w:lang w:val="fr-CA"/>
        </w:rPr>
        <w:t>u</w:t>
      </w:r>
      <w:r w:rsidR="00F8045E" w:rsidRPr="00F8045E">
        <w:rPr>
          <w:rFonts w:ascii="Arial" w:hAnsi="Arial"/>
          <w:sz w:val="24"/>
          <w:lang w:val="fr-CA"/>
        </w:rPr>
        <w:t xml:space="preserve"> test </w:t>
      </w:r>
      <w:r w:rsidR="00B73E54">
        <w:rPr>
          <w:rFonts w:ascii="Arial" w:hAnsi="Arial"/>
          <w:sz w:val="24"/>
          <w:lang w:val="fr-CA"/>
        </w:rPr>
        <w:t>indirect</w:t>
      </w:r>
      <w:r w:rsidR="00F8045E" w:rsidRPr="00F8045E">
        <w:rPr>
          <w:rFonts w:ascii="Arial" w:hAnsi="Arial"/>
          <w:sz w:val="24"/>
          <w:lang w:val="fr-CA"/>
        </w:rPr>
        <w:t xml:space="preserve"> à l’antiglobuline (</w:t>
      </w:r>
      <w:r w:rsidR="00B73E54">
        <w:rPr>
          <w:rFonts w:ascii="Arial" w:hAnsi="Arial"/>
          <w:sz w:val="24"/>
          <w:lang w:val="fr-CA"/>
        </w:rPr>
        <w:t>TIA</w:t>
      </w:r>
      <w:r w:rsidR="00F8045E" w:rsidRPr="00F8045E">
        <w:rPr>
          <w:rFonts w:ascii="Arial" w:hAnsi="Arial"/>
          <w:sz w:val="24"/>
          <w:lang w:val="fr-CA"/>
        </w:rPr>
        <w:t>)</w:t>
      </w:r>
      <w:r w:rsidR="00F5390F">
        <w:rPr>
          <w:rFonts w:ascii="Arial" w:hAnsi="Arial"/>
          <w:sz w:val="24"/>
          <w:lang w:val="fr-CA"/>
        </w:rPr>
        <w:t xml:space="preserve"> </w:t>
      </w:r>
      <w:r w:rsidR="00E62919" w:rsidRPr="00E62919">
        <w:rPr>
          <w:rFonts w:ascii="Arial" w:hAnsi="Arial"/>
          <w:sz w:val="24"/>
          <w:lang w:val="fr-CA"/>
        </w:rPr>
        <w:t>appartiennent aux systèmes Rh, Kell, Duffy, Kidd et MNS.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F8045E" w:rsidRDefault="00CF475E" w:rsidP="008F0A98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F8045E">
        <w:rPr>
          <w:rFonts w:ascii="Arial" w:hAnsi="Arial"/>
          <w:b/>
          <w:sz w:val="28"/>
          <w:lang w:val="fr-CA"/>
        </w:rPr>
        <w:t>Portée et politiques connexes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F24170" w:rsidRDefault="00CF475E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F24170">
        <w:rPr>
          <w:rFonts w:ascii="Arial" w:hAnsi="Arial"/>
          <w:sz w:val="24"/>
          <w:lang w:val="fr-CA"/>
        </w:rPr>
        <w:t xml:space="preserve">Si les culots globulaires sont </w:t>
      </w:r>
      <w:r w:rsidR="00B63743">
        <w:rPr>
          <w:rFonts w:ascii="Arial" w:hAnsi="Arial"/>
          <w:sz w:val="24"/>
          <w:lang w:val="fr-CA"/>
        </w:rPr>
        <w:t>mis en circulation</w:t>
      </w:r>
      <w:r w:rsidRPr="00F24170">
        <w:rPr>
          <w:rFonts w:ascii="Arial" w:hAnsi="Arial"/>
          <w:sz w:val="24"/>
          <w:lang w:val="fr-CA"/>
        </w:rPr>
        <w:t xml:space="preserve"> avant que les épreuves de compatibilité ne soient terminées, on doit inscrire sur le bordereau d'émission que les épreuves ne sont pas terminées.</w:t>
      </w:r>
      <w:r w:rsidR="00F5390F">
        <w:rPr>
          <w:rFonts w:ascii="Arial" w:hAnsi="Arial"/>
          <w:sz w:val="24"/>
          <w:lang w:val="fr-CA"/>
        </w:rPr>
        <w:t xml:space="preserve"> </w:t>
      </w:r>
      <w:r w:rsidR="008F01FC" w:rsidRPr="00F24170">
        <w:rPr>
          <w:rFonts w:ascii="Arial" w:hAnsi="Arial"/>
          <w:sz w:val="24"/>
          <w:lang w:val="fr-CA"/>
        </w:rPr>
        <w:lastRenderedPageBreak/>
        <w:t xml:space="preserve">Si on trouve par la suite que les </w:t>
      </w:r>
      <w:r w:rsidR="00B63743">
        <w:rPr>
          <w:rFonts w:ascii="Arial" w:hAnsi="Arial"/>
          <w:sz w:val="24"/>
          <w:lang w:val="fr-CA"/>
        </w:rPr>
        <w:t xml:space="preserve">unités mises en circulation </w:t>
      </w:r>
      <w:r w:rsidR="008F01FC" w:rsidRPr="00F24170">
        <w:rPr>
          <w:rFonts w:ascii="Arial" w:hAnsi="Arial"/>
          <w:sz w:val="24"/>
          <w:lang w:val="fr-CA"/>
        </w:rPr>
        <w:t xml:space="preserve">sont incompatibles, on doit en informer le médecin traitant et le directeur médical du </w:t>
      </w:r>
      <w:r w:rsidR="00B63743">
        <w:rPr>
          <w:rFonts w:ascii="Arial" w:hAnsi="Arial"/>
          <w:sz w:val="24"/>
          <w:lang w:val="fr-CA"/>
        </w:rPr>
        <w:t xml:space="preserve">Laboratoire de médecine transfusionnelle (LMT) </w:t>
      </w:r>
      <w:r w:rsidR="008F01FC" w:rsidRPr="00F24170">
        <w:rPr>
          <w:rFonts w:ascii="Arial" w:hAnsi="Arial"/>
          <w:sz w:val="24"/>
          <w:lang w:val="fr-CA"/>
        </w:rPr>
        <w:t>ou leur représentant</w:t>
      </w:r>
      <w:r w:rsidR="00B63743">
        <w:rPr>
          <w:rFonts w:ascii="Arial" w:hAnsi="Arial"/>
          <w:sz w:val="24"/>
          <w:lang w:val="fr-CA"/>
        </w:rPr>
        <w:t>.</w:t>
      </w:r>
      <w:r w:rsidR="00E8364F" w:rsidRPr="00F24170">
        <w:rPr>
          <w:rFonts w:ascii="Arial" w:hAnsi="Arial"/>
          <w:sz w:val="24"/>
          <w:lang w:val="fr-CA"/>
        </w:rPr>
        <w:t xml:space="preserve"> </w:t>
      </w:r>
      <w:r w:rsidR="008F01FC" w:rsidRPr="00F24170">
        <w:rPr>
          <w:rFonts w:ascii="Arial" w:hAnsi="Arial"/>
          <w:sz w:val="24"/>
          <w:lang w:val="fr-CA"/>
        </w:rPr>
        <w:t xml:space="preserve">On doit cesser immédiatement la transfusion des </w:t>
      </w:r>
      <w:r w:rsidR="00B63743">
        <w:rPr>
          <w:rFonts w:ascii="Arial" w:hAnsi="Arial"/>
          <w:sz w:val="24"/>
          <w:lang w:val="fr-CA"/>
        </w:rPr>
        <w:t>unités</w:t>
      </w:r>
      <w:r w:rsidR="008F01FC" w:rsidRPr="00F24170">
        <w:rPr>
          <w:rFonts w:ascii="Arial" w:hAnsi="Arial"/>
          <w:sz w:val="24"/>
          <w:lang w:val="fr-CA"/>
        </w:rPr>
        <w:t xml:space="preserve"> incompatibles et les mettre à l'écart en attendant la décision des médecins</w:t>
      </w:r>
      <w:r w:rsidR="008F01FC" w:rsidRPr="00F24170">
        <w:rPr>
          <w:rFonts w:ascii="Arial" w:hAnsi="Arial"/>
          <w:sz w:val="24"/>
          <w:vertAlign w:val="superscript"/>
          <w:lang w:val="fr-CA"/>
        </w:rPr>
        <w:t>9.1</w:t>
      </w:r>
      <w:r w:rsidR="008F01FC" w:rsidRPr="00F24170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F24170" w:rsidRDefault="00F24170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F24170">
        <w:rPr>
          <w:rFonts w:ascii="Arial" w:hAnsi="Arial"/>
          <w:sz w:val="24"/>
          <w:lang w:val="fr-CA"/>
        </w:rPr>
        <w:t xml:space="preserve">Avant tout administration, la compatibilité d’un échantillon du plasma du receveur sera vérifiée contre un échantillon des cellules de donneur provenant du segment attaché à l’origine au sac de sang total ou de </w:t>
      </w:r>
      <w:r w:rsidR="00B63743">
        <w:rPr>
          <w:rFonts w:ascii="Arial" w:hAnsi="Arial"/>
          <w:sz w:val="24"/>
          <w:lang w:val="fr-CA"/>
        </w:rPr>
        <w:t>globules rouges</w:t>
      </w:r>
      <w:r w:rsidRPr="00F24170">
        <w:rPr>
          <w:rFonts w:ascii="Arial" w:hAnsi="Arial"/>
          <w:sz w:val="24"/>
          <w:lang w:val="fr-CA"/>
        </w:rPr>
        <w:t>. L’épreuve de compatibilité se fera à l’aide de méthodes qui démontrent l’incompatibilité ABO et la présence d’anticorps</w:t>
      </w:r>
      <w:r w:rsidR="00E8364F" w:rsidRPr="00F24170">
        <w:rPr>
          <w:rFonts w:ascii="Arial" w:hAnsi="Arial"/>
          <w:sz w:val="24"/>
          <w:lang w:val="fr-CA"/>
        </w:rPr>
        <w:t xml:space="preserve"> </w:t>
      </w:r>
      <w:r w:rsidRPr="00F24170">
        <w:rPr>
          <w:rFonts w:ascii="Arial" w:hAnsi="Arial"/>
          <w:sz w:val="24"/>
          <w:lang w:val="fr-CA"/>
        </w:rPr>
        <w:t xml:space="preserve">cliniquement significatifs; elle </w:t>
      </w:r>
      <w:r w:rsidR="00B73E54">
        <w:rPr>
          <w:rFonts w:ascii="Arial" w:hAnsi="Arial"/>
          <w:sz w:val="24"/>
          <w:lang w:val="fr-CA"/>
        </w:rPr>
        <w:t xml:space="preserve">doit </w:t>
      </w:r>
      <w:r w:rsidRPr="00F24170">
        <w:rPr>
          <w:rFonts w:ascii="Arial" w:hAnsi="Arial"/>
          <w:sz w:val="24"/>
          <w:lang w:val="fr-CA"/>
        </w:rPr>
        <w:t>comprendre une épreuve à l’</w:t>
      </w:r>
      <w:r w:rsidR="00E8364F" w:rsidRPr="00F24170">
        <w:rPr>
          <w:rFonts w:ascii="Arial" w:hAnsi="Arial"/>
          <w:sz w:val="24"/>
          <w:lang w:val="fr-CA"/>
        </w:rPr>
        <w:t>antiglobulin</w:t>
      </w:r>
      <w:r w:rsidRPr="00F24170">
        <w:rPr>
          <w:rFonts w:ascii="Arial" w:hAnsi="Arial"/>
          <w:sz w:val="24"/>
          <w:lang w:val="fr-CA"/>
        </w:rPr>
        <w:t>e pour le dépistage d’anticorps</w:t>
      </w:r>
      <w:r w:rsidR="00E8364F" w:rsidRPr="00F24170">
        <w:rPr>
          <w:rFonts w:ascii="Arial" w:hAnsi="Arial"/>
          <w:sz w:val="24"/>
          <w:vertAlign w:val="superscript"/>
          <w:lang w:val="fr-CA"/>
        </w:rPr>
        <w:t>9.2</w:t>
      </w:r>
      <w:r w:rsidRPr="00F24170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F24170" w:rsidRDefault="008F01FC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F24170">
        <w:rPr>
          <w:rFonts w:ascii="Arial" w:hAnsi="Arial"/>
          <w:sz w:val="24"/>
          <w:lang w:val="fr-CA"/>
        </w:rPr>
        <w:t xml:space="preserve">S'il s'agit d'un patient qui a reçu une transfusion ou d'une patiente qui a été enceinte au cours des trois derniers mois, ou si les antécédents de transfusion ou de grossesse </w:t>
      </w:r>
      <w:r w:rsidR="00B63743">
        <w:rPr>
          <w:rFonts w:ascii="Arial" w:hAnsi="Arial"/>
          <w:sz w:val="24"/>
          <w:lang w:val="fr-CA"/>
        </w:rPr>
        <w:t>sont inconnus ou imprécis</w:t>
      </w:r>
      <w:r w:rsidRPr="00F24170">
        <w:rPr>
          <w:rFonts w:ascii="Arial" w:hAnsi="Arial"/>
          <w:sz w:val="24"/>
          <w:lang w:val="fr-CA"/>
        </w:rPr>
        <w:t>, les échantillons soumis à des épreuves de compatibilité auront été prélevés dans les 96 heures qui précèdent</w:t>
      </w:r>
      <w:r w:rsidRPr="00F24170">
        <w:rPr>
          <w:rFonts w:ascii="Arial" w:hAnsi="Arial"/>
          <w:sz w:val="24"/>
          <w:vertAlign w:val="superscript"/>
          <w:lang w:val="fr-CA"/>
        </w:rPr>
        <w:t>9.1</w:t>
      </w:r>
      <w:r w:rsidRPr="00F24170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E8364F" w:rsidRDefault="002209E3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2209E3">
        <w:rPr>
          <w:rFonts w:ascii="Arial" w:hAnsi="Arial"/>
          <w:sz w:val="24"/>
          <w:lang w:val="fr-CA"/>
        </w:rPr>
        <w:t>S’il s’agit d’un patient qui n’a pas subi de transfusion ou d’une patiente qui n’a pas été enceinte au cours des 3 derniers mois, le plasma soumis aux épreuves de compatibilité peut être entreposé et servir en tout temps à des fins d’analyse au cours de son hospitalisation courante</w:t>
      </w:r>
      <w:r w:rsidR="008F0A98">
        <w:rPr>
          <w:rFonts w:ascii="Arial" w:hAnsi="Arial"/>
          <w:sz w:val="24"/>
          <w:lang w:val="fr-CA"/>
        </w:rPr>
        <w:t xml:space="preserve"> conformément à la politique de l’établissement</w:t>
      </w:r>
      <w:r w:rsidR="008F0A98" w:rsidRPr="00E8364F">
        <w:rPr>
          <w:rFonts w:ascii="Arial" w:hAnsi="Arial"/>
          <w:sz w:val="24"/>
          <w:vertAlign w:val="superscript"/>
          <w:lang w:val="fr-CA"/>
        </w:rPr>
        <w:t>9.1</w:t>
      </w:r>
      <w:r w:rsidRPr="002209E3">
        <w:rPr>
          <w:rFonts w:ascii="Arial" w:hAnsi="Arial"/>
          <w:sz w:val="24"/>
          <w:lang w:val="fr-CA"/>
        </w:rPr>
        <w:t>. La période d’hospitalisation courante va de l’admission au congé, mais comprend aussi jusqu’à un mois entre le moment des analyses de pré-admission et l’admission courante</w:t>
      </w:r>
      <w:r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5F4F30" w:rsidRDefault="005F4F30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>Il est inutile de reprendre le dépistage d’anticorps, si l’échantillon utilisé pour l’épreuve de compatibilité croisée a déjà fait l’objet d’un tel dépistage</w:t>
      </w:r>
      <w:r w:rsidR="00E8364F" w:rsidRPr="005F4F30">
        <w:rPr>
          <w:rFonts w:ascii="Arial" w:hAnsi="Arial"/>
          <w:sz w:val="24"/>
          <w:lang w:val="fr-CA"/>
        </w:rPr>
        <w:t>.</w:t>
      </w:r>
    </w:p>
    <w:p w:rsidR="00E8364F" w:rsidRPr="00F24170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F24170" w:rsidRDefault="008F01FC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F24170">
        <w:rPr>
          <w:rFonts w:ascii="Arial" w:hAnsi="Arial"/>
          <w:sz w:val="24"/>
          <w:lang w:val="fr-CA"/>
        </w:rPr>
        <w:t>Les épreuves de compatibilité doivent être effectuées avant chaque transfusion de globules rouges sauf si la vie du patient est en danger</w:t>
      </w:r>
      <w:r w:rsidRPr="00F24170">
        <w:rPr>
          <w:rFonts w:ascii="Arial" w:hAnsi="Arial"/>
          <w:sz w:val="24"/>
          <w:vertAlign w:val="superscript"/>
          <w:lang w:val="fr-CA"/>
        </w:rPr>
        <w:t>9.1</w:t>
      </w:r>
      <w:r w:rsidRPr="00F24170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8F0A98" w:rsidRDefault="008F0A98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S’il le temps manque pour confirmer le groupage ABO et Rh du receveur, des globules rouges de groupe O seront émises. Pour les femmes en âge d’avoir des enfants et les enfants, il faut émettre des globules de groupe O Rh négatif</w:t>
      </w:r>
      <w:r w:rsidR="00B63743" w:rsidRPr="00B63743">
        <w:rPr>
          <w:rFonts w:ascii="Arial" w:hAnsi="Arial"/>
          <w:sz w:val="24"/>
          <w:vertAlign w:val="superscript"/>
          <w:lang w:val="fr-CA"/>
        </w:rPr>
        <w:t>9.1</w:t>
      </w:r>
      <w:r>
        <w:rPr>
          <w:rFonts w:ascii="Arial" w:hAnsi="Arial"/>
          <w:sz w:val="24"/>
          <w:lang w:val="fr-CA"/>
        </w:rPr>
        <w:t>.</w:t>
      </w:r>
      <w:r>
        <w:rPr>
          <w:rFonts w:ascii="Arial" w:hAnsi="Arial"/>
          <w:sz w:val="24"/>
          <w:lang w:val="fr-CA"/>
        </w:rPr>
        <w:br/>
      </w:r>
    </w:p>
    <w:p w:rsidR="00E8364F" w:rsidRPr="005F4F30" w:rsidRDefault="00E8364F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>I</w:t>
      </w:r>
      <w:r w:rsidR="005F4F30" w:rsidRPr="005F4F30">
        <w:rPr>
          <w:rFonts w:ascii="Arial" w:hAnsi="Arial"/>
          <w:sz w:val="24"/>
          <w:lang w:val="fr-CA"/>
        </w:rPr>
        <w:t>l est inutile de confirmer le groupe ABO des globules rouges prélevés et préparés par le fournisseur de sang si une épreuve de compatibilité sérologique est faite.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E8364F" w:rsidRDefault="008F01FC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F24170">
        <w:rPr>
          <w:rFonts w:ascii="Arial" w:hAnsi="Arial"/>
          <w:sz w:val="24"/>
          <w:lang w:val="fr-CA"/>
        </w:rPr>
        <w:t xml:space="preserve">Un bordereau d'émission doit être </w:t>
      </w:r>
      <w:r w:rsidR="00B63743">
        <w:rPr>
          <w:rFonts w:ascii="Arial" w:hAnsi="Arial"/>
          <w:sz w:val="24"/>
          <w:lang w:val="fr-CA"/>
        </w:rPr>
        <w:t xml:space="preserve">fourni au LMT </w:t>
      </w:r>
      <w:r w:rsidRPr="00F24170">
        <w:rPr>
          <w:rFonts w:ascii="Arial" w:hAnsi="Arial"/>
          <w:sz w:val="24"/>
          <w:lang w:val="fr-CA"/>
        </w:rPr>
        <w:t>pour tous les globules rouges mis en circulation.</w:t>
      </w:r>
      <w:r w:rsidR="00F5390F">
        <w:rPr>
          <w:rFonts w:ascii="Arial" w:hAnsi="Arial"/>
          <w:sz w:val="24"/>
          <w:lang w:val="fr-CA"/>
        </w:rPr>
        <w:t xml:space="preserve"> </w:t>
      </w:r>
      <w:r w:rsidR="005F4F30" w:rsidRPr="005F4F30">
        <w:rPr>
          <w:rFonts w:ascii="Arial" w:hAnsi="Arial"/>
          <w:sz w:val="24"/>
          <w:lang w:val="fr-CA"/>
        </w:rPr>
        <w:t>Les éléments d’information suivants doivent y figurer</w:t>
      </w:r>
      <w:r w:rsidR="005F4F30" w:rsidRPr="005F4F30">
        <w:rPr>
          <w:rFonts w:ascii="Arial" w:hAnsi="Arial"/>
          <w:sz w:val="24"/>
          <w:vertAlign w:val="superscript"/>
          <w:lang w:val="fr-CA"/>
        </w:rPr>
        <w:t>9.1</w:t>
      </w:r>
      <w:r w:rsidR="0071791D">
        <w:rPr>
          <w:rFonts w:ascii="Arial" w:hAnsi="Arial"/>
          <w:sz w:val="24"/>
          <w:vertAlign w:val="superscript"/>
          <w:lang w:val="fr-CA"/>
        </w:rPr>
        <w:t> </w:t>
      </w:r>
      <w:r w:rsidR="0071791D">
        <w:rPr>
          <w:rFonts w:ascii="Arial" w:hAnsi="Arial"/>
          <w:sz w:val="24"/>
          <w:lang w:val="fr-CA"/>
        </w:rPr>
        <w:t>:</w:t>
      </w:r>
      <w:r w:rsidR="005F4F30">
        <w:rPr>
          <w:rFonts w:ascii="Arial" w:hAnsi="Arial"/>
          <w:sz w:val="24"/>
          <w:vertAlign w:val="superscript"/>
          <w:lang w:val="fr-CA"/>
        </w:rPr>
        <w:br/>
      </w:r>
    </w:p>
    <w:p w:rsidR="00E8364F" w:rsidRPr="00F24170" w:rsidRDefault="008F01FC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  <w:lang w:val="fr-CA"/>
        </w:rPr>
      </w:pPr>
      <w:r w:rsidRPr="00F24170">
        <w:rPr>
          <w:rFonts w:ascii="Arial" w:hAnsi="Arial"/>
          <w:sz w:val="24"/>
          <w:lang w:val="fr-CA"/>
        </w:rPr>
        <w:t>les nom de famille et prénom du receveur</w:t>
      </w:r>
    </w:p>
    <w:p w:rsidR="00E8364F" w:rsidRPr="00F24170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F24170" w:rsidRDefault="008F01FC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  <w:lang w:val="fr-CA"/>
        </w:rPr>
      </w:pPr>
      <w:r w:rsidRPr="00F24170">
        <w:rPr>
          <w:rFonts w:ascii="Arial" w:hAnsi="Arial"/>
          <w:sz w:val="24"/>
          <w:lang w:val="fr-CA"/>
        </w:rPr>
        <w:t>le(s) numéro(s) d'identification du receveur</w:t>
      </w:r>
    </w:p>
    <w:p w:rsidR="00E8364F" w:rsidRPr="00F24170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F24170" w:rsidRDefault="008F01FC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  <w:lang w:val="fr-CA"/>
        </w:rPr>
      </w:pPr>
      <w:r w:rsidRPr="00F24170">
        <w:rPr>
          <w:rFonts w:ascii="Arial" w:hAnsi="Arial"/>
          <w:sz w:val="24"/>
          <w:lang w:val="fr-CA"/>
        </w:rPr>
        <w:t>l</w:t>
      </w:r>
      <w:r w:rsidR="008F0A98">
        <w:rPr>
          <w:rFonts w:ascii="Arial" w:hAnsi="Arial"/>
          <w:sz w:val="24"/>
          <w:lang w:val="fr-CA"/>
        </w:rPr>
        <w:t>e type de produit et la quantité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5F4F30" w:rsidRDefault="005F4F30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>T</w:t>
      </w:r>
      <w:r w:rsidR="00E8364F" w:rsidRPr="005F4F30">
        <w:rPr>
          <w:rFonts w:ascii="Arial" w:hAnsi="Arial"/>
          <w:sz w:val="24"/>
          <w:lang w:val="fr-CA"/>
        </w:rPr>
        <w:t>ransfusion</w:t>
      </w:r>
      <w:r w:rsidRPr="005F4F30">
        <w:rPr>
          <w:rFonts w:ascii="Arial" w:hAnsi="Arial"/>
          <w:sz w:val="24"/>
          <w:lang w:val="fr-CA"/>
        </w:rPr>
        <w:t xml:space="preserve">s </w:t>
      </w:r>
      <w:r w:rsidR="00B3227D">
        <w:rPr>
          <w:rFonts w:ascii="Arial" w:hAnsi="Arial"/>
          <w:sz w:val="24"/>
          <w:lang w:val="fr-CA"/>
        </w:rPr>
        <w:t>néonatales </w:t>
      </w:r>
      <w:r w:rsidR="00E8364F" w:rsidRPr="005F4F30">
        <w:rPr>
          <w:rFonts w:ascii="Arial" w:hAnsi="Arial"/>
          <w:sz w:val="24"/>
          <w:lang w:val="fr-CA"/>
        </w:rPr>
        <w:t>: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5F4F30" w:rsidRDefault="008F01FC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 xml:space="preserve">Toutes les épreuves prétransfusionnelles doivent se faire sur </w:t>
      </w:r>
      <w:r w:rsidR="00947CB9">
        <w:rPr>
          <w:rFonts w:ascii="Arial" w:hAnsi="Arial"/>
          <w:sz w:val="24"/>
          <w:lang w:val="fr-CA"/>
        </w:rPr>
        <w:t xml:space="preserve">un échantillon de </w:t>
      </w:r>
      <w:r w:rsidRPr="005F4F30">
        <w:rPr>
          <w:rFonts w:ascii="Arial" w:hAnsi="Arial"/>
          <w:sz w:val="24"/>
          <w:lang w:val="fr-CA"/>
        </w:rPr>
        <w:t>sang prélevé par voie veineuse ou capillaire.</w:t>
      </w:r>
      <w:r w:rsidR="00F5390F">
        <w:rPr>
          <w:rFonts w:ascii="Arial" w:hAnsi="Arial"/>
          <w:sz w:val="24"/>
          <w:lang w:val="fr-CA"/>
        </w:rPr>
        <w:t xml:space="preserve"> </w:t>
      </w:r>
      <w:r w:rsidRPr="005F4F30">
        <w:rPr>
          <w:rFonts w:ascii="Arial" w:hAnsi="Arial"/>
          <w:sz w:val="24"/>
          <w:lang w:val="fr-CA"/>
        </w:rPr>
        <w:t>On ne doit jamais utiliser du sang de cordon pour des épreuves prétransfusionnelles</w:t>
      </w:r>
      <w:r w:rsidRPr="005F4F30">
        <w:rPr>
          <w:rFonts w:ascii="Arial" w:hAnsi="Arial"/>
          <w:sz w:val="24"/>
          <w:vertAlign w:val="superscript"/>
          <w:lang w:val="fr-CA"/>
        </w:rPr>
        <w:t>9.1</w:t>
      </w:r>
      <w:r w:rsidRPr="005F4F30">
        <w:rPr>
          <w:rFonts w:ascii="Arial" w:hAnsi="Arial"/>
          <w:sz w:val="24"/>
          <w:lang w:val="fr-CA"/>
        </w:rPr>
        <w:t>.</w:t>
      </w:r>
    </w:p>
    <w:p w:rsidR="00E8364F" w:rsidRPr="005F4F30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5F4F30" w:rsidRDefault="008F01FC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 xml:space="preserve">Les épreuves sur l'échantillon prétransfusionnel initial doivent inclure la détermination du groupe </w:t>
      </w:r>
      <w:r w:rsidR="005F4F30">
        <w:rPr>
          <w:rFonts w:ascii="Arial" w:hAnsi="Arial"/>
          <w:sz w:val="24"/>
          <w:lang w:val="fr-CA"/>
        </w:rPr>
        <w:t>ABO</w:t>
      </w:r>
      <w:r w:rsidRPr="005F4F30">
        <w:rPr>
          <w:rFonts w:ascii="Arial" w:hAnsi="Arial"/>
          <w:sz w:val="24"/>
          <w:lang w:val="fr-CA"/>
        </w:rPr>
        <w:t xml:space="preserve"> et du </w:t>
      </w:r>
      <w:r w:rsidR="005F4F30">
        <w:rPr>
          <w:rFonts w:ascii="Arial" w:hAnsi="Arial"/>
          <w:sz w:val="24"/>
          <w:lang w:val="fr-CA"/>
        </w:rPr>
        <w:t>facteur R</w:t>
      </w:r>
      <w:r w:rsidRPr="005F4F30">
        <w:rPr>
          <w:rFonts w:ascii="Arial" w:hAnsi="Arial"/>
          <w:sz w:val="24"/>
          <w:lang w:val="fr-CA"/>
        </w:rPr>
        <w:t>h et le dépistage des anticorps cliniquement significatifs</w:t>
      </w:r>
      <w:r w:rsidRPr="005F4F30">
        <w:rPr>
          <w:rFonts w:ascii="Arial" w:hAnsi="Arial"/>
          <w:sz w:val="24"/>
          <w:vertAlign w:val="superscript"/>
          <w:lang w:val="fr-CA"/>
        </w:rPr>
        <w:t>9.1</w:t>
      </w:r>
      <w:r w:rsidRPr="005F4F30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E8364F" w:rsidRDefault="005F4F30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1D485F">
        <w:rPr>
          <w:rFonts w:ascii="Arial" w:hAnsi="Arial"/>
          <w:sz w:val="24"/>
          <w:lang w:val="fr-CA"/>
        </w:rPr>
        <w:t>Si l’échantillon de plasma du nouveau-né est insuffisant, on peut utiliser un échantillon de plasma maternel pour effectuer les épreuves de compatibilité et le dépistage d’anticorps</w:t>
      </w:r>
      <w:r w:rsidRPr="001D485F">
        <w:rPr>
          <w:rFonts w:ascii="Arial" w:hAnsi="Arial"/>
          <w:sz w:val="24"/>
          <w:vertAlign w:val="superscript"/>
          <w:lang w:val="fr-CA"/>
        </w:rPr>
        <w:t>9.1</w:t>
      </w:r>
      <w:r>
        <w:rPr>
          <w:rFonts w:ascii="Arial" w:hAnsi="Arial"/>
          <w:sz w:val="24"/>
          <w:lang w:val="fr-CA"/>
        </w:rPr>
        <w:t xml:space="preserve">. 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E8364F" w:rsidRDefault="005F4F30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1D485F">
        <w:rPr>
          <w:rFonts w:ascii="Arial" w:hAnsi="Arial"/>
          <w:sz w:val="24"/>
          <w:lang w:val="fr-CA"/>
        </w:rPr>
        <w:t>Si le dépistage d'anticorps initial est négatif, il n'est pas nécessaire de faire d'autres épreuves de compatibilité durant les 4 premiers mois de vie en cas de transfusions de petits volumes</w:t>
      </w:r>
      <w:r w:rsidRPr="001D485F">
        <w:rPr>
          <w:rFonts w:ascii="Arial" w:hAnsi="Arial"/>
          <w:sz w:val="24"/>
          <w:vertAlign w:val="superscript"/>
          <w:lang w:val="fr-CA"/>
        </w:rPr>
        <w:t>9.1</w:t>
      </w:r>
      <w:r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5F4F30" w:rsidRDefault="005F4F30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>Pour les exsanguino</w:t>
      </w:r>
      <w:r w:rsidR="00F5390F">
        <w:rPr>
          <w:rFonts w:ascii="Arial" w:hAnsi="Arial"/>
          <w:sz w:val="24"/>
          <w:lang w:val="fr-CA"/>
        </w:rPr>
        <w:t>-</w:t>
      </w:r>
      <w:r w:rsidR="00E8364F" w:rsidRPr="005F4F30">
        <w:rPr>
          <w:rFonts w:ascii="Arial" w:hAnsi="Arial"/>
          <w:sz w:val="24"/>
          <w:lang w:val="fr-CA"/>
        </w:rPr>
        <w:t xml:space="preserve">transfusions, </w:t>
      </w:r>
      <w:r w:rsidRPr="005F4F30">
        <w:rPr>
          <w:rFonts w:ascii="Arial" w:hAnsi="Arial"/>
          <w:sz w:val="24"/>
          <w:lang w:val="fr-CA"/>
        </w:rPr>
        <w:t xml:space="preserve">faire les épreuves de </w:t>
      </w:r>
      <w:r w:rsidR="00E8364F" w:rsidRPr="005F4F30">
        <w:rPr>
          <w:rFonts w:ascii="Arial" w:hAnsi="Arial"/>
          <w:sz w:val="24"/>
          <w:lang w:val="fr-CA"/>
        </w:rPr>
        <w:t>compatibilit</w:t>
      </w:r>
      <w:r w:rsidRPr="005F4F30">
        <w:rPr>
          <w:rFonts w:ascii="Arial" w:hAnsi="Arial"/>
          <w:sz w:val="24"/>
          <w:lang w:val="fr-CA"/>
        </w:rPr>
        <w:t>é sur du plasma maternel</w:t>
      </w:r>
      <w:r w:rsidR="00E8364F" w:rsidRPr="005F4F30">
        <w:rPr>
          <w:rFonts w:ascii="Arial" w:hAnsi="Arial"/>
          <w:sz w:val="24"/>
          <w:lang w:val="fr-CA"/>
        </w:rPr>
        <w:t xml:space="preserve">. </w:t>
      </w:r>
      <w:r w:rsidR="008F01FC" w:rsidRPr="005F4F30">
        <w:rPr>
          <w:rFonts w:ascii="Arial" w:hAnsi="Arial"/>
          <w:sz w:val="24"/>
          <w:lang w:val="fr-CA"/>
        </w:rPr>
        <w:t>On doit utiliser un échantillon de sang du nouveau-né si le plasma maternel n'est pas disponible</w:t>
      </w:r>
      <w:r w:rsidR="008F01FC" w:rsidRPr="005F4F30">
        <w:rPr>
          <w:rFonts w:ascii="Arial" w:hAnsi="Arial"/>
          <w:sz w:val="24"/>
          <w:vertAlign w:val="superscript"/>
          <w:lang w:val="fr-CA"/>
        </w:rPr>
        <w:t>9.1</w:t>
      </w:r>
      <w:r w:rsidR="008F01FC" w:rsidRPr="005F4F30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5F4F30" w:rsidRDefault="008F01FC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>Si le dépistage d'anticorps prétransfusionnel initial démontre la présence d'allo-anticorps, tous les globules rouges requis pour la transfusion devront être soumis à l'épreuve de compatibilité et doivent être de phénotype négatif pour les antigènes correspondants</w:t>
      </w:r>
      <w:r w:rsidRPr="005F4F30">
        <w:rPr>
          <w:rFonts w:ascii="Arial" w:hAnsi="Arial"/>
          <w:sz w:val="24"/>
          <w:vertAlign w:val="superscript"/>
          <w:lang w:val="fr-CA"/>
        </w:rPr>
        <w:t>9.</w:t>
      </w:r>
      <w:r w:rsidR="00B63743">
        <w:rPr>
          <w:rFonts w:ascii="Arial" w:hAnsi="Arial"/>
          <w:sz w:val="24"/>
          <w:vertAlign w:val="superscript"/>
          <w:lang w:val="fr-CA"/>
        </w:rPr>
        <w:t>2</w:t>
      </w:r>
      <w:r w:rsidRPr="005F4F30">
        <w:rPr>
          <w:rFonts w:ascii="Arial" w:hAnsi="Arial"/>
          <w:sz w:val="24"/>
          <w:lang w:val="fr-CA"/>
        </w:rPr>
        <w:t>.</w:t>
      </w:r>
    </w:p>
    <w:p w:rsidR="00E8364F" w:rsidRPr="005F4F30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5F4F30" w:rsidRDefault="008F01FC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>Dans le cas d'une deuxième ou de subséquentes exsanguino-transfusions, il faut utiliser le plasma du nouveau-né pour les épreuves de compatibilité</w:t>
      </w:r>
      <w:r w:rsidRPr="005F4F30">
        <w:rPr>
          <w:rFonts w:ascii="Arial" w:hAnsi="Arial"/>
          <w:sz w:val="24"/>
          <w:vertAlign w:val="superscript"/>
          <w:lang w:val="fr-CA"/>
        </w:rPr>
        <w:t>9.1</w:t>
      </w:r>
      <w:r w:rsidRPr="005F4F30">
        <w:rPr>
          <w:rFonts w:ascii="Arial" w:hAnsi="Arial"/>
          <w:sz w:val="24"/>
          <w:lang w:val="fr-CA"/>
        </w:rPr>
        <w:t>.</w:t>
      </w:r>
    </w:p>
    <w:p w:rsidR="00E8364F" w:rsidRPr="005F4F30" w:rsidRDefault="00E8364F">
      <w:pPr>
        <w:ind w:left="1440"/>
        <w:rPr>
          <w:rFonts w:ascii="Arial" w:hAnsi="Arial"/>
          <w:sz w:val="24"/>
          <w:lang w:val="fr-CA"/>
        </w:rPr>
      </w:pPr>
    </w:p>
    <w:p w:rsidR="009C5DCE" w:rsidRPr="009C5DCE" w:rsidRDefault="008F01FC" w:rsidP="009C5DCE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9C5DCE">
        <w:rPr>
          <w:rFonts w:ascii="Arial" w:hAnsi="Arial"/>
          <w:sz w:val="24"/>
          <w:lang w:val="fr-CA"/>
        </w:rPr>
        <w:t>Voir CCP.001 - Choix des composants sanguins à transfuser.</w:t>
      </w:r>
      <w:r w:rsidR="009C5DCE" w:rsidRPr="009C5DCE">
        <w:rPr>
          <w:rFonts w:ascii="Arial" w:hAnsi="Arial"/>
          <w:sz w:val="24"/>
          <w:lang w:val="fr-CA"/>
        </w:rPr>
        <w:br/>
      </w:r>
    </w:p>
    <w:p w:rsidR="009C5DCE" w:rsidRPr="00227B87" w:rsidRDefault="009C5DCE" w:rsidP="009C5DC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227B87">
        <w:rPr>
          <w:rFonts w:ascii="Arial" w:hAnsi="Arial"/>
          <w:sz w:val="24"/>
          <w:lang w:val="fr-CA"/>
        </w:rPr>
        <w:t>L’échantillon de sang du receveur doit être gardé à une temp</w:t>
      </w:r>
      <w:r>
        <w:rPr>
          <w:rFonts w:ascii="Arial" w:hAnsi="Arial"/>
          <w:sz w:val="24"/>
          <w:lang w:val="fr-CA"/>
        </w:rPr>
        <w:t>é</w:t>
      </w:r>
      <w:r w:rsidRPr="00227B87">
        <w:rPr>
          <w:rFonts w:ascii="Arial" w:hAnsi="Arial"/>
          <w:sz w:val="24"/>
          <w:lang w:val="fr-CA"/>
        </w:rPr>
        <w:t xml:space="preserve">rature variant entre 1 et 6 </w:t>
      </w:r>
      <w:r w:rsidRPr="00227B87">
        <w:rPr>
          <w:rFonts w:ascii="Arial" w:hAnsi="Arial" w:cs="Arial"/>
          <w:sz w:val="24"/>
          <w:lang w:val="fr-CA"/>
        </w:rPr>
        <w:t>°</w:t>
      </w:r>
      <w:r w:rsidRPr="00227B87">
        <w:rPr>
          <w:rFonts w:ascii="Arial" w:hAnsi="Arial"/>
          <w:sz w:val="24"/>
          <w:lang w:val="fr-CA"/>
        </w:rPr>
        <w:t xml:space="preserve">C pendant au moins </w:t>
      </w:r>
      <w:r>
        <w:rPr>
          <w:rFonts w:ascii="Arial" w:hAnsi="Arial"/>
          <w:sz w:val="24"/>
          <w:lang w:val="fr-CA"/>
        </w:rPr>
        <w:t>7</w:t>
      </w:r>
      <w:r w:rsidRPr="00227B87">
        <w:rPr>
          <w:rFonts w:ascii="Arial" w:hAnsi="Arial"/>
          <w:sz w:val="24"/>
          <w:lang w:val="fr-CA"/>
        </w:rPr>
        <w:t xml:space="preserve"> jours après la transfusion de l’unité</w:t>
      </w:r>
      <w:r w:rsidRPr="00227B87">
        <w:rPr>
          <w:rFonts w:ascii="Arial" w:hAnsi="Arial"/>
          <w:sz w:val="24"/>
          <w:szCs w:val="24"/>
          <w:vertAlign w:val="superscript"/>
          <w:lang w:val="fr-CA"/>
        </w:rPr>
        <w:t>9.1</w:t>
      </w:r>
      <w:r w:rsidRPr="00227B87">
        <w:rPr>
          <w:rFonts w:ascii="Arial" w:hAnsi="Arial"/>
          <w:sz w:val="24"/>
          <w:szCs w:val="24"/>
          <w:lang w:val="fr-CA"/>
        </w:rPr>
        <w:t>.</w:t>
      </w:r>
      <w:r>
        <w:rPr>
          <w:rFonts w:ascii="Arial" w:hAnsi="Arial"/>
          <w:sz w:val="24"/>
          <w:szCs w:val="24"/>
          <w:lang w:val="fr-CA"/>
        </w:rPr>
        <w:br/>
      </w:r>
    </w:p>
    <w:p w:rsidR="009C5DCE" w:rsidRPr="00227B87" w:rsidRDefault="009C5DCE" w:rsidP="009C5DC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Un segment identifiable de toutes les unités de globules rouges de donneurs </w:t>
      </w:r>
      <w:r w:rsidRPr="00227B87">
        <w:rPr>
          <w:rFonts w:ascii="Arial" w:hAnsi="Arial"/>
          <w:sz w:val="24"/>
          <w:lang w:val="fr-CA"/>
        </w:rPr>
        <w:t>doit être gardé à une temp</w:t>
      </w:r>
      <w:r>
        <w:rPr>
          <w:rFonts w:ascii="Arial" w:hAnsi="Arial"/>
          <w:sz w:val="24"/>
          <w:lang w:val="fr-CA"/>
        </w:rPr>
        <w:t>é</w:t>
      </w:r>
      <w:r w:rsidRPr="00227B87">
        <w:rPr>
          <w:rFonts w:ascii="Arial" w:hAnsi="Arial"/>
          <w:sz w:val="24"/>
          <w:lang w:val="fr-CA"/>
        </w:rPr>
        <w:t xml:space="preserve">rature variant entre 1 et 6 </w:t>
      </w:r>
      <w:r w:rsidRPr="00227B87">
        <w:rPr>
          <w:rFonts w:ascii="Arial" w:hAnsi="Arial" w:cs="Arial"/>
          <w:sz w:val="24"/>
          <w:lang w:val="fr-CA"/>
        </w:rPr>
        <w:t>°</w:t>
      </w:r>
      <w:r w:rsidRPr="00227B87">
        <w:rPr>
          <w:rFonts w:ascii="Arial" w:hAnsi="Arial"/>
          <w:sz w:val="24"/>
          <w:lang w:val="fr-CA"/>
        </w:rPr>
        <w:t xml:space="preserve">C pendant au moins </w:t>
      </w:r>
      <w:r>
        <w:rPr>
          <w:rFonts w:ascii="Arial" w:hAnsi="Arial"/>
          <w:sz w:val="24"/>
          <w:lang w:val="fr-CA"/>
        </w:rPr>
        <w:t>7</w:t>
      </w:r>
      <w:r w:rsidRPr="00227B87">
        <w:rPr>
          <w:rFonts w:ascii="Arial" w:hAnsi="Arial"/>
          <w:sz w:val="24"/>
          <w:lang w:val="fr-CA"/>
        </w:rPr>
        <w:t xml:space="preserve"> jours après la transfusion de l’unité</w:t>
      </w:r>
      <w:r w:rsidRPr="00227B87">
        <w:rPr>
          <w:rFonts w:ascii="Arial" w:hAnsi="Arial"/>
          <w:sz w:val="24"/>
          <w:szCs w:val="24"/>
          <w:vertAlign w:val="superscript"/>
          <w:lang w:val="fr-CA"/>
        </w:rPr>
        <w:t>9.1</w:t>
      </w:r>
      <w:r w:rsidRPr="00227B87">
        <w:rPr>
          <w:rFonts w:ascii="Arial" w:hAnsi="Arial"/>
          <w:sz w:val="24"/>
          <w:szCs w:val="24"/>
          <w:lang w:val="fr-CA"/>
        </w:rPr>
        <w:t>.</w:t>
      </w:r>
    </w:p>
    <w:p w:rsidR="009C5DCE" w:rsidRPr="003A3135" w:rsidRDefault="009C5DCE" w:rsidP="009C5DCE">
      <w:pPr>
        <w:ind w:left="1440"/>
        <w:rPr>
          <w:rFonts w:ascii="Arial" w:hAnsi="Arial"/>
          <w:sz w:val="24"/>
          <w:lang w:val="fr-CA"/>
        </w:rPr>
      </w:pPr>
    </w:p>
    <w:p w:rsidR="00E8364F" w:rsidRPr="00E8364F" w:rsidRDefault="005F4F30" w:rsidP="008F0A98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color w:val="000000"/>
          <w:sz w:val="28"/>
          <w:lang w:val="fr-CA"/>
        </w:rPr>
        <w:t>É</w:t>
      </w:r>
      <w:r w:rsidR="008F01FC" w:rsidRPr="008F01FC">
        <w:rPr>
          <w:rFonts w:ascii="Arial" w:hAnsi="Arial"/>
          <w:b/>
          <w:color w:val="000000"/>
          <w:sz w:val="28"/>
          <w:lang w:val="fr-CA"/>
        </w:rPr>
        <w:t>chantillons</w:t>
      </w:r>
    </w:p>
    <w:p w:rsidR="00E8364F" w:rsidRPr="00E8364F" w:rsidRDefault="00E8364F">
      <w:pPr>
        <w:rPr>
          <w:rFonts w:ascii="Arial" w:hAnsi="Arial"/>
          <w:sz w:val="24"/>
          <w:lang w:val="fr-CA"/>
        </w:rPr>
      </w:pPr>
    </w:p>
    <w:p w:rsidR="00E8364F" w:rsidRPr="00087B6C" w:rsidRDefault="008F01FC">
      <w:pPr>
        <w:ind w:left="720"/>
        <w:rPr>
          <w:rFonts w:ascii="Arial" w:hAnsi="Arial"/>
          <w:sz w:val="24"/>
          <w:lang w:val="fr-CA"/>
        </w:rPr>
      </w:pPr>
      <w:r w:rsidRPr="00087B6C">
        <w:rPr>
          <w:rFonts w:ascii="Arial" w:hAnsi="Arial"/>
          <w:color w:val="000000"/>
          <w:sz w:val="24"/>
          <w:lang w:val="fr-CA"/>
        </w:rPr>
        <w:t xml:space="preserve">Sang total anticoagulé </w:t>
      </w:r>
      <w:r w:rsidR="005F4F30" w:rsidRPr="00087B6C">
        <w:rPr>
          <w:rFonts w:ascii="Arial" w:hAnsi="Arial"/>
          <w:color w:val="000000"/>
          <w:sz w:val="24"/>
          <w:lang w:val="fr-CA"/>
        </w:rPr>
        <w:t xml:space="preserve">– tube </w:t>
      </w:r>
      <w:r w:rsidRPr="00087B6C">
        <w:rPr>
          <w:rFonts w:ascii="Arial" w:hAnsi="Arial"/>
          <w:color w:val="000000"/>
          <w:sz w:val="24"/>
          <w:lang w:val="fr-CA"/>
        </w:rPr>
        <w:t>EDTA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E8364F" w:rsidRDefault="008F01FC" w:rsidP="008F0A98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Matériel</w:t>
      </w:r>
    </w:p>
    <w:p w:rsidR="00E8364F" w:rsidRPr="00E8364F" w:rsidRDefault="00E8364F">
      <w:pPr>
        <w:rPr>
          <w:rFonts w:ascii="Arial" w:hAnsi="Arial"/>
          <w:sz w:val="24"/>
          <w:lang w:val="fr-CA"/>
        </w:rPr>
      </w:pPr>
    </w:p>
    <w:p w:rsidR="00E8364F" w:rsidRPr="005F4F30" w:rsidRDefault="008F01FC">
      <w:pPr>
        <w:ind w:left="720"/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b/>
          <w:sz w:val="24"/>
          <w:lang w:val="fr-CA"/>
        </w:rPr>
        <w:t>Équipement </w:t>
      </w:r>
      <w:r w:rsidRPr="005F4F30">
        <w:rPr>
          <w:rFonts w:ascii="Arial" w:hAnsi="Arial"/>
          <w:sz w:val="24"/>
          <w:lang w:val="fr-CA"/>
        </w:rPr>
        <w:t>:</w:t>
      </w:r>
      <w:r w:rsidRPr="005F4F30">
        <w:rPr>
          <w:rFonts w:ascii="Arial" w:hAnsi="Arial"/>
          <w:sz w:val="24"/>
          <w:lang w:val="fr-CA"/>
        </w:rPr>
        <w:tab/>
        <w:t>centrifugeuse sérologique</w:t>
      </w:r>
    </w:p>
    <w:p w:rsidR="00E8364F" w:rsidRPr="005F4F30" w:rsidRDefault="00E8364F">
      <w:pPr>
        <w:ind w:left="720"/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ab/>
      </w:r>
      <w:r w:rsidRPr="005F4F30">
        <w:rPr>
          <w:rFonts w:ascii="Arial" w:hAnsi="Arial"/>
          <w:sz w:val="24"/>
          <w:lang w:val="fr-CA"/>
        </w:rPr>
        <w:tab/>
      </w:r>
      <w:r w:rsidRPr="005F4F30">
        <w:rPr>
          <w:rFonts w:ascii="Arial" w:hAnsi="Arial"/>
          <w:sz w:val="24"/>
          <w:lang w:val="fr-CA"/>
        </w:rPr>
        <w:tab/>
      </w:r>
      <w:r w:rsidR="008F01FC" w:rsidRPr="005F4F30">
        <w:rPr>
          <w:rFonts w:ascii="Arial" w:hAnsi="Arial"/>
          <w:sz w:val="24"/>
          <w:lang w:val="fr-CA"/>
        </w:rPr>
        <w:t>laveur de cellules</w:t>
      </w:r>
    </w:p>
    <w:p w:rsidR="00E8364F" w:rsidRPr="005F4F30" w:rsidRDefault="00E8364F">
      <w:pPr>
        <w:ind w:left="720"/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ab/>
      </w:r>
      <w:r w:rsidRPr="005F4F30">
        <w:rPr>
          <w:rFonts w:ascii="Arial" w:hAnsi="Arial"/>
          <w:sz w:val="24"/>
          <w:lang w:val="fr-CA"/>
        </w:rPr>
        <w:tab/>
      </w:r>
      <w:r w:rsidRPr="005F4F30">
        <w:rPr>
          <w:rFonts w:ascii="Arial" w:hAnsi="Arial"/>
          <w:sz w:val="24"/>
          <w:lang w:val="fr-CA"/>
        </w:rPr>
        <w:tab/>
      </w:r>
      <w:r w:rsidR="008F01FC" w:rsidRPr="005F4F30">
        <w:rPr>
          <w:rFonts w:ascii="Arial" w:hAnsi="Arial"/>
          <w:sz w:val="24"/>
          <w:lang w:val="fr-CA"/>
        </w:rPr>
        <w:t>support à tubes</w:t>
      </w:r>
    </w:p>
    <w:p w:rsidR="00E8364F" w:rsidRPr="005F4F30" w:rsidRDefault="00E8364F">
      <w:pPr>
        <w:ind w:left="720"/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ab/>
      </w:r>
      <w:r w:rsidRPr="005F4F30">
        <w:rPr>
          <w:rFonts w:ascii="Arial" w:hAnsi="Arial"/>
          <w:sz w:val="24"/>
          <w:lang w:val="fr-CA"/>
        </w:rPr>
        <w:tab/>
      </w:r>
      <w:r w:rsidRPr="005F4F30">
        <w:rPr>
          <w:rFonts w:ascii="Arial" w:hAnsi="Arial"/>
          <w:sz w:val="24"/>
          <w:lang w:val="fr-CA"/>
        </w:rPr>
        <w:tab/>
      </w:r>
      <w:r w:rsidR="008F01FC" w:rsidRPr="005F4F30">
        <w:rPr>
          <w:rFonts w:ascii="Arial" w:hAnsi="Arial"/>
          <w:sz w:val="24"/>
          <w:lang w:val="fr-CA"/>
        </w:rPr>
        <w:t xml:space="preserve">bain-marie/bloc chauffant à </w:t>
      </w:r>
      <w:r w:rsidR="00B3227D">
        <w:rPr>
          <w:rFonts w:ascii="Arial" w:hAnsi="Arial"/>
          <w:sz w:val="24"/>
          <w:lang w:val="fr-CA"/>
        </w:rPr>
        <w:t>37 </w:t>
      </w:r>
      <w:r w:rsidR="008F01FC" w:rsidRPr="005F4F30">
        <w:rPr>
          <w:rFonts w:ascii="Arial" w:hAnsi="Arial"/>
          <w:sz w:val="24"/>
          <w:lang w:val="fr-CA"/>
        </w:rPr>
        <w:t>°C</w:t>
      </w:r>
    </w:p>
    <w:p w:rsidR="00E8364F" w:rsidRPr="005F4F30" w:rsidRDefault="00E8364F">
      <w:pPr>
        <w:ind w:left="720"/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ab/>
      </w:r>
      <w:r w:rsidRPr="005F4F30">
        <w:rPr>
          <w:rFonts w:ascii="Arial" w:hAnsi="Arial"/>
          <w:sz w:val="24"/>
          <w:lang w:val="fr-CA"/>
        </w:rPr>
        <w:tab/>
      </w:r>
      <w:r w:rsidRPr="005F4F30">
        <w:rPr>
          <w:rFonts w:ascii="Arial" w:hAnsi="Arial"/>
          <w:sz w:val="24"/>
          <w:lang w:val="fr-CA"/>
        </w:rPr>
        <w:tab/>
      </w:r>
      <w:r w:rsidR="008F01FC" w:rsidRPr="005F4F30">
        <w:rPr>
          <w:rFonts w:ascii="Arial" w:hAnsi="Arial"/>
          <w:sz w:val="24"/>
          <w:lang w:val="fr-CA"/>
        </w:rPr>
        <w:t>microscope</w:t>
      </w:r>
    </w:p>
    <w:p w:rsidR="00E8364F" w:rsidRDefault="009C5DCE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dispositif à segment</w:t>
      </w:r>
    </w:p>
    <w:p w:rsidR="009C5DCE" w:rsidRPr="005F4F30" w:rsidRDefault="009C5DCE">
      <w:pPr>
        <w:ind w:left="720"/>
        <w:rPr>
          <w:rFonts w:ascii="Arial" w:hAnsi="Arial"/>
          <w:sz w:val="24"/>
          <w:lang w:val="fr-CA"/>
        </w:rPr>
      </w:pPr>
    </w:p>
    <w:p w:rsidR="00E8364F" w:rsidRPr="005F4F30" w:rsidRDefault="008F01FC">
      <w:pPr>
        <w:ind w:left="720"/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b/>
          <w:sz w:val="24"/>
          <w:lang w:val="fr-CA"/>
        </w:rPr>
        <w:t>Fournitures</w:t>
      </w:r>
      <w:r w:rsidRPr="005F4F30">
        <w:rPr>
          <w:rFonts w:ascii="Arial" w:hAnsi="Arial"/>
          <w:sz w:val="24"/>
          <w:lang w:val="fr-CA"/>
        </w:rPr>
        <w:t xml:space="preserve"> : </w:t>
      </w:r>
      <w:r w:rsidR="005F4F30" w:rsidRPr="005F4F30">
        <w:rPr>
          <w:rFonts w:ascii="Arial" w:hAnsi="Arial"/>
          <w:sz w:val="24"/>
          <w:lang w:val="fr-CA"/>
        </w:rPr>
        <w:tab/>
      </w:r>
      <w:r w:rsidRPr="005F4F30">
        <w:rPr>
          <w:rFonts w:ascii="Arial" w:hAnsi="Arial"/>
          <w:sz w:val="24"/>
          <w:lang w:val="fr-CA"/>
        </w:rPr>
        <w:t>tubes 10 x 75 mm</w:t>
      </w:r>
    </w:p>
    <w:p w:rsidR="00E8364F" w:rsidRPr="005F4F30" w:rsidRDefault="00E8364F">
      <w:pPr>
        <w:ind w:left="720"/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ab/>
      </w:r>
      <w:r w:rsidRPr="005F4F30">
        <w:rPr>
          <w:rFonts w:ascii="Arial" w:hAnsi="Arial"/>
          <w:sz w:val="24"/>
          <w:lang w:val="fr-CA"/>
        </w:rPr>
        <w:tab/>
      </w:r>
      <w:r w:rsidRPr="005F4F30">
        <w:rPr>
          <w:rFonts w:ascii="Arial" w:hAnsi="Arial"/>
          <w:sz w:val="24"/>
          <w:lang w:val="fr-CA"/>
        </w:rPr>
        <w:tab/>
      </w:r>
      <w:r w:rsidR="008F01FC" w:rsidRPr="005F4F30">
        <w:rPr>
          <w:rFonts w:ascii="Arial" w:hAnsi="Arial"/>
          <w:sz w:val="24"/>
          <w:lang w:val="fr-CA"/>
        </w:rPr>
        <w:t>pipettes sérologiques</w:t>
      </w:r>
    </w:p>
    <w:p w:rsidR="00E8364F" w:rsidRPr="005F4F30" w:rsidRDefault="00E8364F">
      <w:pPr>
        <w:ind w:left="720"/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ab/>
      </w:r>
      <w:r w:rsidRPr="005F4F30">
        <w:rPr>
          <w:rFonts w:ascii="Arial" w:hAnsi="Arial"/>
          <w:sz w:val="24"/>
          <w:lang w:val="fr-CA"/>
        </w:rPr>
        <w:tab/>
      </w:r>
      <w:r w:rsidRPr="005F4F30">
        <w:rPr>
          <w:rFonts w:ascii="Arial" w:hAnsi="Arial"/>
          <w:sz w:val="24"/>
          <w:lang w:val="fr-CA"/>
        </w:rPr>
        <w:tab/>
      </w:r>
      <w:r w:rsidR="005F4F30" w:rsidRPr="005F4F30">
        <w:rPr>
          <w:rFonts w:ascii="Arial" w:hAnsi="Arial"/>
          <w:sz w:val="24"/>
          <w:lang w:val="fr-CA"/>
        </w:rPr>
        <w:t>étiquette de compatibilité</w:t>
      </w:r>
    </w:p>
    <w:p w:rsidR="00E8364F" w:rsidRDefault="009C5DCE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unités de donneurs</w:t>
      </w:r>
    </w:p>
    <w:p w:rsidR="009C5DCE" w:rsidRPr="005F4F30" w:rsidRDefault="009C5DCE">
      <w:pPr>
        <w:ind w:left="720"/>
        <w:rPr>
          <w:rFonts w:ascii="Arial" w:hAnsi="Arial"/>
          <w:sz w:val="24"/>
          <w:lang w:val="fr-CA"/>
        </w:rPr>
      </w:pPr>
    </w:p>
    <w:p w:rsidR="00E8364F" w:rsidRPr="005F4F30" w:rsidRDefault="00B3227D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t>Réactifs </w:t>
      </w:r>
      <w:r w:rsidR="00E8364F" w:rsidRPr="005F4F30">
        <w:rPr>
          <w:rFonts w:ascii="Arial" w:hAnsi="Arial"/>
          <w:sz w:val="24"/>
          <w:lang w:val="fr-CA"/>
        </w:rPr>
        <w:t>:</w:t>
      </w:r>
      <w:r w:rsidR="00E8364F" w:rsidRPr="005F4F30">
        <w:rPr>
          <w:rFonts w:ascii="Arial" w:hAnsi="Arial"/>
          <w:sz w:val="24"/>
          <w:lang w:val="fr-CA"/>
        </w:rPr>
        <w:tab/>
      </w:r>
      <w:r w:rsidR="00E8364F" w:rsidRPr="005F4F30">
        <w:rPr>
          <w:rFonts w:ascii="Arial" w:hAnsi="Arial"/>
          <w:sz w:val="24"/>
          <w:lang w:val="fr-CA"/>
        </w:rPr>
        <w:tab/>
      </w:r>
      <w:r w:rsidR="005F4F30" w:rsidRPr="005F4F30">
        <w:rPr>
          <w:rFonts w:ascii="Arial" w:hAnsi="Arial"/>
          <w:sz w:val="24"/>
          <w:lang w:val="fr-CA"/>
        </w:rPr>
        <w:t>a</w:t>
      </w:r>
      <w:r w:rsidR="00E8364F" w:rsidRPr="005F4F30">
        <w:rPr>
          <w:rFonts w:ascii="Arial" w:hAnsi="Arial"/>
          <w:sz w:val="24"/>
          <w:lang w:val="fr-CA"/>
        </w:rPr>
        <w:t>nti-IgG</w:t>
      </w:r>
    </w:p>
    <w:p w:rsidR="00E8364F" w:rsidRPr="005F4F30" w:rsidRDefault="00E8364F">
      <w:pPr>
        <w:ind w:left="720"/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ab/>
      </w:r>
      <w:r w:rsidRPr="005F4F30">
        <w:rPr>
          <w:rFonts w:ascii="Arial" w:hAnsi="Arial"/>
          <w:sz w:val="24"/>
          <w:lang w:val="fr-CA"/>
        </w:rPr>
        <w:tab/>
      </w:r>
      <w:r w:rsidRPr="005F4F30">
        <w:rPr>
          <w:rFonts w:ascii="Arial" w:hAnsi="Arial"/>
          <w:sz w:val="24"/>
          <w:lang w:val="fr-CA"/>
        </w:rPr>
        <w:tab/>
      </w:r>
      <w:r w:rsidR="008F01FC" w:rsidRPr="005F4F30">
        <w:rPr>
          <w:rFonts w:ascii="Arial" w:hAnsi="Arial"/>
          <w:sz w:val="24"/>
          <w:lang w:val="fr-CA"/>
        </w:rPr>
        <w:t>cellules recouvertes d'IgG</w:t>
      </w:r>
    </w:p>
    <w:p w:rsidR="00E8364F" w:rsidRPr="005F4F30" w:rsidRDefault="00E8364F">
      <w:pPr>
        <w:ind w:left="720"/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ab/>
      </w:r>
      <w:r w:rsidRPr="005F4F30">
        <w:rPr>
          <w:rFonts w:ascii="Arial" w:hAnsi="Arial"/>
          <w:sz w:val="24"/>
          <w:lang w:val="fr-CA"/>
        </w:rPr>
        <w:tab/>
      </w:r>
      <w:r w:rsidRPr="005F4F30">
        <w:rPr>
          <w:rFonts w:ascii="Arial" w:hAnsi="Arial"/>
          <w:sz w:val="24"/>
          <w:lang w:val="fr-CA"/>
        </w:rPr>
        <w:tab/>
      </w:r>
      <w:r w:rsidR="008F01FC" w:rsidRPr="005F4F30">
        <w:rPr>
          <w:rFonts w:ascii="Arial" w:hAnsi="Arial"/>
          <w:sz w:val="24"/>
          <w:lang w:val="fr-CA"/>
        </w:rPr>
        <w:t>solution saline</w:t>
      </w:r>
      <w:r w:rsidR="009C5DCE">
        <w:rPr>
          <w:rFonts w:ascii="Arial" w:hAnsi="Arial"/>
          <w:sz w:val="24"/>
          <w:lang w:val="fr-CA"/>
        </w:rPr>
        <w:t xml:space="preserve"> normale</w:t>
      </w:r>
    </w:p>
    <w:p w:rsidR="00E8364F" w:rsidRPr="005F4F30" w:rsidRDefault="005F4F30">
      <w:pPr>
        <w:ind w:left="2880"/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 xml:space="preserve">solution de faible concentration ionique </w:t>
      </w:r>
      <w:r w:rsidR="00E8364F" w:rsidRPr="005F4F30">
        <w:rPr>
          <w:rFonts w:ascii="Arial" w:hAnsi="Arial"/>
          <w:sz w:val="24"/>
          <w:lang w:val="fr-CA"/>
        </w:rPr>
        <w:t>(</w:t>
      </w:r>
      <w:r w:rsidRPr="005F4F30">
        <w:rPr>
          <w:rFonts w:ascii="Arial" w:hAnsi="Arial"/>
          <w:sz w:val="24"/>
          <w:lang w:val="fr-CA"/>
        </w:rPr>
        <w:t>SFCI</w:t>
      </w:r>
      <w:r w:rsidR="00E8364F" w:rsidRPr="005F4F30">
        <w:rPr>
          <w:rFonts w:ascii="Arial" w:hAnsi="Arial"/>
          <w:sz w:val="24"/>
          <w:lang w:val="fr-CA"/>
        </w:rPr>
        <w:t>)</w:t>
      </w:r>
      <w:r w:rsidRPr="005F4F30">
        <w:rPr>
          <w:rFonts w:ascii="Arial" w:hAnsi="Arial"/>
          <w:sz w:val="24"/>
          <w:lang w:val="fr-CA"/>
        </w:rPr>
        <w:t>, au besoin</w:t>
      </w:r>
    </w:p>
    <w:p w:rsidR="00E8364F" w:rsidRPr="005F4F30" w:rsidRDefault="005F4F30">
      <w:pPr>
        <w:ind w:left="2880"/>
        <w:rPr>
          <w:rFonts w:ascii="Arial" w:hAnsi="Arial"/>
          <w:sz w:val="24"/>
          <w:lang w:val="fr-CA"/>
        </w:rPr>
      </w:pPr>
      <w:r w:rsidRPr="005F4F30">
        <w:rPr>
          <w:rFonts w:ascii="Arial" w:hAnsi="Arial"/>
          <w:sz w:val="24"/>
          <w:lang w:val="fr-CA"/>
        </w:rPr>
        <w:t>p</w:t>
      </w:r>
      <w:r w:rsidR="00E8364F" w:rsidRPr="005F4F30">
        <w:rPr>
          <w:rFonts w:ascii="Arial" w:hAnsi="Arial"/>
          <w:sz w:val="24"/>
          <w:lang w:val="fr-CA"/>
        </w:rPr>
        <w:t>oly</w:t>
      </w:r>
      <w:r w:rsidRPr="005F4F30">
        <w:rPr>
          <w:rFonts w:ascii="Arial" w:hAnsi="Arial"/>
          <w:sz w:val="24"/>
          <w:lang w:val="fr-CA"/>
        </w:rPr>
        <w:t>é</w:t>
      </w:r>
      <w:r w:rsidR="00E8364F" w:rsidRPr="005F4F30">
        <w:rPr>
          <w:rFonts w:ascii="Arial" w:hAnsi="Arial"/>
          <w:sz w:val="24"/>
          <w:lang w:val="fr-CA"/>
        </w:rPr>
        <w:t>thyl</w:t>
      </w:r>
      <w:r w:rsidRPr="005F4F30">
        <w:rPr>
          <w:rFonts w:ascii="Arial" w:hAnsi="Arial"/>
          <w:sz w:val="24"/>
          <w:lang w:val="fr-CA"/>
        </w:rPr>
        <w:t>è</w:t>
      </w:r>
      <w:r w:rsidR="00E8364F" w:rsidRPr="005F4F30">
        <w:rPr>
          <w:rFonts w:ascii="Arial" w:hAnsi="Arial"/>
          <w:sz w:val="24"/>
          <w:lang w:val="fr-CA"/>
        </w:rPr>
        <w:t xml:space="preserve">ne </w:t>
      </w:r>
      <w:r w:rsidRPr="005F4F30">
        <w:rPr>
          <w:rFonts w:ascii="Arial" w:hAnsi="Arial"/>
          <w:sz w:val="24"/>
          <w:lang w:val="fr-CA"/>
        </w:rPr>
        <w:t>g</w:t>
      </w:r>
      <w:r w:rsidR="00E8364F" w:rsidRPr="005F4F30">
        <w:rPr>
          <w:rFonts w:ascii="Arial" w:hAnsi="Arial"/>
          <w:sz w:val="24"/>
          <w:lang w:val="fr-CA"/>
        </w:rPr>
        <w:t>lycol (PEG)</w:t>
      </w:r>
      <w:r w:rsidRPr="005F4F30">
        <w:rPr>
          <w:rFonts w:ascii="Arial" w:hAnsi="Arial"/>
          <w:sz w:val="24"/>
          <w:lang w:val="fr-CA"/>
        </w:rPr>
        <w:t>, au besoin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087B6C" w:rsidRDefault="008F01FC">
      <w:pPr>
        <w:ind w:left="2880" w:hanging="2160"/>
        <w:rPr>
          <w:rFonts w:ascii="Arial" w:hAnsi="Arial"/>
          <w:sz w:val="24"/>
          <w:lang w:val="fr-CA"/>
        </w:rPr>
      </w:pPr>
      <w:r w:rsidRPr="00087B6C">
        <w:rPr>
          <w:rFonts w:ascii="Arial" w:hAnsi="Arial"/>
          <w:b/>
          <w:sz w:val="24"/>
          <w:lang w:val="fr-CA"/>
        </w:rPr>
        <w:t xml:space="preserve">Unités de </w:t>
      </w:r>
      <w:r w:rsidR="00B3227D">
        <w:rPr>
          <w:rFonts w:ascii="Arial" w:hAnsi="Arial"/>
          <w:b/>
          <w:sz w:val="24"/>
          <w:lang w:val="fr-CA"/>
        </w:rPr>
        <w:t>donneurs </w:t>
      </w:r>
      <w:r w:rsidRPr="00087B6C">
        <w:rPr>
          <w:rFonts w:ascii="Arial" w:hAnsi="Arial"/>
          <w:sz w:val="24"/>
          <w:lang w:val="fr-CA"/>
        </w:rPr>
        <w:t>:Voir CCP.001 - Choix des composants sanguins à transfuser</w:t>
      </w:r>
    </w:p>
    <w:p w:rsidR="00E8364F" w:rsidRPr="00087B6C" w:rsidRDefault="00E8364F">
      <w:pPr>
        <w:ind w:left="2880" w:hanging="2160"/>
        <w:rPr>
          <w:rFonts w:ascii="Arial" w:hAnsi="Arial"/>
          <w:sz w:val="24"/>
          <w:lang w:val="fr-CA"/>
        </w:rPr>
      </w:pPr>
    </w:p>
    <w:p w:rsidR="00E8364F" w:rsidRPr="00087B6C" w:rsidRDefault="008F01FC" w:rsidP="008F0A98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087B6C">
        <w:rPr>
          <w:rFonts w:ascii="Arial" w:hAnsi="Arial"/>
          <w:b/>
          <w:sz w:val="28"/>
          <w:lang w:val="fr-CA"/>
        </w:rPr>
        <w:t>Contrôle de la qualité</w:t>
      </w:r>
    </w:p>
    <w:p w:rsidR="00E8364F" w:rsidRPr="00087B6C" w:rsidRDefault="00E8364F">
      <w:pPr>
        <w:rPr>
          <w:rFonts w:ascii="Arial" w:hAnsi="Arial"/>
          <w:sz w:val="24"/>
          <w:lang w:val="fr-CA"/>
        </w:rPr>
      </w:pPr>
    </w:p>
    <w:p w:rsidR="00E8364F" w:rsidRPr="00087B6C" w:rsidRDefault="008F01FC">
      <w:pPr>
        <w:ind w:left="720"/>
        <w:rPr>
          <w:rFonts w:ascii="Arial" w:hAnsi="Arial"/>
          <w:sz w:val="24"/>
          <w:lang w:val="fr-CA"/>
        </w:rPr>
      </w:pPr>
      <w:r w:rsidRPr="00087B6C">
        <w:rPr>
          <w:rFonts w:ascii="Arial" w:hAnsi="Arial"/>
          <w:sz w:val="24"/>
          <w:lang w:val="fr-CA"/>
        </w:rPr>
        <w:t>Voir CAQ.001 - Contrôle de la qualité des globules rouges et des antisérums commerciaux.</w:t>
      </w:r>
    </w:p>
    <w:p w:rsidR="00E8364F" w:rsidRPr="00087B6C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087B6C" w:rsidRDefault="008F01FC" w:rsidP="008F0A98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087B6C">
        <w:rPr>
          <w:rFonts w:ascii="Arial" w:hAnsi="Arial"/>
          <w:b/>
          <w:sz w:val="28"/>
          <w:lang w:val="fr-CA"/>
        </w:rPr>
        <w:t>Procédure</w:t>
      </w:r>
    </w:p>
    <w:p w:rsidR="00E8364F" w:rsidRPr="00087B6C" w:rsidRDefault="00E8364F">
      <w:pPr>
        <w:rPr>
          <w:rFonts w:ascii="Arial" w:hAnsi="Arial"/>
          <w:sz w:val="24"/>
          <w:lang w:val="fr-CA"/>
        </w:rPr>
      </w:pPr>
    </w:p>
    <w:p w:rsidR="00E8364F" w:rsidRPr="00087B6C" w:rsidRDefault="008F01FC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087B6C">
        <w:rPr>
          <w:rFonts w:ascii="Arial" w:hAnsi="Arial"/>
          <w:sz w:val="24"/>
          <w:lang w:val="fr-CA"/>
        </w:rPr>
        <w:t>Vérifier les antécédents du patient et les résultats du dépistage d'anticorps courant.</w:t>
      </w:r>
      <w:r w:rsidR="00F5390F">
        <w:rPr>
          <w:rFonts w:ascii="Arial" w:hAnsi="Arial"/>
          <w:sz w:val="24"/>
          <w:lang w:val="fr-CA"/>
        </w:rPr>
        <w:t xml:space="preserve"> </w:t>
      </w:r>
      <w:r w:rsidRPr="00087B6C">
        <w:rPr>
          <w:rFonts w:ascii="Arial" w:hAnsi="Arial"/>
          <w:sz w:val="24"/>
          <w:lang w:val="fr-CA"/>
        </w:rPr>
        <w:t>Voir PA.003 – Vérification des antécédents du patient.</w:t>
      </w:r>
    </w:p>
    <w:p w:rsidR="00E8364F" w:rsidRPr="00087B6C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0C24DB" w:rsidRDefault="000C24DB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0C24DB">
        <w:rPr>
          <w:rFonts w:ascii="Arial" w:hAnsi="Arial"/>
          <w:sz w:val="24"/>
          <w:lang w:val="fr-CA"/>
        </w:rPr>
        <w:t>Si le dépistage des anticorps est positif, ou en présence d’antécédents d’anticorps cliniquement significatif(s), les unités de donneur doivent être négative</w:t>
      </w:r>
      <w:r w:rsidR="00F5390F">
        <w:rPr>
          <w:rFonts w:ascii="Arial" w:hAnsi="Arial"/>
          <w:sz w:val="24"/>
          <w:lang w:val="fr-CA"/>
        </w:rPr>
        <w:t>s</w:t>
      </w:r>
      <w:r w:rsidRPr="000C24DB">
        <w:rPr>
          <w:rFonts w:ascii="Arial" w:hAnsi="Arial"/>
          <w:sz w:val="24"/>
          <w:lang w:val="fr-CA"/>
        </w:rPr>
        <w:t xml:space="preserve"> pour ce qui est du ou des antigènes correspondants</w:t>
      </w:r>
      <w:r w:rsidR="00E8364F" w:rsidRPr="000C24DB">
        <w:rPr>
          <w:rFonts w:ascii="Arial" w:hAnsi="Arial"/>
          <w:sz w:val="24"/>
          <w:lang w:val="fr-CA"/>
        </w:rPr>
        <w:t>.</w:t>
      </w:r>
      <w:r w:rsidR="00F5390F">
        <w:rPr>
          <w:rFonts w:ascii="Arial" w:hAnsi="Arial"/>
          <w:sz w:val="24"/>
          <w:lang w:val="fr-CA"/>
        </w:rPr>
        <w:t xml:space="preserve"> </w:t>
      </w:r>
      <w:r w:rsidR="008F01FC" w:rsidRPr="000C24DB">
        <w:rPr>
          <w:rFonts w:ascii="Arial" w:hAnsi="Arial"/>
          <w:sz w:val="24"/>
          <w:lang w:val="fr-CA"/>
        </w:rPr>
        <w:t>Voir EC.009</w:t>
      </w:r>
      <w:r w:rsidR="00B63743">
        <w:rPr>
          <w:rFonts w:ascii="Arial" w:hAnsi="Arial"/>
          <w:sz w:val="24"/>
          <w:lang w:val="fr-CA"/>
        </w:rPr>
        <w:t xml:space="preserve"> </w:t>
      </w:r>
      <w:r w:rsidR="008F01FC" w:rsidRPr="000C24DB">
        <w:rPr>
          <w:rFonts w:ascii="Arial" w:hAnsi="Arial"/>
          <w:sz w:val="24"/>
          <w:lang w:val="fr-CA"/>
        </w:rPr>
        <w:t>- Typage des antigènes – Agglutination directe et indirecte.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0C24DB" w:rsidRDefault="000C24DB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0C24DB">
        <w:rPr>
          <w:rFonts w:ascii="Arial" w:hAnsi="Arial"/>
          <w:sz w:val="24"/>
          <w:lang w:val="fr-CA"/>
        </w:rPr>
        <w:t>Si le patient est porteur d’anticorps réactif</w:t>
      </w:r>
      <w:r w:rsidR="00F5390F">
        <w:rPr>
          <w:rFonts w:ascii="Arial" w:hAnsi="Arial"/>
          <w:sz w:val="24"/>
          <w:lang w:val="fr-CA"/>
        </w:rPr>
        <w:t>s</w:t>
      </w:r>
      <w:r w:rsidRPr="000C24DB">
        <w:rPr>
          <w:rFonts w:ascii="Arial" w:hAnsi="Arial"/>
          <w:sz w:val="24"/>
          <w:lang w:val="fr-CA"/>
        </w:rPr>
        <w:t xml:space="preserve"> froid</w:t>
      </w:r>
      <w:r w:rsidR="00F5390F">
        <w:rPr>
          <w:rFonts w:ascii="Arial" w:hAnsi="Arial"/>
          <w:sz w:val="24"/>
          <w:lang w:val="fr-CA"/>
        </w:rPr>
        <w:t>s</w:t>
      </w:r>
      <w:r w:rsidRPr="000C24DB">
        <w:rPr>
          <w:rFonts w:ascii="Arial" w:hAnsi="Arial"/>
          <w:sz w:val="24"/>
          <w:lang w:val="fr-CA"/>
        </w:rPr>
        <w:t xml:space="preserve"> </w:t>
      </w:r>
      <w:r w:rsidR="00ED3460">
        <w:rPr>
          <w:rFonts w:ascii="Arial" w:hAnsi="Arial"/>
          <w:sz w:val="24"/>
          <w:lang w:val="fr-CA"/>
        </w:rPr>
        <w:t xml:space="preserve">sans </w:t>
      </w:r>
      <w:r w:rsidR="00ED3460" w:rsidRPr="000C24DB">
        <w:rPr>
          <w:rFonts w:ascii="Arial" w:hAnsi="Arial"/>
          <w:sz w:val="24"/>
          <w:lang w:val="fr-CA"/>
        </w:rPr>
        <w:t xml:space="preserve">importance </w:t>
      </w:r>
      <w:r w:rsidRPr="000C24DB">
        <w:rPr>
          <w:rFonts w:ascii="Arial" w:hAnsi="Arial"/>
          <w:sz w:val="24"/>
          <w:lang w:val="fr-CA"/>
        </w:rPr>
        <w:t>clinique, une technique de pré-réchauffement pourrait être utile</w:t>
      </w:r>
      <w:r w:rsidR="00E8364F" w:rsidRPr="000C24DB">
        <w:rPr>
          <w:rFonts w:ascii="Arial" w:hAnsi="Arial"/>
          <w:sz w:val="24"/>
          <w:lang w:val="fr-CA"/>
        </w:rPr>
        <w:t>.</w:t>
      </w:r>
      <w:r w:rsidR="00F5390F">
        <w:rPr>
          <w:rFonts w:ascii="Arial" w:hAnsi="Arial"/>
          <w:sz w:val="24"/>
          <w:lang w:val="fr-CA"/>
        </w:rPr>
        <w:t xml:space="preserve"> </w:t>
      </w:r>
      <w:r w:rsidR="008F01FC" w:rsidRPr="000C24DB">
        <w:rPr>
          <w:rFonts w:ascii="Arial" w:hAnsi="Arial"/>
          <w:sz w:val="24"/>
          <w:lang w:val="fr-CA"/>
        </w:rPr>
        <w:t xml:space="preserve">Voir EC.001 </w:t>
      </w:r>
      <w:r>
        <w:rPr>
          <w:rFonts w:ascii="Arial" w:hAnsi="Arial"/>
          <w:sz w:val="24"/>
          <w:lang w:val="fr-CA"/>
        </w:rPr>
        <w:t>–</w:t>
      </w:r>
      <w:r w:rsidR="008F01FC" w:rsidRPr="000C24DB">
        <w:rPr>
          <w:rFonts w:ascii="Arial" w:hAnsi="Arial"/>
          <w:sz w:val="24"/>
          <w:lang w:val="fr-CA"/>
        </w:rPr>
        <w:t xml:space="preserve"> Technique de pré-réchauffement.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087B6C" w:rsidRDefault="008F01FC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087B6C">
        <w:rPr>
          <w:rFonts w:ascii="Arial" w:hAnsi="Arial"/>
          <w:sz w:val="24"/>
          <w:lang w:val="fr-CA"/>
        </w:rPr>
        <w:t>Vérifier l'acceptabilité des échantillons pour s'assurer que les renseignements qui s'y rapportent correspondent au formulaire de demande.</w:t>
      </w:r>
      <w:r w:rsidR="00F5390F">
        <w:rPr>
          <w:rFonts w:ascii="Arial" w:hAnsi="Arial"/>
          <w:sz w:val="24"/>
          <w:lang w:val="fr-CA"/>
        </w:rPr>
        <w:t xml:space="preserve"> </w:t>
      </w:r>
      <w:r w:rsidRPr="00087B6C">
        <w:rPr>
          <w:rFonts w:ascii="Arial" w:hAnsi="Arial"/>
          <w:sz w:val="24"/>
          <w:lang w:val="fr-CA"/>
        </w:rPr>
        <w:t xml:space="preserve">Voir PA.002 – Acceptation ou rejet des échantillons, étapes 6.1 </w:t>
      </w:r>
      <w:r w:rsidR="00F5390F">
        <w:rPr>
          <w:rFonts w:ascii="Arial" w:hAnsi="Arial"/>
          <w:sz w:val="24"/>
          <w:lang w:val="fr-CA"/>
        </w:rPr>
        <w:t>à</w:t>
      </w:r>
      <w:r w:rsidRPr="00087B6C">
        <w:rPr>
          <w:rFonts w:ascii="Arial" w:hAnsi="Arial"/>
          <w:sz w:val="24"/>
          <w:lang w:val="fr-CA"/>
        </w:rPr>
        <w:t xml:space="preserve"> 6.4.</w:t>
      </w:r>
    </w:p>
    <w:p w:rsidR="00E8364F" w:rsidRPr="00087B6C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087B6C" w:rsidRDefault="008F01FC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087B6C">
        <w:rPr>
          <w:rFonts w:ascii="Arial" w:hAnsi="Arial"/>
          <w:sz w:val="24"/>
          <w:lang w:val="fr-CA"/>
        </w:rPr>
        <w:t xml:space="preserve">Centrifuger l'échantillon pendant </w:t>
      </w:r>
      <w:r w:rsidR="00ED3460">
        <w:rPr>
          <w:rFonts w:ascii="Arial" w:hAnsi="Arial"/>
          <w:sz w:val="24"/>
          <w:lang w:val="fr-CA"/>
        </w:rPr>
        <w:t>5</w:t>
      </w:r>
      <w:r w:rsidR="00ED3460" w:rsidRPr="00087B6C">
        <w:rPr>
          <w:rFonts w:ascii="Arial" w:hAnsi="Arial"/>
          <w:sz w:val="24"/>
          <w:lang w:val="fr-CA"/>
        </w:rPr>
        <w:t xml:space="preserve"> </w:t>
      </w:r>
      <w:r w:rsidRPr="00087B6C">
        <w:rPr>
          <w:rFonts w:ascii="Arial" w:hAnsi="Arial"/>
          <w:sz w:val="24"/>
          <w:lang w:val="fr-CA"/>
        </w:rPr>
        <w:t>minutes à 3500 rpm ou l'équivalent, au besoin.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3F2F08" w:rsidRDefault="00087B6C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087B6C">
        <w:rPr>
          <w:rFonts w:ascii="Arial" w:hAnsi="Arial"/>
          <w:sz w:val="24"/>
          <w:lang w:val="fr-CA"/>
        </w:rPr>
        <w:t>Vérifier toute anomalie dans l’aspect du ou des échantillons du patient.</w:t>
      </w:r>
      <w:r w:rsidR="000C24DB">
        <w:rPr>
          <w:rFonts w:ascii="Arial" w:hAnsi="Arial"/>
          <w:sz w:val="24"/>
          <w:lang w:val="fr-CA"/>
        </w:rPr>
        <w:t xml:space="preserve"> </w:t>
      </w:r>
      <w:r w:rsidR="008F01FC" w:rsidRPr="00087B6C">
        <w:rPr>
          <w:rFonts w:ascii="Arial" w:hAnsi="Arial"/>
          <w:sz w:val="24"/>
          <w:lang w:val="fr-CA"/>
        </w:rPr>
        <w:t>Voir PA.002 – Acceptation ou rejet des échantillons, étape 6.5.</w:t>
      </w:r>
    </w:p>
    <w:p w:rsidR="003F2F08" w:rsidRPr="00087B6C" w:rsidRDefault="003F2F08" w:rsidP="003F2F08">
      <w:pPr>
        <w:ind w:left="720"/>
        <w:rPr>
          <w:rFonts w:ascii="Arial" w:hAnsi="Arial"/>
          <w:sz w:val="24"/>
          <w:lang w:val="fr-CA"/>
        </w:rPr>
      </w:pPr>
    </w:p>
    <w:p w:rsidR="00E8364F" w:rsidRPr="000C24DB" w:rsidRDefault="000C24DB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0C24DB">
        <w:rPr>
          <w:rFonts w:ascii="Arial" w:hAnsi="Arial"/>
          <w:sz w:val="24"/>
          <w:lang w:val="fr-CA"/>
        </w:rPr>
        <w:t>Choisir les unités de donneur approprié</w:t>
      </w:r>
      <w:r w:rsidR="00F5390F">
        <w:rPr>
          <w:rFonts w:ascii="Arial" w:hAnsi="Arial"/>
          <w:sz w:val="24"/>
          <w:lang w:val="fr-CA"/>
        </w:rPr>
        <w:t>e</w:t>
      </w:r>
      <w:r w:rsidRPr="000C24DB">
        <w:rPr>
          <w:rFonts w:ascii="Arial" w:hAnsi="Arial"/>
          <w:sz w:val="24"/>
          <w:lang w:val="fr-CA"/>
        </w:rPr>
        <w:t>s dans le réfrigérateur d’entreposage des produits sanguins ou dans l’inventaire informatisé</w:t>
      </w:r>
      <w:r w:rsidR="00E8364F" w:rsidRPr="000C24DB">
        <w:rPr>
          <w:rFonts w:ascii="Arial" w:hAnsi="Arial"/>
          <w:sz w:val="24"/>
          <w:lang w:val="fr-CA"/>
        </w:rPr>
        <w:t>.</w:t>
      </w:r>
      <w:r w:rsidR="00F5390F">
        <w:rPr>
          <w:rFonts w:ascii="Arial" w:hAnsi="Arial"/>
          <w:sz w:val="24"/>
          <w:lang w:val="fr-CA"/>
        </w:rPr>
        <w:t xml:space="preserve"> </w:t>
      </w:r>
      <w:r w:rsidRPr="000C24DB">
        <w:rPr>
          <w:rFonts w:ascii="Arial" w:hAnsi="Arial"/>
          <w:sz w:val="24"/>
          <w:lang w:val="fr-CA"/>
        </w:rPr>
        <w:t>Voir CCP.001 - Choix des composants sanguins à transfuser</w:t>
      </w:r>
      <w:r w:rsidR="00E8364F" w:rsidRPr="000C24DB">
        <w:rPr>
          <w:rFonts w:ascii="Arial" w:hAnsi="Arial"/>
          <w:sz w:val="24"/>
          <w:lang w:val="fr-CA"/>
        </w:rPr>
        <w:t>.</w:t>
      </w:r>
      <w:r w:rsidR="00F5390F">
        <w:rPr>
          <w:rFonts w:ascii="Arial" w:hAnsi="Arial"/>
          <w:sz w:val="24"/>
          <w:lang w:val="fr-CA"/>
        </w:rPr>
        <w:t xml:space="preserve"> Choisir des </w:t>
      </w:r>
      <w:r w:rsidR="008F01FC" w:rsidRPr="000C24DB">
        <w:rPr>
          <w:rFonts w:ascii="Arial" w:hAnsi="Arial"/>
          <w:sz w:val="24"/>
          <w:lang w:val="fr-CA"/>
        </w:rPr>
        <w:t>unités qui n</w:t>
      </w:r>
      <w:r w:rsidR="00F5390F">
        <w:rPr>
          <w:rFonts w:ascii="Arial" w:hAnsi="Arial"/>
          <w:sz w:val="24"/>
          <w:lang w:val="fr-CA"/>
        </w:rPr>
        <w:t xml:space="preserve">e seront pas périmées </w:t>
      </w:r>
      <w:r w:rsidR="008F01FC" w:rsidRPr="000C24DB">
        <w:rPr>
          <w:rFonts w:ascii="Arial" w:hAnsi="Arial"/>
          <w:sz w:val="24"/>
          <w:lang w:val="fr-CA"/>
        </w:rPr>
        <w:t>le jour prévu de la chirurgie ou de la transfusion.</w:t>
      </w:r>
    </w:p>
    <w:p w:rsidR="00E8364F" w:rsidRPr="000C24DB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0C24DB" w:rsidRDefault="00087B6C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0C24DB">
        <w:rPr>
          <w:rFonts w:ascii="Arial" w:hAnsi="Arial"/>
          <w:sz w:val="24"/>
          <w:lang w:val="fr-CA"/>
        </w:rPr>
        <w:t>Inspecter visuellement chaque unité de donneur.</w:t>
      </w:r>
      <w:r w:rsidR="00E8364F" w:rsidRPr="000C24DB">
        <w:rPr>
          <w:rFonts w:ascii="Arial" w:hAnsi="Arial"/>
          <w:sz w:val="24"/>
          <w:lang w:val="fr-CA"/>
        </w:rPr>
        <w:t xml:space="preserve"> </w:t>
      </w:r>
      <w:r w:rsidR="008F01FC" w:rsidRPr="000C24DB">
        <w:rPr>
          <w:rFonts w:ascii="Arial" w:hAnsi="Arial"/>
          <w:sz w:val="24"/>
          <w:lang w:val="fr-CA"/>
        </w:rPr>
        <w:t xml:space="preserve">Voir GI.003 - </w:t>
      </w:r>
      <w:r w:rsidR="00B200C6">
        <w:rPr>
          <w:rFonts w:ascii="Arial" w:hAnsi="Arial"/>
          <w:sz w:val="24"/>
          <w:lang w:val="fr-CA"/>
        </w:rPr>
        <w:t>I</w:t>
      </w:r>
      <w:r w:rsidR="00B200C6" w:rsidRPr="000C24DB">
        <w:rPr>
          <w:rFonts w:ascii="Arial" w:hAnsi="Arial"/>
          <w:sz w:val="24"/>
          <w:lang w:val="fr-CA"/>
        </w:rPr>
        <w:t xml:space="preserve">nspection </w:t>
      </w:r>
      <w:r w:rsidR="008F01FC" w:rsidRPr="000C24DB">
        <w:rPr>
          <w:rFonts w:ascii="Arial" w:hAnsi="Arial"/>
          <w:sz w:val="24"/>
          <w:lang w:val="fr-CA"/>
        </w:rPr>
        <w:t>visuelle du sang, des composants sanguins et des produits de fractionnement.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C659EB" w:rsidRDefault="00E8364F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C659EB">
        <w:rPr>
          <w:rFonts w:ascii="Arial" w:hAnsi="Arial"/>
          <w:sz w:val="24"/>
          <w:lang w:val="fr-CA"/>
        </w:rPr>
        <w:t>I</w:t>
      </w:r>
      <w:r w:rsidR="00C659EB" w:rsidRPr="00C659EB">
        <w:rPr>
          <w:rFonts w:ascii="Arial" w:hAnsi="Arial"/>
          <w:sz w:val="24"/>
          <w:lang w:val="fr-CA"/>
        </w:rPr>
        <w:t>l est pratique d’organiser les unités de donneur par ordre chronologique, la plus vieille en avant.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C659EB" w:rsidRPr="00907AA7" w:rsidRDefault="00C659EB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I</w:t>
      </w:r>
      <w:r w:rsidRPr="00907AA7">
        <w:rPr>
          <w:rFonts w:ascii="Arial" w:hAnsi="Arial"/>
          <w:sz w:val="24"/>
          <w:lang w:val="fr-CA"/>
        </w:rPr>
        <w:t xml:space="preserve">nscrire </w:t>
      </w:r>
      <w:r w:rsidR="00B63743" w:rsidRPr="00907AA7">
        <w:rPr>
          <w:rFonts w:ascii="Arial" w:hAnsi="Arial"/>
          <w:sz w:val="24"/>
          <w:lang w:val="fr-CA"/>
        </w:rPr>
        <w:t xml:space="preserve">sur le formulaire de demande </w:t>
      </w:r>
      <w:r w:rsidRPr="00907AA7">
        <w:rPr>
          <w:rFonts w:ascii="Arial" w:hAnsi="Arial"/>
          <w:sz w:val="24"/>
          <w:lang w:val="fr-CA"/>
        </w:rPr>
        <w:t>le numéro de l’unité du donneur, incluant le code de contrôle et le code de l’établissement de collecte, la date de péremption ainsi que le groupe ABO et le facteur Rh, à partir de l’unité ou numériser l’information dans l’ordinateur à l’aide d’un lecteur de code</w:t>
      </w:r>
      <w:r>
        <w:rPr>
          <w:rFonts w:ascii="Arial" w:hAnsi="Arial"/>
          <w:sz w:val="24"/>
          <w:lang w:val="fr-CA"/>
        </w:rPr>
        <w:t xml:space="preserve"> à </w:t>
      </w:r>
      <w:r w:rsidRPr="00907AA7">
        <w:rPr>
          <w:rFonts w:ascii="Arial" w:hAnsi="Arial"/>
          <w:sz w:val="24"/>
          <w:lang w:val="fr-CA"/>
        </w:rPr>
        <w:t>barre</w:t>
      </w:r>
      <w:r>
        <w:rPr>
          <w:rFonts w:ascii="Arial" w:hAnsi="Arial"/>
          <w:sz w:val="24"/>
          <w:lang w:val="fr-CA"/>
        </w:rPr>
        <w:t>s</w:t>
      </w:r>
      <w:r w:rsidRPr="00907AA7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C659EB" w:rsidRPr="003A3135" w:rsidRDefault="00C659EB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Ôter deux collants de l’unité et en attacher un sur chacun des 2 tubes à essai. S’il n’y a pas de collant, copier le numéro complet du donneur sur le premier tube et les 4 derniers chiffres du numéro de donneur sur le second tube</w:t>
      </w:r>
      <w:r w:rsidRPr="003A3135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087B6C" w:rsidRDefault="00087B6C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087B6C">
        <w:rPr>
          <w:rFonts w:ascii="Arial" w:hAnsi="Arial"/>
          <w:sz w:val="24"/>
          <w:lang w:val="fr-CA"/>
        </w:rPr>
        <w:t xml:space="preserve">Détacher un </w:t>
      </w:r>
      <w:r w:rsidR="00E8364F" w:rsidRPr="00087B6C">
        <w:rPr>
          <w:rFonts w:ascii="Arial" w:hAnsi="Arial"/>
          <w:sz w:val="24"/>
          <w:lang w:val="fr-CA"/>
        </w:rPr>
        <w:t xml:space="preserve">segment </w:t>
      </w:r>
      <w:r w:rsidRPr="00087B6C">
        <w:rPr>
          <w:rFonts w:ascii="Arial" w:hAnsi="Arial"/>
          <w:sz w:val="24"/>
          <w:lang w:val="fr-CA"/>
        </w:rPr>
        <w:t>de l’unité et le placer dans le premier tube étiqueté</w:t>
      </w:r>
      <w:r w:rsidR="00E8364F" w:rsidRPr="00087B6C">
        <w:rPr>
          <w:rFonts w:ascii="Arial" w:hAnsi="Arial"/>
          <w:sz w:val="24"/>
          <w:lang w:val="fr-CA"/>
        </w:rPr>
        <w:t>. Place</w:t>
      </w:r>
      <w:r w:rsidRPr="00087B6C">
        <w:rPr>
          <w:rFonts w:ascii="Arial" w:hAnsi="Arial"/>
          <w:sz w:val="24"/>
          <w:lang w:val="fr-CA"/>
        </w:rPr>
        <w:t>r l’autre tube « servant à l’épreuve de compatibilité » dans le support</w:t>
      </w:r>
      <w:r w:rsidR="00E8364F" w:rsidRPr="00087B6C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087B6C" w:rsidRDefault="00E8364F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087B6C">
        <w:rPr>
          <w:rFonts w:ascii="Arial" w:hAnsi="Arial"/>
          <w:sz w:val="24"/>
          <w:lang w:val="fr-CA"/>
        </w:rPr>
        <w:t>R</w:t>
      </w:r>
      <w:r w:rsidR="00087B6C" w:rsidRPr="00087B6C">
        <w:rPr>
          <w:rFonts w:ascii="Arial" w:hAnsi="Arial"/>
          <w:sz w:val="24"/>
          <w:lang w:val="fr-CA"/>
        </w:rPr>
        <w:t xml:space="preserve">épéter les étapes </w:t>
      </w:r>
      <w:r w:rsidRPr="00087B6C">
        <w:rPr>
          <w:rFonts w:ascii="Arial" w:hAnsi="Arial"/>
          <w:sz w:val="24"/>
          <w:lang w:val="fr-CA"/>
        </w:rPr>
        <w:t xml:space="preserve">6.8 </w:t>
      </w:r>
      <w:r w:rsidR="00087B6C" w:rsidRPr="00087B6C">
        <w:rPr>
          <w:rFonts w:ascii="Arial" w:hAnsi="Arial"/>
          <w:sz w:val="24"/>
          <w:lang w:val="fr-CA"/>
        </w:rPr>
        <w:t xml:space="preserve">et </w:t>
      </w:r>
      <w:r w:rsidRPr="00087B6C">
        <w:rPr>
          <w:rFonts w:ascii="Arial" w:hAnsi="Arial"/>
          <w:sz w:val="24"/>
          <w:lang w:val="fr-CA"/>
        </w:rPr>
        <w:t xml:space="preserve">6.9 </w:t>
      </w:r>
      <w:r w:rsidR="00087B6C" w:rsidRPr="00087B6C">
        <w:rPr>
          <w:rFonts w:ascii="Arial" w:hAnsi="Arial"/>
          <w:sz w:val="24"/>
          <w:lang w:val="fr-CA"/>
        </w:rPr>
        <w:t>pour chaque unité faisant l’objet d’une épreuve de compatibilité</w:t>
      </w:r>
      <w:r w:rsidRPr="00087B6C">
        <w:rPr>
          <w:rFonts w:ascii="Arial" w:hAnsi="Arial"/>
          <w:sz w:val="24"/>
          <w:lang w:val="fr-CA"/>
        </w:rPr>
        <w:t>.</w:t>
      </w:r>
    </w:p>
    <w:p w:rsidR="00E8364F" w:rsidRPr="00087B6C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087B6C" w:rsidRDefault="00087B6C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087B6C">
        <w:rPr>
          <w:rFonts w:ascii="Arial" w:hAnsi="Arial"/>
          <w:sz w:val="24"/>
          <w:lang w:val="fr-CA"/>
        </w:rPr>
        <w:t xml:space="preserve">Remettre la ou les unités de donneur </w:t>
      </w:r>
      <w:r w:rsidR="00B200C6">
        <w:rPr>
          <w:rFonts w:ascii="Arial" w:hAnsi="Arial"/>
          <w:sz w:val="24"/>
          <w:lang w:val="fr-CA"/>
        </w:rPr>
        <w:t>au</w:t>
      </w:r>
      <w:r w:rsidR="00B200C6" w:rsidRPr="00087B6C">
        <w:rPr>
          <w:rFonts w:ascii="Arial" w:hAnsi="Arial"/>
          <w:sz w:val="24"/>
          <w:lang w:val="fr-CA"/>
        </w:rPr>
        <w:t xml:space="preserve"> </w:t>
      </w:r>
      <w:r w:rsidRPr="00087B6C">
        <w:rPr>
          <w:rFonts w:ascii="Arial" w:hAnsi="Arial"/>
          <w:sz w:val="24"/>
          <w:lang w:val="fr-CA"/>
        </w:rPr>
        <w:t>réfrigérateur d’entreposage des produits sanguins</w:t>
      </w:r>
      <w:r w:rsidR="00E8364F" w:rsidRPr="00087B6C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pStyle w:val="Header"/>
        <w:tabs>
          <w:tab w:val="clear" w:pos="4320"/>
          <w:tab w:val="clear" w:pos="8640"/>
        </w:tabs>
        <w:rPr>
          <w:rFonts w:ascii="Arial" w:hAnsi="Arial"/>
          <w:lang w:val="fr-CA"/>
        </w:rPr>
      </w:pPr>
    </w:p>
    <w:p w:rsidR="00E8364F" w:rsidRPr="00C659EB" w:rsidRDefault="00E8364F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C659EB">
        <w:rPr>
          <w:rFonts w:ascii="Arial" w:hAnsi="Arial"/>
          <w:sz w:val="24"/>
          <w:lang w:val="fr-CA"/>
        </w:rPr>
        <w:t>Pr</w:t>
      </w:r>
      <w:r w:rsidR="00087B6C" w:rsidRPr="00C659EB">
        <w:rPr>
          <w:rFonts w:ascii="Arial" w:hAnsi="Arial"/>
          <w:sz w:val="24"/>
          <w:lang w:val="fr-CA"/>
        </w:rPr>
        <w:t xml:space="preserve">éparer une suspension à </w:t>
      </w:r>
      <w:r w:rsidRPr="00C659EB">
        <w:rPr>
          <w:rFonts w:ascii="Arial" w:hAnsi="Arial"/>
          <w:sz w:val="24"/>
          <w:lang w:val="fr-CA"/>
        </w:rPr>
        <w:t>3</w:t>
      </w:r>
      <w:r w:rsidR="00087B6C" w:rsidRPr="00C659EB">
        <w:rPr>
          <w:rFonts w:ascii="Arial" w:hAnsi="Arial"/>
          <w:sz w:val="24"/>
          <w:lang w:val="fr-CA"/>
        </w:rPr>
        <w:t xml:space="preserve"> </w:t>
      </w:r>
      <w:r w:rsidRPr="00C659EB">
        <w:rPr>
          <w:rFonts w:ascii="Arial" w:hAnsi="Arial"/>
          <w:sz w:val="24"/>
          <w:lang w:val="fr-CA"/>
        </w:rPr>
        <w:t xml:space="preserve">% </w:t>
      </w:r>
      <w:r w:rsidR="00087B6C" w:rsidRPr="00C659EB">
        <w:rPr>
          <w:rFonts w:ascii="Arial" w:hAnsi="Arial"/>
          <w:sz w:val="24"/>
          <w:lang w:val="fr-CA"/>
        </w:rPr>
        <w:t>de chaque segment d’unité</w:t>
      </w:r>
      <w:r w:rsidRPr="00C659EB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720"/>
        <w:rPr>
          <w:rFonts w:ascii="Arial" w:hAnsi="Arial"/>
          <w:lang w:val="fr-CA"/>
        </w:rPr>
      </w:pPr>
    </w:p>
    <w:p w:rsidR="00E8364F" w:rsidRPr="00E8364F" w:rsidRDefault="00F5390F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 </w:t>
      </w:r>
      <w:r w:rsidR="00087B6C">
        <w:rPr>
          <w:rFonts w:ascii="Arial" w:hAnsi="Arial"/>
          <w:sz w:val="24"/>
          <w:lang w:val="fr-CA"/>
        </w:rPr>
        <w:t xml:space="preserve">Récolter des cellules du segment à l’aide du </w:t>
      </w:r>
      <w:r w:rsidR="00B200C6">
        <w:rPr>
          <w:rFonts w:ascii="Arial" w:hAnsi="Arial"/>
          <w:sz w:val="24"/>
          <w:lang w:val="fr-CA"/>
        </w:rPr>
        <w:t>dispositif à segment.</w:t>
      </w:r>
      <w:r w:rsidR="00E66A3C">
        <w:rPr>
          <w:rFonts w:ascii="Arial" w:hAnsi="Arial"/>
          <w:sz w:val="24"/>
          <w:lang w:val="fr-CA"/>
        </w:rPr>
        <w:t xml:space="preserve"> Voir les Remarques 8.1 et 8.2.</w:t>
      </w:r>
    </w:p>
    <w:p w:rsidR="00E8364F" w:rsidRPr="00C659EB" w:rsidRDefault="00E8364F">
      <w:pPr>
        <w:ind w:left="1440"/>
        <w:rPr>
          <w:rFonts w:ascii="Arial" w:hAnsi="Arial"/>
          <w:lang w:val="fr-CA"/>
        </w:rPr>
      </w:pPr>
    </w:p>
    <w:p w:rsidR="00E8364F" w:rsidRPr="00C659EB" w:rsidRDefault="00E8364F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C659EB">
        <w:rPr>
          <w:rFonts w:ascii="Arial" w:hAnsi="Arial"/>
          <w:sz w:val="24"/>
          <w:lang w:val="fr-CA"/>
        </w:rPr>
        <w:t>A</w:t>
      </w:r>
      <w:r w:rsidR="00C659EB" w:rsidRPr="00C659EB">
        <w:rPr>
          <w:rFonts w:ascii="Arial" w:hAnsi="Arial"/>
          <w:sz w:val="24"/>
          <w:lang w:val="fr-CA"/>
        </w:rPr>
        <w:t xml:space="preserve">jouter de </w:t>
      </w:r>
      <w:r w:rsidRPr="00C659EB">
        <w:rPr>
          <w:rFonts w:ascii="Arial" w:hAnsi="Arial"/>
          <w:sz w:val="24"/>
          <w:lang w:val="fr-CA"/>
        </w:rPr>
        <w:t>0</w:t>
      </w:r>
      <w:r w:rsidR="00C659EB" w:rsidRPr="00C659EB">
        <w:rPr>
          <w:rFonts w:ascii="Arial" w:hAnsi="Arial"/>
          <w:sz w:val="24"/>
          <w:lang w:val="fr-CA"/>
        </w:rPr>
        <w:t>,</w:t>
      </w:r>
      <w:r w:rsidRPr="00C659EB">
        <w:rPr>
          <w:rFonts w:ascii="Arial" w:hAnsi="Arial"/>
          <w:sz w:val="24"/>
          <w:lang w:val="fr-CA"/>
        </w:rPr>
        <w:t xml:space="preserve">5 </w:t>
      </w:r>
      <w:r w:rsidR="00C659EB" w:rsidRPr="00C659EB">
        <w:rPr>
          <w:rFonts w:ascii="Arial" w:hAnsi="Arial"/>
          <w:sz w:val="24"/>
          <w:lang w:val="fr-CA"/>
        </w:rPr>
        <w:t xml:space="preserve">à </w:t>
      </w:r>
      <w:r w:rsidRPr="00C659EB">
        <w:rPr>
          <w:rFonts w:ascii="Arial" w:hAnsi="Arial"/>
          <w:sz w:val="24"/>
          <w:lang w:val="fr-CA"/>
        </w:rPr>
        <w:t>1</w:t>
      </w:r>
      <w:r w:rsidR="00C659EB" w:rsidRPr="00C659EB">
        <w:rPr>
          <w:rFonts w:ascii="Arial" w:hAnsi="Arial"/>
          <w:sz w:val="24"/>
          <w:lang w:val="fr-CA"/>
        </w:rPr>
        <w:t>,</w:t>
      </w:r>
      <w:r w:rsidRPr="00C659EB">
        <w:rPr>
          <w:rFonts w:ascii="Arial" w:hAnsi="Arial"/>
          <w:sz w:val="24"/>
          <w:lang w:val="fr-CA"/>
        </w:rPr>
        <w:t>0</w:t>
      </w:r>
      <w:r w:rsidR="00E66A3C">
        <w:rPr>
          <w:rFonts w:ascii="Arial" w:hAnsi="Arial"/>
          <w:sz w:val="24"/>
          <w:lang w:val="fr-CA"/>
        </w:rPr>
        <w:t> </w:t>
      </w:r>
      <w:r w:rsidRPr="00C659EB">
        <w:rPr>
          <w:rFonts w:ascii="Arial" w:hAnsi="Arial"/>
          <w:sz w:val="24"/>
          <w:lang w:val="fr-CA"/>
        </w:rPr>
        <w:t xml:space="preserve">mL </w:t>
      </w:r>
      <w:r w:rsidR="00C659EB" w:rsidRPr="00C659EB">
        <w:rPr>
          <w:rFonts w:ascii="Arial" w:hAnsi="Arial"/>
          <w:sz w:val="24"/>
          <w:lang w:val="fr-CA"/>
        </w:rPr>
        <w:t>de solution saline pour</w:t>
      </w:r>
      <w:r w:rsidR="00662F18">
        <w:rPr>
          <w:rFonts w:ascii="Arial" w:hAnsi="Arial"/>
          <w:sz w:val="24"/>
          <w:lang w:val="fr-CA"/>
        </w:rPr>
        <w:t xml:space="preserve"> les </w:t>
      </w:r>
      <w:r w:rsidR="00C659EB" w:rsidRPr="00C659EB">
        <w:rPr>
          <w:rFonts w:ascii="Arial" w:hAnsi="Arial"/>
          <w:sz w:val="24"/>
          <w:lang w:val="fr-CA"/>
        </w:rPr>
        <w:t xml:space="preserve"> remettre en suspension à </w:t>
      </w:r>
      <w:r w:rsidRPr="00C659EB">
        <w:rPr>
          <w:rFonts w:ascii="Arial" w:hAnsi="Arial"/>
          <w:sz w:val="24"/>
          <w:lang w:val="fr-CA"/>
        </w:rPr>
        <w:t>3</w:t>
      </w:r>
      <w:r w:rsidR="00C659EB" w:rsidRPr="00C659EB">
        <w:rPr>
          <w:rFonts w:ascii="Arial" w:hAnsi="Arial"/>
          <w:sz w:val="24"/>
          <w:lang w:val="fr-CA"/>
        </w:rPr>
        <w:t> </w:t>
      </w:r>
      <w:r w:rsidRPr="00C659EB">
        <w:rPr>
          <w:rFonts w:ascii="Arial" w:hAnsi="Arial"/>
          <w:sz w:val="24"/>
          <w:lang w:val="fr-CA"/>
        </w:rPr>
        <w:t>%.</w:t>
      </w:r>
    </w:p>
    <w:p w:rsidR="00E8364F" w:rsidRPr="00E8364F" w:rsidRDefault="00E8364F">
      <w:pPr>
        <w:ind w:left="1440"/>
        <w:rPr>
          <w:rFonts w:ascii="Arial" w:hAnsi="Arial"/>
          <w:lang w:val="fr-CA"/>
        </w:rPr>
      </w:pPr>
    </w:p>
    <w:p w:rsidR="00C659EB" w:rsidRPr="009D0594" w:rsidRDefault="00E8364F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E8364F">
        <w:rPr>
          <w:rFonts w:ascii="Arial" w:hAnsi="Arial"/>
          <w:sz w:val="24"/>
          <w:lang w:val="fr-CA"/>
        </w:rPr>
        <w:t xml:space="preserve"> </w:t>
      </w:r>
      <w:r w:rsidR="00C659EB" w:rsidRPr="009D0594">
        <w:rPr>
          <w:rFonts w:ascii="Arial" w:hAnsi="Arial"/>
          <w:sz w:val="24"/>
          <w:lang w:val="fr-CA"/>
        </w:rPr>
        <w:t xml:space="preserve">Comparer la suspension finale à une suspension cellulaire commerciale à 3 % et ajuster au besoin la concentration de la suspension. </w:t>
      </w:r>
    </w:p>
    <w:p w:rsidR="00E8364F" w:rsidRPr="00E8364F" w:rsidRDefault="00E8364F">
      <w:pPr>
        <w:ind w:left="1440"/>
        <w:rPr>
          <w:rFonts w:ascii="Arial" w:hAnsi="Arial"/>
          <w:lang w:val="fr-CA"/>
        </w:rPr>
      </w:pPr>
    </w:p>
    <w:p w:rsidR="00E8364F" w:rsidRPr="00E8364F" w:rsidRDefault="00C659EB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9D0594">
        <w:rPr>
          <w:rFonts w:ascii="Arial" w:hAnsi="Arial"/>
          <w:sz w:val="24"/>
          <w:lang w:val="fr-CA"/>
        </w:rPr>
        <w:t>Placer les tubes à essai dans le support à côté des tubes étiquetés de la même façon et dans le même ordre, conformément à ce qui est inscrit sur l</w:t>
      </w:r>
      <w:r>
        <w:rPr>
          <w:rFonts w:ascii="Arial" w:hAnsi="Arial"/>
          <w:sz w:val="24"/>
          <w:lang w:val="fr-CA"/>
        </w:rPr>
        <w:t>e formulaire d</w:t>
      </w:r>
      <w:r w:rsidR="00F5390F">
        <w:rPr>
          <w:rFonts w:ascii="Arial" w:hAnsi="Arial"/>
          <w:sz w:val="24"/>
          <w:lang w:val="fr-CA"/>
        </w:rPr>
        <w:t>e demande</w:t>
      </w:r>
      <w:r w:rsidR="00B63743">
        <w:rPr>
          <w:rFonts w:ascii="Arial" w:hAnsi="Arial"/>
          <w:sz w:val="24"/>
          <w:lang w:val="fr-CA"/>
        </w:rPr>
        <w:t xml:space="preserve"> ou à l’écran de l’ordinateur</w:t>
      </w:r>
      <w:r>
        <w:rPr>
          <w:rFonts w:ascii="Arial" w:hAnsi="Arial"/>
          <w:sz w:val="24"/>
          <w:lang w:val="fr-CA"/>
        </w:rPr>
        <w:t>.</w:t>
      </w:r>
      <w:r>
        <w:rPr>
          <w:rFonts w:ascii="Arial" w:hAnsi="Arial"/>
          <w:sz w:val="24"/>
          <w:lang w:val="fr-CA"/>
        </w:rPr>
        <w:br/>
      </w:r>
    </w:p>
    <w:p w:rsidR="00C659EB" w:rsidRPr="003A3135" w:rsidRDefault="00C659EB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C103F9">
        <w:rPr>
          <w:rFonts w:ascii="Arial" w:hAnsi="Arial"/>
          <w:sz w:val="24"/>
          <w:lang w:val="fr-CA"/>
        </w:rPr>
        <w:t xml:space="preserve">Comparer le nom et le </w:t>
      </w:r>
      <w:r w:rsidR="00B200C6">
        <w:rPr>
          <w:rFonts w:ascii="Arial" w:hAnsi="Arial"/>
          <w:sz w:val="24"/>
          <w:lang w:val="fr-CA"/>
        </w:rPr>
        <w:t xml:space="preserve">ou les </w:t>
      </w:r>
      <w:r w:rsidRPr="00C103F9">
        <w:rPr>
          <w:rFonts w:ascii="Arial" w:hAnsi="Arial"/>
          <w:sz w:val="24"/>
          <w:lang w:val="fr-CA"/>
        </w:rPr>
        <w:t>numéro</w:t>
      </w:r>
      <w:r w:rsidR="00B200C6">
        <w:rPr>
          <w:rFonts w:ascii="Arial" w:hAnsi="Arial"/>
          <w:sz w:val="24"/>
          <w:lang w:val="fr-CA"/>
        </w:rPr>
        <w:t>s</w:t>
      </w:r>
      <w:r w:rsidRPr="00C103F9">
        <w:rPr>
          <w:rFonts w:ascii="Arial" w:hAnsi="Arial"/>
          <w:sz w:val="24"/>
          <w:lang w:val="fr-CA"/>
        </w:rPr>
        <w:t xml:space="preserve"> d’identification du patient sur </w:t>
      </w:r>
      <w:r w:rsidR="00B200C6">
        <w:rPr>
          <w:rFonts w:ascii="Arial" w:hAnsi="Arial"/>
          <w:sz w:val="24"/>
          <w:lang w:val="fr-CA"/>
        </w:rPr>
        <w:t>l’échantillon</w:t>
      </w:r>
      <w:r w:rsidRPr="00C103F9">
        <w:rPr>
          <w:rFonts w:ascii="Arial" w:hAnsi="Arial"/>
          <w:sz w:val="24"/>
          <w:lang w:val="fr-CA"/>
        </w:rPr>
        <w:t xml:space="preserve"> avec les renseignements correspondants du formulaire de demande ou à l’écran de l’ordinateur.</w:t>
      </w:r>
      <w:r w:rsidRPr="00C103F9">
        <w:rPr>
          <w:rFonts w:ascii="Arial" w:hAnsi="Arial"/>
          <w:sz w:val="24"/>
          <w:highlight w:val="yellow"/>
          <w:lang w:val="fr-CA"/>
        </w:rPr>
        <w:t xml:space="preserve"> </w:t>
      </w:r>
    </w:p>
    <w:p w:rsidR="00E8364F" w:rsidRPr="00E8364F" w:rsidRDefault="00E8364F">
      <w:pPr>
        <w:rPr>
          <w:rFonts w:ascii="Arial" w:hAnsi="Arial"/>
          <w:sz w:val="24"/>
          <w:lang w:val="fr-CA"/>
        </w:rPr>
      </w:pPr>
    </w:p>
    <w:p w:rsidR="00E8364F" w:rsidRPr="00E8364F" w:rsidRDefault="00C659EB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DB7755">
        <w:rPr>
          <w:rFonts w:ascii="Arial" w:hAnsi="Arial"/>
          <w:sz w:val="24"/>
          <w:lang w:val="fr-CA"/>
        </w:rPr>
        <w:t xml:space="preserve">À chaque tube étiqueté à tester, </w:t>
      </w:r>
      <w:r w:rsidR="00662F18">
        <w:rPr>
          <w:rFonts w:ascii="Arial" w:hAnsi="Arial"/>
          <w:sz w:val="24"/>
          <w:lang w:val="fr-CA"/>
        </w:rPr>
        <w:t>ajouter </w:t>
      </w:r>
      <w:r w:rsidRPr="00DB7755">
        <w:rPr>
          <w:rFonts w:ascii="Arial" w:hAnsi="Arial"/>
          <w:sz w:val="24"/>
          <w:lang w:val="fr-CA"/>
        </w:rPr>
        <w:t>: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A63B3D" w:rsidRDefault="00F5390F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q</w:t>
      </w:r>
      <w:r w:rsidR="00C659EB" w:rsidRPr="00A63B3D">
        <w:rPr>
          <w:rFonts w:ascii="Arial" w:hAnsi="Arial"/>
          <w:sz w:val="24"/>
          <w:lang w:val="fr-CA"/>
        </w:rPr>
        <w:t>uatre (</w:t>
      </w:r>
      <w:r w:rsidR="00E8364F" w:rsidRPr="00A63B3D">
        <w:rPr>
          <w:rFonts w:ascii="Arial" w:hAnsi="Arial"/>
          <w:sz w:val="24"/>
          <w:lang w:val="fr-CA"/>
        </w:rPr>
        <w:t>4</w:t>
      </w:r>
      <w:r w:rsidR="00C659EB" w:rsidRPr="00A63B3D">
        <w:rPr>
          <w:rFonts w:ascii="Arial" w:hAnsi="Arial"/>
          <w:sz w:val="24"/>
          <w:lang w:val="fr-CA"/>
        </w:rPr>
        <w:t xml:space="preserve">) gouttes de </w:t>
      </w:r>
      <w:r w:rsidR="00E8364F" w:rsidRPr="00A63B3D">
        <w:rPr>
          <w:rFonts w:ascii="Arial" w:hAnsi="Arial"/>
          <w:sz w:val="24"/>
          <w:lang w:val="fr-CA"/>
        </w:rPr>
        <w:t>plasma (</w:t>
      </w:r>
      <w:r w:rsidR="00C659EB" w:rsidRPr="00A63B3D">
        <w:rPr>
          <w:rFonts w:ascii="Arial" w:hAnsi="Arial"/>
          <w:sz w:val="24"/>
          <w:lang w:val="fr-CA"/>
        </w:rPr>
        <w:t xml:space="preserve">2 gouttes si on se sert de </w:t>
      </w:r>
      <w:r w:rsidR="00A63B3D" w:rsidRPr="00A63B3D">
        <w:rPr>
          <w:rFonts w:ascii="Arial" w:hAnsi="Arial"/>
          <w:sz w:val="24"/>
          <w:lang w:val="fr-CA"/>
        </w:rPr>
        <w:t>solution de potentialisation)</w:t>
      </w:r>
    </w:p>
    <w:p w:rsidR="00E8364F" w:rsidRPr="00A63B3D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A63B3D" w:rsidRDefault="00E8364F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A63B3D">
        <w:rPr>
          <w:rFonts w:ascii="Arial" w:hAnsi="Arial"/>
          <w:sz w:val="24"/>
          <w:lang w:val="fr-CA"/>
        </w:rPr>
        <w:t xml:space="preserve"> </w:t>
      </w:r>
      <w:r w:rsidR="00F5390F">
        <w:rPr>
          <w:rFonts w:ascii="Arial" w:hAnsi="Arial"/>
          <w:sz w:val="24"/>
          <w:lang w:val="fr-CA"/>
        </w:rPr>
        <w:t>u</w:t>
      </w:r>
      <w:r w:rsidR="00A63B3D" w:rsidRPr="00A63B3D">
        <w:rPr>
          <w:rFonts w:ascii="Arial" w:hAnsi="Arial"/>
          <w:sz w:val="24"/>
          <w:lang w:val="fr-CA"/>
        </w:rPr>
        <w:t>ne (1) goutte de la suspension cellulaire 3 % de l’unité de donneur appropriée</w:t>
      </w:r>
      <w:r w:rsidRPr="00A63B3D">
        <w:rPr>
          <w:rFonts w:ascii="Arial" w:hAnsi="Arial"/>
          <w:sz w:val="24"/>
          <w:lang w:val="fr-CA"/>
        </w:rPr>
        <w:t>.</w:t>
      </w:r>
    </w:p>
    <w:p w:rsidR="00E8364F" w:rsidRPr="00A63B3D" w:rsidRDefault="00E8364F">
      <w:pPr>
        <w:rPr>
          <w:rFonts w:ascii="Arial" w:hAnsi="Arial"/>
          <w:sz w:val="24"/>
          <w:lang w:val="fr-CA"/>
        </w:rPr>
      </w:pPr>
    </w:p>
    <w:p w:rsidR="00E8364F" w:rsidRPr="00A63B3D" w:rsidRDefault="00F5390F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 </w:t>
      </w:r>
      <w:r w:rsidR="003F2F08">
        <w:rPr>
          <w:rFonts w:ascii="Arial" w:hAnsi="Arial"/>
          <w:sz w:val="24"/>
          <w:lang w:val="fr-CA"/>
        </w:rPr>
        <w:t>deux (</w:t>
      </w:r>
      <w:r w:rsidR="00A63B3D" w:rsidRPr="00A63B3D">
        <w:rPr>
          <w:rFonts w:ascii="Arial" w:hAnsi="Arial"/>
          <w:sz w:val="24"/>
          <w:lang w:val="fr-CA"/>
        </w:rPr>
        <w:t>2</w:t>
      </w:r>
      <w:r w:rsidR="003F2F08">
        <w:rPr>
          <w:rFonts w:ascii="Arial" w:hAnsi="Arial"/>
          <w:sz w:val="24"/>
          <w:lang w:val="fr-CA"/>
        </w:rPr>
        <w:t>)</w:t>
      </w:r>
      <w:r w:rsidR="00A63B3D" w:rsidRPr="00A63B3D">
        <w:rPr>
          <w:rFonts w:ascii="Arial" w:hAnsi="Arial"/>
          <w:sz w:val="24"/>
          <w:lang w:val="fr-CA"/>
        </w:rPr>
        <w:t xml:space="preserve"> gouttes de solution de potentialisation dans chaque tube, si l’on a recours à ce produit</w:t>
      </w:r>
      <w:r w:rsidR="00A63B3D" w:rsidRPr="00A63B3D">
        <w:rPr>
          <w:rFonts w:ascii="Arial" w:hAnsi="Arial"/>
          <w:sz w:val="24"/>
          <w:lang w:val="fr-CA"/>
        </w:rPr>
        <w:br/>
      </w:r>
      <w:r>
        <w:rPr>
          <w:rFonts w:ascii="Arial" w:hAnsi="Arial"/>
          <w:sz w:val="24"/>
          <w:lang w:val="fr-CA"/>
        </w:rPr>
        <w:t xml:space="preserve"> </w:t>
      </w:r>
    </w:p>
    <w:p w:rsidR="00E8364F" w:rsidRPr="00A63B3D" w:rsidRDefault="00E62919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A63B3D">
        <w:rPr>
          <w:rFonts w:ascii="Arial" w:hAnsi="Arial"/>
          <w:sz w:val="24"/>
          <w:lang w:val="fr-CA"/>
        </w:rPr>
        <w:t xml:space="preserve">Tenir la pipette ou le compte-gouttes à la </w:t>
      </w:r>
      <w:r w:rsidRPr="00E66A3C">
        <w:rPr>
          <w:rFonts w:ascii="Arial" w:hAnsi="Arial"/>
          <w:sz w:val="24"/>
          <w:lang w:val="fr-CA"/>
        </w:rPr>
        <w:t>verticale</w:t>
      </w:r>
      <w:r w:rsidRPr="00A63B3D">
        <w:rPr>
          <w:rFonts w:ascii="Arial" w:hAnsi="Arial"/>
          <w:b/>
          <w:sz w:val="24"/>
          <w:lang w:val="fr-CA"/>
        </w:rPr>
        <w:t xml:space="preserve"> </w:t>
      </w:r>
      <w:r w:rsidRPr="00A63B3D">
        <w:rPr>
          <w:rFonts w:ascii="Arial" w:hAnsi="Arial"/>
          <w:sz w:val="24"/>
          <w:lang w:val="fr-CA"/>
        </w:rPr>
        <w:t>lors de l'ajout du plasma ou d</w:t>
      </w:r>
      <w:r w:rsidR="00B63743">
        <w:rPr>
          <w:rFonts w:ascii="Arial" w:hAnsi="Arial"/>
          <w:sz w:val="24"/>
          <w:lang w:val="fr-CA"/>
        </w:rPr>
        <w:t>u</w:t>
      </w:r>
      <w:r w:rsidRPr="00A63B3D">
        <w:rPr>
          <w:rFonts w:ascii="Arial" w:hAnsi="Arial"/>
          <w:sz w:val="24"/>
          <w:lang w:val="fr-CA"/>
        </w:rPr>
        <w:t xml:space="preserve"> réactif.</w:t>
      </w:r>
      <w:r w:rsidR="00F5390F">
        <w:rPr>
          <w:rFonts w:ascii="Arial" w:hAnsi="Arial"/>
          <w:sz w:val="24"/>
          <w:lang w:val="fr-CA"/>
        </w:rPr>
        <w:t xml:space="preserve"> </w:t>
      </w:r>
      <w:r w:rsidR="00E8364F" w:rsidRPr="00A63B3D">
        <w:rPr>
          <w:rFonts w:ascii="Arial" w:hAnsi="Arial"/>
          <w:sz w:val="24"/>
          <w:lang w:val="fr-CA"/>
        </w:rPr>
        <w:t xml:space="preserve"> 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A63B3D" w:rsidRDefault="005D1C27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A63B3D">
        <w:rPr>
          <w:rFonts w:ascii="Arial" w:hAnsi="Arial"/>
          <w:sz w:val="24"/>
          <w:lang w:val="fr-CA"/>
        </w:rPr>
        <w:t>Mélanger chaque</w:t>
      </w:r>
      <w:r w:rsidR="00E8364F" w:rsidRPr="00A63B3D">
        <w:rPr>
          <w:rFonts w:ascii="Arial" w:hAnsi="Arial"/>
          <w:sz w:val="24"/>
          <w:lang w:val="fr-CA"/>
        </w:rPr>
        <w:t xml:space="preserve"> tube. Compare</w:t>
      </w:r>
      <w:r w:rsidRPr="00A63B3D">
        <w:rPr>
          <w:rFonts w:ascii="Arial" w:hAnsi="Arial"/>
          <w:sz w:val="24"/>
          <w:lang w:val="fr-CA"/>
        </w:rPr>
        <w:t>r l’aspect et le volume de chaque tube</w:t>
      </w:r>
      <w:r w:rsidR="00E8364F" w:rsidRPr="00A63B3D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rPr>
          <w:rFonts w:ascii="Arial" w:hAnsi="Arial"/>
          <w:sz w:val="24"/>
          <w:lang w:val="fr-CA"/>
        </w:rPr>
      </w:pPr>
    </w:p>
    <w:p w:rsidR="00E8364F" w:rsidRPr="00A63B3D" w:rsidRDefault="00A63B3D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A63B3D">
        <w:rPr>
          <w:rFonts w:ascii="Arial" w:hAnsi="Arial"/>
          <w:sz w:val="24"/>
          <w:lang w:val="fr-CA"/>
        </w:rPr>
        <w:t>Incuber à 37 </w:t>
      </w:r>
      <w:r w:rsidRPr="00A63B3D">
        <w:rPr>
          <w:rFonts w:ascii="Arial" w:hAnsi="Arial"/>
          <w:sz w:val="24"/>
          <w:vertAlign w:val="superscript"/>
          <w:lang w:val="fr-CA"/>
        </w:rPr>
        <w:t>o</w:t>
      </w:r>
      <w:r w:rsidRPr="00A63B3D">
        <w:rPr>
          <w:rFonts w:ascii="Arial" w:hAnsi="Arial"/>
          <w:sz w:val="24"/>
          <w:lang w:val="fr-CA"/>
        </w:rPr>
        <w:t>C pendant</w:t>
      </w:r>
      <w:r w:rsidR="00E8364F" w:rsidRPr="00A63B3D">
        <w:rPr>
          <w:rFonts w:ascii="Arial" w:hAnsi="Arial"/>
          <w:sz w:val="24"/>
          <w:lang w:val="fr-CA"/>
        </w:rPr>
        <w:t xml:space="preserve"> 30</w:t>
      </w:r>
      <w:r w:rsidRPr="00A63B3D">
        <w:rPr>
          <w:rFonts w:ascii="Arial" w:hAnsi="Arial"/>
          <w:sz w:val="24"/>
          <w:lang w:val="fr-CA"/>
        </w:rPr>
        <w:t xml:space="preserve"> à </w:t>
      </w:r>
      <w:r w:rsidR="00E8364F" w:rsidRPr="00A63B3D">
        <w:rPr>
          <w:rFonts w:ascii="Arial" w:hAnsi="Arial"/>
          <w:sz w:val="24"/>
          <w:lang w:val="fr-CA"/>
        </w:rPr>
        <w:t>60 minutes (</w:t>
      </w:r>
      <w:r>
        <w:rPr>
          <w:rFonts w:ascii="Arial" w:hAnsi="Arial"/>
          <w:sz w:val="24"/>
          <w:lang w:val="fr-CA"/>
        </w:rPr>
        <w:t>I</w:t>
      </w:r>
      <w:r w:rsidRPr="00A63B3D">
        <w:rPr>
          <w:rFonts w:ascii="Arial" w:hAnsi="Arial"/>
          <w:sz w:val="24"/>
          <w:lang w:val="fr-CA"/>
        </w:rPr>
        <w:t>ncuber à 37 </w:t>
      </w:r>
      <w:r w:rsidRPr="00A63B3D">
        <w:rPr>
          <w:rFonts w:ascii="Arial" w:hAnsi="Arial"/>
          <w:sz w:val="24"/>
          <w:vertAlign w:val="superscript"/>
          <w:lang w:val="fr-CA"/>
        </w:rPr>
        <w:t>o</w:t>
      </w:r>
      <w:r w:rsidRPr="00A63B3D">
        <w:rPr>
          <w:rFonts w:ascii="Arial" w:hAnsi="Arial"/>
          <w:sz w:val="24"/>
          <w:lang w:val="fr-CA"/>
        </w:rPr>
        <w:t>C pendant</w:t>
      </w:r>
      <w:r w:rsidR="00E8364F" w:rsidRPr="00A63B3D">
        <w:rPr>
          <w:rFonts w:ascii="Arial" w:hAnsi="Arial"/>
          <w:sz w:val="24"/>
          <w:lang w:val="fr-CA"/>
        </w:rPr>
        <w:t xml:space="preserve"> 15 minutes </w:t>
      </w:r>
      <w:r w:rsidRPr="00A63B3D">
        <w:rPr>
          <w:rFonts w:ascii="Arial" w:hAnsi="Arial"/>
          <w:sz w:val="24"/>
          <w:lang w:val="fr-CA"/>
        </w:rPr>
        <w:t>si l’on se sert d’une solution de potentialisation</w:t>
      </w:r>
      <w:r w:rsidR="00E8364F" w:rsidRPr="00A63B3D">
        <w:rPr>
          <w:rFonts w:ascii="Arial" w:hAnsi="Arial"/>
          <w:sz w:val="24"/>
          <w:lang w:val="fr-CA"/>
        </w:rPr>
        <w:t>.)</w:t>
      </w:r>
    </w:p>
    <w:p w:rsidR="00E8364F" w:rsidRPr="00E8364F" w:rsidRDefault="00E8364F">
      <w:pPr>
        <w:rPr>
          <w:rFonts w:ascii="Arial" w:hAnsi="Arial"/>
          <w:sz w:val="24"/>
          <w:lang w:val="fr-CA"/>
        </w:rPr>
      </w:pPr>
    </w:p>
    <w:p w:rsidR="00E8364F" w:rsidRPr="00A63B3D" w:rsidRDefault="00E62919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A63B3D">
        <w:rPr>
          <w:rFonts w:ascii="Arial" w:hAnsi="Arial"/>
          <w:sz w:val="24"/>
          <w:lang w:val="fr-CA"/>
        </w:rPr>
        <w:t xml:space="preserve">Vérifier et inscrire la température du bain-marie ou du bloc chauffant sur le formulaire </w:t>
      </w:r>
      <w:r w:rsidR="003F2F08">
        <w:rPr>
          <w:rFonts w:ascii="Arial" w:hAnsi="Arial"/>
          <w:sz w:val="24"/>
          <w:lang w:val="fr-CA"/>
        </w:rPr>
        <w:t>CAQ</w:t>
      </w:r>
      <w:r w:rsidRPr="00A63B3D">
        <w:rPr>
          <w:rFonts w:ascii="Arial" w:hAnsi="Arial"/>
          <w:sz w:val="24"/>
          <w:lang w:val="fr-CA"/>
        </w:rPr>
        <w:t>.006</w:t>
      </w:r>
      <w:r w:rsidR="00B63743">
        <w:rPr>
          <w:rFonts w:ascii="Arial" w:hAnsi="Arial"/>
          <w:sz w:val="24"/>
          <w:lang w:val="fr-CA"/>
        </w:rPr>
        <w:t>F</w:t>
      </w:r>
      <w:r w:rsidRPr="00A63B3D">
        <w:rPr>
          <w:rFonts w:ascii="Arial" w:hAnsi="Arial"/>
          <w:sz w:val="24"/>
          <w:lang w:val="fr-CA"/>
        </w:rPr>
        <w:t>.</w:t>
      </w:r>
      <w:r w:rsidR="00E66A3C">
        <w:rPr>
          <w:rFonts w:ascii="Arial" w:hAnsi="Arial"/>
          <w:sz w:val="24"/>
          <w:lang w:val="fr-CA"/>
        </w:rPr>
        <w:br/>
      </w:r>
      <w:r w:rsidR="00E66A3C">
        <w:rPr>
          <w:rFonts w:ascii="Arial" w:hAnsi="Arial"/>
          <w:sz w:val="24"/>
          <w:lang w:val="fr-CA"/>
        </w:rPr>
        <w:br/>
      </w:r>
      <w:r w:rsidR="00662F18">
        <w:rPr>
          <w:rFonts w:ascii="Arial" w:hAnsi="Arial"/>
          <w:sz w:val="24"/>
          <w:lang w:val="fr-CA"/>
        </w:rPr>
        <w:t>N.B. </w:t>
      </w:r>
      <w:r w:rsidR="00E66A3C">
        <w:rPr>
          <w:rFonts w:ascii="Arial" w:hAnsi="Arial"/>
          <w:sz w:val="24"/>
          <w:lang w:val="fr-CA"/>
        </w:rPr>
        <w:t>Si on se sert de PEG, aller directement à l’étape 6.20.</w:t>
      </w:r>
    </w:p>
    <w:p w:rsid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A63B3D" w:rsidRDefault="00E8364F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A63B3D">
        <w:rPr>
          <w:rFonts w:ascii="Arial" w:hAnsi="Arial"/>
          <w:sz w:val="24"/>
          <w:lang w:val="fr-CA"/>
        </w:rPr>
        <w:t>A</w:t>
      </w:r>
      <w:r w:rsidR="00A63B3D" w:rsidRPr="00A63B3D">
        <w:rPr>
          <w:rFonts w:ascii="Arial" w:hAnsi="Arial"/>
          <w:sz w:val="24"/>
          <w:lang w:val="fr-CA"/>
        </w:rPr>
        <w:t xml:space="preserve">près l’incubation </w:t>
      </w:r>
      <w:r w:rsidRPr="00A63B3D">
        <w:rPr>
          <w:rFonts w:ascii="Arial" w:hAnsi="Arial"/>
          <w:sz w:val="24"/>
          <w:lang w:val="fr-CA"/>
        </w:rPr>
        <w:t>: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857A45" w:rsidRDefault="00857A45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Retirer les tubes du bain-marie ou du bloc chauffant.</w:t>
      </w:r>
      <w:r>
        <w:rPr>
          <w:rFonts w:ascii="Arial" w:hAnsi="Arial"/>
          <w:sz w:val="24"/>
          <w:lang w:val="fr-CA"/>
        </w:rPr>
        <w:br/>
      </w:r>
    </w:p>
    <w:p w:rsidR="00857A45" w:rsidRDefault="00E8364F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E8364F">
        <w:rPr>
          <w:rFonts w:ascii="Arial" w:hAnsi="Arial"/>
          <w:sz w:val="24"/>
          <w:lang w:val="fr-CA"/>
        </w:rPr>
        <w:t xml:space="preserve"> </w:t>
      </w:r>
      <w:r w:rsidR="00857A45">
        <w:rPr>
          <w:rFonts w:ascii="Arial" w:hAnsi="Arial"/>
          <w:sz w:val="24"/>
          <w:lang w:val="fr-CA"/>
        </w:rPr>
        <w:t>Centrifuger les tubes à 3400 rpm pendant 10 à 15 secondes.</w:t>
      </w:r>
      <w:r w:rsidR="00857A45">
        <w:rPr>
          <w:rFonts w:ascii="Arial" w:hAnsi="Arial"/>
          <w:sz w:val="24"/>
          <w:lang w:val="fr-CA"/>
        </w:rPr>
        <w:br/>
      </w:r>
    </w:p>
    <w:p w:rsidR="00857A45" w:rsidRDefault="00857A45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Vérifier la présence d’hémolyse. Noter le cas échéant. Voir PA006 – Lecture et inscription de réactions d’hémagglutination.</w:t>
      </w:r>
      <w:r>
        <w:rPr>
          <w:rFonts w:ascii="Arial" w:hAnsi="Arial"/>
          <w:sz w:val="24"/>
          <w:lang w:val="fr-CA"/>
        </w:rPr>
        <w:br/>
      </w:r>
    </w:p>
    <w:p w:rsidR="00857A45" w:rsidRDefault="00857A45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Remettre délicatement le contenu des tubes e</w:t>
      </w:r>
      <w:r w:rsidR="00B63743">
        <w:rPr>
          <w:rFonts w:ascii="Arial" w:hAnsi="Arial"/>
          <w:sz w:val="24"/>
          <w:lang w:val="fr-CA"/>
        </w:rPr>
        <w:t>n</w:t>
      </w:r>
      <w:r>
        <w:rPr>
          <w:rFonts w:ascii="Arial" w:hAnsi="Arial"/>
          <w:sz w:val="24"/>
          <w:lang w:val="fr-CA"/>
        </w:rPr>
        <w:t xml:space="preserve"> suspension et faire une lecture macroscopique.</w:t>
      </w:r>
      <w:r>
        <w:rPr>
          <w:rFonts w:ascii="Arial" w:hAnsi="Arial"/>
          <w:sz w:val="24"/>
          <w:lang w:val="fr-CA"/>
        </w:rPr>
        <w:br/>
      </w:r>
    </w:p>
    <w:p w:rsidR="00857A45" w:rsidRPr="005D1C27" w:rsidRDefault="00857A45" w:rsidP="00857A45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 Interpréter et inscrire les résultats à 37 </w:t>
      </w:r>
      <w:r w:rsidRPr="00857A45">
        <w:rPr>
          <w:rFonts w:ascii="Arial" w:hAnsi="Arial"/>
          <w:sz w:val="24"/>
          <w:vertAlign w:val="superscript"/>
          <w:lang w:val="fr-CA"/>
        </w:rPr>
        <w:t>o</w:t>
      </w:r>
      <w:r>
        <w:rPr>
          <w:rFonts w:ascii="Arial" w:hAnsi="Arial"/>
          <w:sz w:val="24"/>
          <w:lang w:val="fr-CA"/>
        </w:rPr>
        <w:t>C.</w:t>
      </w:r>
      <w:r w:rsidRPr="00857A45">
        <w:rPr>
          <w:rFonts w:ascii="Arial" w:hAnsi="Arial"/>
          <w:sz w:val="24"/>
          <w:lang w:val="fr-CA"/>
        </w:rPr>
        <w:t xml:space="preserve"> </w:t>
      </w:r>
      <w:r w:rsidRPr="005D1C27">
        <w:rPr>
          <w:rFonts w:ascii="Arial" w:hAnsi="Arial"/>
          <w:sz w:val="24"/>
          <w:lang w:val="fr-CA"/>
        </w:rPr>
        <w:t>Voir PA.006 - Lecture et inscription des réactions d'hémagglutination.</w:t>
      </w:r>
    </w:p>
    <w:p w:rsidR="00857A45" w:rsidRDefault="00857A45" w:rsidP="00857A45">
      <w:pPr>
        <w:ind w:left="2160"/>
        <w:rPr>
          <w:rFonts w:ascii="Arial" w:hAnsi="Arial"/>
          <w:sz w:val="24"/>
          <w:lang w:val="fr-CA"/>
        </w:rPr>
      </w:pPr>
    </w:p>
    <w:p w:rsidR="00E8364F" w:rsidRPr="00E8364F" w:rsidRDefault="00A63B3D" w:rsidP="00857A45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E</w:t>
      </w:r>
      <w:r w:rsidRPr="00A63B3D">
        <w:rPr>
          <w:rFonts w:ascii="Arial" w:hAnsi="Arial"/>
          <w:sz w:val="24"/>
          <w:lang w:val="fr-CA"/>
        </w:rPr>
        <w:t xml:space="preserve">ffectuer un test à l'antiglobuline sur tous les </w:t>
      </w:r>
      <w:r w:rsidR="00662F18">
        <w:rPr>
          <w:rFonts w:ascii="Arial" w:hAnsi="Arial"/>
          <w:sz w:val="24"/>
          <w:lang w:val="fr-CA"/>
        </w:rPr>
        <w:t>tubes </w:t>
      </w:r>
      <w:r w:rsidR="00E8364F" w:rsidRPr="00E8364F">
        <w:rPr>
          <w:rFonts w:ascii="Arial" w:hAnsi="Arial"/>
          <w:sz w:val="24"/>
          <w:lang w:val="fr-CA"/>
        </w:rPr>
        <w:t>: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5D1C27" w:rsidRDefault="003F2F08" w:rsidP="00DB31B9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</w:t>
      </w:r>
      <w:r w:rsidRPr="005D1C27">
        <w:rPr>
          <w:rFonts w:ascii="Arial" w:hAnsi="Arial"/>
          <w:sz w:val="24"/>
          <w:lang w:val="fr-CA"/>
        </w:rPr>
        <w:t xml:space="preserve">aver </w:t>
      </w:r>
      <w:r w:rsidR="00E62919" w:rsidRPr="005D1C27">
        <w:rPr>
          <w:rFonts w:ascii="Arial" w:hAnsi="Arial"/>
          <w:sz w:val="24"/>
          <w:lang w:val="fr-CA"/>
        </w:rPr>
        <w:t>les tubes 4 fois.</w:t>
      </w:r>
      <w:r w:rsidR="00DB31B9">
        <w:rPr>
          <w:rFonts w:ascii="Arial" w:hAnsi="Arial"/>
          <w:sz w:val="24"/>
          <w:lang w:val="fr-CA"/>
        </w:rPr>
        <w:t xml:space="preserve"> Voir PA.005 – Lavage </w:t>
      </w:r>
      <w:r w:rsidR="00B3227D">
        <w:rPr>
          <w:rFonts w:ascii="Arial" w:hAnsi="Arial"/>
          <w:sz w:val="24"/>
          <w:lang w:val="fr-CA"/>
        </w:rPr>
        <w:t xml:space="preserve">automatisé ou </w:t>
      </w:r>
      <w:r w:rsidR="00DB31B9">
        <w:rPr>
          <w:rFonts w:ascii="Arial" w:hAnsi="Arial"/>
          <w:sz w:val="24"/>
          <w:lang w:val="fr-CA"/>
        </w:rPr>
        <w:t>manuel des cellules.</w:t>
      </w:r>
    </w:p>
    <w:p w:rsidR="00E8364F" w:rsidRPr="005D1C27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5D1C27" w:rsidRDefault="003F2F08" w:rsidP="00DB31B9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A</w:t>
      </w:r>
      <w:r w:rsidRPr="005D1C27">
        <w:rPr>
          <w:rFonts w:ascii="Arial" w:hAnsi="Arial"/>
          <w:color w:val="000000"/>
          <w:sz w:val="24"/>
          <w:lang w:val="fr-CA"/>
        </w:rPr>
        <w:t xml:space="preserve">jouter </w:t>
      </w:r>
      <w:r w:rsidR="00E62919" w:rsidRPr="005D1C27">
        <w:rPr>
          <w:rFonts w:ascii="Arial" w:hAnsi="Arial"/>
          <w:color w:val="000000"/>
          <w:sz w:val="24"/>
          <w:lang w:val="fr-CA"/>
        </w:rPr>
        <w:t>2 gouttes d’anti-IgG.</w:t>
      </w:r>
    </w:p>
    <w:p w:rsidR="00E8364F" w:rsidRPr="00E8364F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5D1C27" w:rsidRDefault="003F2F08" w:rsidP="00DB31B9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M</w:t>
      </w:r>
      <w:r w:rsidRPr="005D1C27">
        <w:rPr>
          <w:rFonts w:ascii="Arial" w:hAnsi="Arial"/>
          <w:sz w:val="24"/>
          <w:lang w:val="fr-CA"/>
        </w:rPr>
        <w:t xml:space="preserve">élanger </w:t>
      </w:r>
      <w:r w:rsidR="00E62919" w:rsidRPr="005D1C27">
        <w:rPr>
          <w:rFonts w:ascii="Arial" w:hAnsi="Arial"/>
          <w:sz w:val="24"/>
          <w:lang w:val="fr-CA"/>
        </w:rPr>
        <w:t>les tubes immédiatement et les centrifuger à 3400 rpm pendant 10 à 15 secondes.</w:t>
      </w:r>
    </w:p>
    <w:p w:rsidR="00E8364F" w:rsidRPr="005D1C27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5D1C27" w:rsidRDefault="00E62919" w:rsidP="00DB31B9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D1C27">
        <w:rPr>
          <w:rFonts w:ascii="Arial" w:hAnsi="Arial"/>
          <w:sz w:val="24"/>
          <w:lang w:val="fr-CA"/>
        </w:rPr>
        <w:t>Immédiatement après la centrifugation, remettre les cellules en suspension et faire une lecture macroscopique.</w:t>
      </w:r>
      <w:r w:rsidR="00F5390F">
        <w:rPr>
          <w:rFonts w:ascii="Arial" w:hAnsi="Arial"/>
          <w:sz w:val="24"/>
          <w:lang w:val="fr-CA"/>
        </w:rPr>
        <w:t xml:space="preserve"> </w:t>
      </w:r>
      <w:r w:rsidRPr="005D1C27">
        <w:rPr>
          <w:rFonts w:ascii="Arial" w:hAnsi="Arial"/>
          <w:sz w:val="24"/>
          <w:lang w:val="fr-CA"/>
        </w:rPr>
        <w:t>Si la lecture est négative, faire une lecture microscopique.</w:t>
      </w:r>
      <w:r w:rsidR="00F5390F">
        <w:rPr>
          <w:rFonts w:ascii="Arial" w:hAnsi="Arial"/>
          <w:sz w:val="24"/>
          <w:lang w:val="fr-CA"/>
        </w:rPr>
        <w:t xml:space="preserve"> </w:t>
      </w:r>
      <w:r w:rsidRPr="005D1C27">
        <w:rPr>
          <w:rFonts w:ascii="Arial" w:hAnsi="Arial"/>
          <w:sz w:val="24"/>
          <w:lang w:val="fr-CA"/>
        </w:rPr>
        <w:t>Voir Remarque 8.4.</w:t>
      </w:r>
    </w:p>
    <w:p w:rsidR="00E8364F" w:rsidRPr="005D1C27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5D1C27" w:rsidRDefault="003F2F08" w:rsidP="00DB31B9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I</w:t>
      </w:r>
      <w:r w:rsidRPr="005D1C27">
        <w:rPr>
          <w:rFonts w:ascii="Arial" w:hAnsi="Arial"/>
          <w:sz w:val="24"/>
          <w:lang w:val="fr-CA"/>
        </w:rPr>
        <w:t xml:space="preserve">nterpréter </w:t>
      </w:r>
      <w:r w:rsidR="00E62919" w:rsidRPr="005D1C27">
        <w:rPr>
          <w:rFonts w:ascii="Arial" w:hAnsi="Arial"/>
          <w:sz w:val="24"/>
          <w:lang w:val="fr-CA"/>
        </w:rPr>
        <w:t>et inscrire les résultats.</w:t>
      </w:r>
      <w:r w:rsidR="00F5390F">
        <w:rPr>
          <w:rFonts w:ascii="Arial" w:hAnsi="Arial"/>
          <w:sz w:val="24"/>
          <w:lang w:val="fr-CA"/>
        </w:rPr>
        <w:t xml:space="preserve"> </w:t>
      </w:r>
      <w:r w:rsidR="00E62919" w:rsidRPr="005D1C27">
        <w:rPr>
          <w:rFonts w:ascii="Arial" w:hAnsi="Arial"/>
          <w:sz w:val="24"/>
          <w:lang w:val="fr-CA"/>
        </w:rPr>
        <w:t>Voir PA.006 - Lecture et inscription des réactions d'hémagglutination.</w:t>
      </w:r>
    </w:p>
    <w:p w:rsidR="00E8364F" w:rsidRPr="00E8364F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A63B3D" w:rsidRDefault="00E62919" w:rsidP="00DB31B9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D1C27">
        <w:rPr>
          <w:rFonts w:ascii="Arial" w:hAnsi="Arial"/>
          <w:sz w:val="24"/>
          <w:lang w:val="fr-CA"/>
        </w:rPr>
        <w:t>Ajouter 1 goutte de globules rouges recouverts d'IgG aux tubes dont le résultat est négatif.</w:t>
      </w:r>
      <w:r w:rsidR="00F5390F">
        <w:rPr>
          <w:rFonts w:ascii="Arial" w:hAnsi="Arial"/>
          <w:sz w:val="24"/>
          <w:lang w:val="fr-CA"/>
        </w:rPr>
        <w:t xml:space="preserve"> </w:t>
      </w:r>
      <w:r w:rsidRPr="005D1C27">
        <w:rPr>
          <w:rFonts w:ascii="Arial" w:hAnsi="Arial"/>
          <w:sz w:val="24"/>
          <w:lang w:val="fr-CA"/>
        </w:rPr>
        <w:t xml:space="preserve">Centrifuger les tubes à 3400 rpm pendant 10 à 15 secondes, remettre les cellules en suspension, faire une lecture macroscopique et </w:t>
      </w:r>
      <w:r w:rsidR="003F2F08">
        <w:rPr>
          <w:rFonts w:ascii="Arial" w:hAnsi="Arial"/>
          <w:sz w:val="24"/>
          <w:lang w:val="fr-CA"/>
        </w:rPr>
        <w:t>inscrire</w:t>
      </w:r>
      <w:r w:rsidR="003F2F08" w:rsidRPr="005D1C27">
        <w:rPr>
          <w:rFonts w:ascii="Arial" w:hAnsi="Arial"/>
          <w:sz w:val="24"/>
          <w:lang w:val="fr-CA"/>
        </w:rPr>
        <w:t xml:space="preserve"> </w:t>
      </w:r>
      <w:r w:rsidRPr="005D1C27">
        <w:rPr>
          <w:rFonts w:ascii="Arial" w:hAnsi="Arial"/>
          <w:sz w:val="24"/>
          <w:lang w:val="fr-CA"/>
        </w:rPr>
        <w:t>les résultats.</w:t>
      </w:r>
      <w:r w:rsidR="00E8364F" w:rsidRPr="005D1C27">
        <w:rPr>
          <w:rFonts w:ascii="Arial" w:hAnsi="Arial"/>
          <w:sz w:val="24"/>
          <w:lang w:val="fr-CA"/>
        </w:rPr>
        <w:t xml:space="preserve"> </w:t>
      </w:r>
      <w:r w:rsidRPr="00A63B3D">
        <w:rPr>
          <w:rFonts w:ascii="Arial" w:hAnsi="Arial"/>
          <w:sz w:val="24"/>
          <w:lang w:val="fr-CA"/>
        </w:rPr>
        <w:t>En l'absence d'agglutination (à + 2), il faut répéter le test.</w:t>
      </w:r>
    </w:p>
    <w:p w:rsidR="00E8364F" w:rsidRPr="00E8364F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71791D" w:rsidRDefault="0071791D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71791D">
        <w:rPr>
          <w:rFonts w:ascii="Arial" w:hAnsi="Arial"/>
          <w:sz w:val="24"/>
          <w:lang w:val="fr-CA"/>
        </w:rPr>
        <w:t xml:space="preserve">Interpréter et inscrire le résultat de l’épreuve de compatibilité croisée. </w:t>
      </w:r>
      <w:r w:rsidR="00E62919" w:rsidRPr="0071791D">
        <w:rPr>
          <w:rFonts w:ascii="Arial" w:hAnsi="Arial"/>
          <w:sz w:val="24"/>
          <w:lang w:val="fr-CA"/>
        </w:rPr>
        <w:t>Voir 7.0 – Documentation.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71791D" w:rsidRDefault="0071791D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Si toutes les unités sont compatibles, passer à l’étape 6</w:t>
      </w:r>
      <w:r w:rsidR="00E8364F" w:rsidRPr="00E8364F">
        <w:rPr>
          <w:rFonts w:ascii="Arial" w:hAnsi="Arial"/>
          <w:sz w:val="24"/>
          <w:lang w:val="fr-CA"/>
        </w:rPr>
        <w:t>.2</w:t>
      </w:r>
      <w:r w:rsidR="00DB31B9">
        <w:rPr>
          <w:rFonts w:ascii="Arial" w:hAnsi="Arial"/>
          <w:sz w:val="24"/>
          <w:lang w:val="fr-CA"/>
        </w:rPr>
        <w:t>3</w:t>
      </w:r>
      <w:r w:rsidR="00E8364F" w:rsidRPr="00E8364F">
        <w:rPr>
          <w:rFonts w:ascii="Arial" w:hAnsi="Arial"/>
          <w:sz w:val="24"/>
          <w:lang w:val="fr-CA"/>
        </w:rPr>
        <w:t xml:space="preserve">. </w:t>
      </w:r>
      <w:r>
        <w:rPr>
          <w:rFonts w:ascii="Arial" w:hAnsi="Arial"/>
          <w:sz w:val="24"/>
          <w:lang w:val="fr-CA"/>
        </w:rPr>
        <w:t xml:space="preserve">Si certaines unités sont incompatibles, suivre les étapes suivantes : </w:t>
      </w:r>
      <w:r>
        <w:rPr>
          <w:rFonts w:ascii="Arial" w:hAnsi="Arial"/>
          <w:sz w:val="24"/>
          <w:lang w:val="fr-CA"/>
        </w:rPr>
        <w:br/>
      </w:r>
    </w:p>
    <w:p w:rsidR="00E8364F" w:rsidRPr="0071791D" w:rsidRDefault="0071791D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71791D">
        <w:rPr>
          <w:rFonts w:ascii="Arial" w:hAnsi="Arial"/>
          <w:sz w:val="24"/>
          <w:lang w:val="fr-CA"/>
        </w:rPr>
        <w:t xml:space="preserve">Si </w:t>
      </w:r>
      <w:r w:rsidRPr="00DB31B9">
        <w:rPr>
          <w:rFonts w:ascii="Arial" w:hAnsi="Arial"/>
          <w:sz w:val="24"/>
          <w:lang w:val="fr-CA"/>
        </w:rPr>
        <w:t>toutes</w:t>
      </w:r>
      <w:r w:rsidRPr="0071791D">
        <w:rPr>
          <w:rFonts w:ascii="Arial" w:hAnsi="Arial"/>
          <w:b/>
          <w:sz w:val="24"/>
          <w:lang w:val="fr-CA"/>
        </w:rPr>
        <w:t xml:space="preserve"> </w:t>
      </w:r>
      <w:r w:rsidRPr="0071791D">
        <w:rPr>
          <w:rFonts w:ascii="Arial" w:hAnsi="Arial"/>
          <w:sz w:val="24"/>
          <w:lang w:val="fr-CA"/>
        </w:rPr>
        <w:t xml:space="preserve">les unités de donneur sont </w:t>
      </w:r>
      <w:r w:rsidR="00E8364F" w:rsidRPr="0071791D">
        <w:rPr>
          <w:rFonts w:ascii="Arial" w:hAnsi="Arial"/>
          <w:sz w:val="24"/>
          <w:lang w:val="fr-CA"/>
        </w:rPr>
        <w:t>incompatible</w:t>
      </w:r>
      <w:r w:rsidRPr="0071791D">
        <w:rPr>
          <w:rFonts w:ascii="Arial" w:hAnsi="Arial"/>
          <w:sz w:val="24"/>
          <w:lang w:val="fr-CA"/>
        </w:rPr>
        <w:t xml:space="preserve">s, répéter le groupage ABO sur l’échantillon du patient et les unités de donneur. 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71791D" w:rsidRDefault="0071791D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71791D">
        <w:rPr>
          <w:rFonts w:ascii="Arial" w:hAnsi="Arial"/>
          <w:sz w:val="24"/>
          <w:lang w:val="fr-CA"/>
        </w:rPr>
        <w:t xml:space="preserve">Si </w:t>
      </w:r>
      <w:r w:rsidRPr="00DB31B9">
        <w:rPr>
          <w:rFonts w:ascii="Arial" w:hAnsi="Arial"/>
          <w:sz w:val="24"/>
          <w:lang w:val="fr-CA"/>
        </w:rPr>
        <w:t>certaines</w:t>
      </w:r>
      <w:r w:rsidRPr="0071791D">
        <w:rPr>
          <w:rFonts w:ascii="Arial" w:hAnsi="Arial"/>
          <w:sz w:val="24"/>
          <w:lang w:val="fr-CA"/>
        </w:rPr>
        <w:t xml:space="preserve"> unités de donneur sont incompatibles, répéter le groupage ABO des unités </w:t>
      </w:r>
      <w:r w:rsidR="00E8364F" w:rsidRPr="0071791D">
        <w:rPr>
          <w:rFonts w:ascii="Arial" w:hAnsi="Arial"/>
          <w:sz w:val="24"/>
          <w:lang w:val="fr-CA"/>
        </w:rPr>
        <w:t>incompatible</w:t>
      </w:r>
      <w:r w:rsidRPr="0071791D">
        <w:rPr>
          <w:rFonts w:ascii="Arial" w:hAnsi="Arial"/>
          <w:sz w:val="24"/>
          <w:lang w:val="fr-CA"/>
        </w:rPr>
        <w:t>s</w:t>
      </w:r>
      <w:r w:rsidR="00E8364F" w:rsidRPr="0071791D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71791D" w:rsidRDefault="00E8364F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71791D">
        <w:rPr>
          <w:rFonts w:ascii="Arial" w:hAnsi="Arial"/>
          <w:sz w:val="24"/>
          <w:lang w:val="fr-CA"/>
        </w:rPr>
        <w:t>Confirm</w:t>
      </w:r>
      <w:r w:rsidR="0071791D" w:rsidRPr="0071791D">
        <w:rPr>
          <w:rFonts w:ascii="Arial" w:hAnsi="Arial"/>
          <w:sz w:val="24"/>
          <w:lang w:val="fr-CA"/>
        </w:rPr>
        <w:t xml:space="preserve">er le </w:t>
      </w:r>
      <w:r w:rsidRPr="0071791D">
        <w:rPr>
          <w:rFonts w:ascii="Arial" w:hAnsi="Arial"/>
          <w:sz w:val="24"/>
          <w:lang w:val="fr-CA"/>
        </w:rPr>
        <w:t>ph</w:t>
      </w:r>
      <w:r w:rsidR="0071791D" w:rsidRPr="0071791D">
        <w:rPr>
          <w:rFonts w:ascii="Arial" w:hAnsi="Arial"/>
          <w:sz w:val="24"/>
          <w:lang w:val="fr-CA"/>
        </w:rPr>
        <w:t>é</w:t>
      </w:r>
      <w:r w:rsidRPr="0071791D">
        <w:rPr>
          <w:rFonts w:ascii="Arial" w:hAnsi="Arial"/>
          <w:sz w:val="24"/>
          <w:lang w:val="fr-CA"/>
        </w:rPr>
        <w:t xml:space="preserve">notype </w:t>
      </w:r>
      <w:r w:rsidR="0071791D" w:rsidRPr="0071791D">
        <w:rPr>
          <w:rFonts w:ascii="Arial" w:hAnsi="Arial"/>
          <w:sz w:val="24"/>
          <w:lang w:val="fr-CA"/>
        </w:rPr>
        <w:t xml:space="preserve">des unités </w:t>
      </w:r>
      <w:r w:rsidRPr="0071791D">
        <w:rPr>
          <w:rFonts w:ascii="Arial" w:hAnsi="Arial"/>
          <w:sz w:val="24"/>
          <w:lang w:val="fr-CA"/>
        </w:rPr>
        <w:t>incompatible</w:t>
      </w:r>
      <w:r w:rsidR="0071791D" w:rsidRPr="0071791D">
        <w:rPr>
          <w:rFonts w:ascii="Arial" w:hAnsi="Arial"/>
          <w:sz w:val="24"/>
          <w:lang w:val="fr-CA"/>
        </w:rPr>
        <w:t>s si le patient est porteur d’anticorps cliniquement significatifs</w:t>
      </w:r>
      <w:r w:rsidRPr="0071791D">
        <w:rPr>
          <w:rFonts w:ascii="Arial" w:hAnsi="Arial"/>
          <w:sz w:val="24"/>
          <w:lang w:val="fr-CA"/>
        </w:rPr>
        <w:t>.</w:t>
      </w:r>
    </w:p>
    <w:p w:rsidR="00E8364F" w:rsidRPr="0071791D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71791D" w:rsidRDefault="00E8364F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71791D">
        <w:rPr>
          <w:rFonts w:ascii="Arial" w:hAnsi="Arial"/>
          <w:sz w:val="24"/>
          <w:lang w:val="fr-CA"/>
        </w:rPr>
        <w:t>Re</w:t>
      </w:r>
      <w:r w:rsidR="0071791D" w:rsidRPr="0071791D">
        <w:rPr>
          <w:rFonts w:ascii="Arial" w:hAnsi="Arial"/>
          <w:sz w:val="24"/>
          <w:lang w:val="fr-CA"/>
        </w:rPr>
        <w:t>voir les résultats du dépistage d’anticorps et les antécédents du patient</w:t>
      </w:r>
      <w:r w:rsidRPr="0071791D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71791D" w:rsidRDefault="00A63B3D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71791D">
        <w:rPr>
          <w:rFonts w:ascii="Arial" w:hAnsi="Arial"/>
          <w:sz w:val="24"/>
          <w:lang w:val="fr-CA"/>
        </w:rPr>
        <w:t>Procéder à un TDA sur les unités de donneur incompatibles en présence de tous les paramètres suivants :</w:t>
      </w:r>
      <w:r w:rsidR="00F5390F">
        <w:rPr>
          <w:rFonts w:ascii="Arial" w:hAnsi="Arial"/>
          <w:sz w:val="24"/>
          <w:lang w:val="fr-CA"/>
        </w:rPr>
        <w:t xml:space="preserve">  </w:t>
      </w:r>
      <w:r w:rsidR="0071791D" w:rsidRPr="0071791D">
        <w:rPr>
          <w:rFonts w:ascii="Arial" w:hAnsi="Arial"/>
          <w:sz w:val="24"/>
          <w:lang w:val="fr-CA"/>
        </w:rPr>
        <w:br/>
      </w:r>
    </w:p>
    <w:p w:rsidR="00E8364F" w:rsidRPr="00A63B3D" w:rsidRDefault="00A63B3D" w:rsidP="00A63B3D">
      <w:pPr>
        <w:numPr>
          <w:ilvl w:val="0"/>
          <w:numId w:val="4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 w:rsidRPr="00A63B3D">
        <w:rPr>
          <w:rFonts w:ascii="Arial" w:hAnsi="Arial"/>
          <w:sz w:val="24"/>
          <w:lang w:val="fr-CA"/>
        </w:rPr>
        <w:t>Le dépistage d’anticorps est négatif</w:t>
      </w:r>
      <w:r w:rsidR="00F5390F">
        <w:rPr>
          <w:rFonts w:ascii="Arial" w:hAnsi="Arial"/>
          <w:sz w:val="24"/>
          <w:lang w:val="fr-CA"/>
        </w:rPr>
        <w:t>.</w:t>
      </w:r>
      <w:r w:rsidRPr="00A63B3D">
        <w:rPr>
          <w:rFonts w:ascii="Arial" w:hAnsi="Arial"/>
          <w:sz w:val="24"/>
          <w:lang w:val="fr-CA"/>
        </w:rPr>
        <w:br/>
      </w:r>
    </w:p>
    <w:p w:rsidR="00E8364F" w:rsidRPr="00A63B3D" w:rsidRDefault="00A63B3D">
      <w:pPr>
        <w:numPr>
          <w:ilvl w:val="0"/>
          <w:numId w:val="4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 w:rsidRPr="00A63B3D">
        <w:rPr>
          <w:rFonts w:ascii="Arial" w:hAnsi="Arial"/>
          <w:sz w:val="24"/>
          <w:lang w:val="fr-CA"/>
        </w:rPr>
        <w:t>Il n’y a aucun antécédent d’anticorps d’importance clinique</w:t>
      </w:r>
      <w:r w:rsidR="00F5390F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E8364F" w:rsidRDefault="00A63B3D">
      <w:pPr>
        <w:numPr>
          <w:ilvl w:val="0"/>
          <w:numId w:val="4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Les groupes </w:t>
      </w:r>
      <w:r w:rsidR="00E8364F" w:rsidRPr="00E8364F">
        <w:rPr>
          <w:rFonts w:ascii="Arial" w:hAnsi="Arial"/>
          <w:sz w:val="24"/>
          <w:lang w:val="fr-CA"/>
        </w:rPr>
        <w:t xml:space="preserve">ABO </w:t>
      </w:r>
      <w:r>
        <w:rPr>
          <w:rFonts w:ascii="Arial" w:hAnsi="Arial"/>
          <w:sz w:val="24"/>
          <w:lang w:val="fr-CA"/>
        </w:rPr>
        <w:t xml:space="preserve">sont </w:t>
      </w:r>
      <w:r w:rsidR="00E8364F" w:rsidRPr="00E8364F">
        <w:rPr>
          <w:rFonts w:ascii="Arial" w:hAnsi="Arial"/>
          <w:sz w:val="24"/>
          <w:lang w:val="fr-CA"/>
        </w:rPr>
        <w:t>compatible</w:t>
      </w:r>
      <w:r>
        <w:rPr>
          <w:rFonts w:ascii="Arial" w:hAnsi="Arial"/>
          <w:sz w:val="24"/>
          <w:lang w:val="fr-CA"/>
        </w:rPr>
        <w:t>s</w:t>
      </w:r>
      <w:r w:rsidR="00E8364F" w:rsidRPr="00E8364F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71791D" w:rsidRDefault="0071791D" w:rsidP="008F0A98">
      <w:pPr>
        <w:numPr>
          <w:ilvl w:val="3"/>
          <w:numId w:val="1"/>
        </w:numPr>
        <w:rPr>
          <w:rFonts w:ascii="Arial" w:hAnsi="Arial"/>
          <w:sz w:val="24"/>
          <w:lang w:val="fr-CA"/>
        </w:rPr>
      </w:pPr>
      <w:r w:rsidRPr="0071791D">
        <w:rPr>
          <w:rFonts w:ascii="Arial" w:hAnsi="Arial"/>
          <w:sz w:val="24"/>
          <w:lang w:val="fr-CA"/>
        </w:rPr>
        <w:t>Si le TDA effectué sur la ou les unités de donneur est positif, choisir une autre unité et inscrire sur le formulaire de demande que l’unité du donneur a un résultat positif au TDA</w:t>
      </w:r>
      <w:r w:rsidR="00E8364F" w:rsidRPr="0071791D">
        <w:rPr>
          <w:rFonts w:ascii="Arial" w:hAnsi="Arial"/>
          <w:sz w:val="24"/>
          <w:lang w:val="fr-CA"/>
        </w:rPr>
        <w:t>.</w:t>
      </w:r>
      <w:r w:rsidR="00F5390F">
        <w:rPr>
          <w:rFonts w:ascii="Arial" w:hAnsi="Arial"/>
          <w:sz w:val="24"/>
          <w:lang w:val="fr-CA"/>
        </w:rPr>
        <w:t xml:space="preserve"> </w:t>
      </w:r>
      <w:r w:rsidR="00E62919" w:rsidRPr="0071791D">
        <w:rPr>
          <w:rFonts w:ascii="Arial" w:hAnsi="Arial"/>
          <w:sz w:val="24"/>
          <w:lang w:val="fr-CA"/>
        </w:rPr>
        <w:t>Voir GI.005 - Disposition finale du sang, des composants sanguins et des produits connexes qui ne sont pas en état d’être transfusés – Procédure manuelle.</w:t>
      </w:r>
    </w:p>
    <w:p w:rsidR="00E8364F" w:rsidRPr="00E8364F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71791D" w:rsidRDefault="0071791D" w:rsidP="008F0A98">
      <w:pPr>
        <w:numPr>
          <w:ilvl w:val="3"/>
          <w:numId w:val="1"/>
        </w:numPr>
        <w:rPr>
          <w:rFonts w:ascii="Arial" w:hAnsi="Arial"/>
          <w:sz w:val="24"/>
          <w:lang w:val="fr-CA"/>
        </w:rPr>
      </w:pPr>
      <w:r w:rsidRPr="0071791D">
        <w:rPr>
          <w:rFonts w:ascii="Arial" w:hAnsi="Arial"/>
          <w:sz w:val="24"/>
          <w:lang w:val="fr-CA"/>
        </w:rPr>
        <w:t xml:space="preserve">Si le TDA effectué sur la ou les unités de donneur est négatif, répéter l’épreuve de compatibilité croisée sur la ou les unités de donneur. Si l’épreuve de confirmation est négative, passer à l’étape </w:t>
      </w:r>
      <w:r w:rsidR="00E8364F" w:rsidRPr="0071791D">
        <w:rPr>
          <w:rFonts w:ascii="Arial" w:hAnsi="Arial"/>
          <w:sz w:val="24"/>
          <w:lang w:val="fr-CA"/>
        </w:rPr>
        <w:t>6.23.</w:t>
      </w:r>
    </w:p>
    <w:p w:rsidR="00E8364F" w:rsidRPr="00E8364F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E8364F" w:rsidRDefault="00823A1C" w:rsidP="008F0A98">
      <w:pPr>
        <w:numPr>
          <w:ilvl w:val="3"/>
          <w:numId w:val="1"/>
        </w:numPr>
        <w:rPr>
          <w:rFonts w:ascii="Arial" w:hAnsi="Arial"/>
          <w:sz w:val="24"/>
          <w:lang w:val="fr-CA"/>
        </w:rPr>
      </w:pPr>
      <w:r w:rsidRPr="00823A1C">
        <w:rPr>
          <w:rFonts w:ascii="Arial" w:hAnsi="Arial"/>
          <w:sz w:val="24"/>
          <w:lang w:val="fr-CA"/>
        </w:rPr>
        <w:t>Si l’épreuve de compatibilité de confirmation est positive, faire un panel afin d’identifier l’anticorps.</w:t>
      </w:r>
      <w:r w:rsidR="00F5390F">
        <w:rPr>
          <w:rFonts w:ascii="Arial" w:hAnsi="Arial"/>
          <w:sz w:val="24"/>
          <w:lang w:val="fr-CA"/>
        </w:rPr>
        <w:t xml:space="preserve"> </w:t>
      </w:r>
      <w:r w:rsidR="00E62919" w:rsidRPr="00823A1C">
        <w:rPr>
          <w:rFonts w:ascii="Arial" w:hAnsi="Arial"/>
          <w:sz w:val="24"/>
          <w:lang w:val="fr-CA"/>
        </w:rPr>
        <w:t>Voir EC.007- Identification d’anticorps réactifs chauds</w:t>
      </w:r>
      <w:r>
        <w:rPr>
          <w:rFonts w:ascii="Arial" w:hAnsi="Arial"/>
          <w:sz w:val="24"/>
          <w:lang w:val="fr-CA"/>
        </w:rPr>
        <w:t>.</w:t>
      </w:r>
      <w:r w:rsidRPr="00852556">
        <w:rPr>
          <w:rFonts w:ascii="Arial" w:hAnsi="Arial"/>
          <w:sz w:val="24"/>
          <w:lang w:val="fr-CA"/>
        </w:rPr>
        <w:t xml:space="preserve"> Il s’agit probablement d’un anticorps à un</w:t>
      </w:r>
      <w:r>
        <w:rPr>
          <w:rFonts w:ascii="Arial" w:hAnsi="Arial"/>
          <w:sz w:val="24"/>
          <w:lang w:val="fr-CA"/>
        </w:rPr>
        <w:t xml:space="preserve"> antigène rare qui ne fait pas partie des cellules de dépistage</w:t>
      </w:r>
      <w:r w:rsidR="00E8364F" w:rsidRPr="00E8364F">
        <w:rPr>
          <w:rFonts w:ascii="Arial" w:hAnsi="Arial"/>
          <w:sz w:val="24"/>
          <w:lang w:val="fr-CA"/>
        </w:rPr>
        <w:t xml:space="preserve"> (</w:t>
      </w:r>
      <w:r>
        <w:rPr>
          <w:rFonts w:ascii="Arial" w:hAnsi="Arial"/>
          <w:sz w:val="24"/>
          <w:lang w:val="fr-CA"/>
        </w:rPr>
        <w:t>p. ex.</w:t>
      </w:r>
      <w:r w:rsidR="00E8364F" w:rsidRPr="00E8364F">
        <w:rPr>
          <w:rFonts w:ascii="Arial" w:hAnsi="Arial"/>
          <w:sz w:val="24"/>
          <w:lang w:val="fr-CA"/>
        </w:rPr>
        <w:t xml:space="preserve"> Anti-C</w:t>
      </w:r>
      <w:r w:rsidR="00E8364F" w:rsidRPr="00E8364F">
        <w:rPr>
          <w:rFonts w:ascii="Arial" w:hAnsi="Arial"/>
          <w:sz w:val="24"/>
          <w:vertAlign w:val="superscript"/>
          <w:lang w:val="fr-CA"/>
        </w:rPr>
        <w:t>w</w:t>
      </w:r>
      <w:r w:rsidR="00E8364F" w:rsidRPr="00E8364F">
        <w:rPr>
          <w:rFonts w:ascii="Arial" w:hAnsi="Arial"/>
          <w:sz w:val="24"/>
          <w:lang w:val="fr-CA"/>
        </w:rPr>
        <w:t>, anti-Kp</w:t>
      </w:r>
      <w:r w:rsidR="00E8364F" w:rsidRPr="00E8364F">
        <w:rPr>
          <w:rFonts w:ascii="Arial" w:hAnsi="Arial"/>
          <w:sz w:val="24"/>
          <w:vertAlign w:val="superscript"/>
          <w:lang w:val="fr-CA"/>
        </w:rPr>
        <w:t>a</w:t>
      </w:r>
      <w:r w:rsidR="00E8364F" w:rsidRPr="00E8364F">
        <w:rPr>
          <w:rFonts w:ascii="Arial" w:hAnsi="Arial"/>
          <w:sz w:val="24"/>
          <w:lang w:val="fr-CA"/>
        </w:rPr>
        <w:t>, etc.).</w:t>
      </w:r>
    </w:p>
    <w:p w:rsidR="00E8364F" w:rsidRPr="00E8364F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A63B3D" w:rsidRDefault="00A63B3D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A63B3D">
        <w:rPr>
          <w:rFonts w:ascii="Arial" w:hAnsi="Arial"/>
          <w:sz w:val="24"/>
          <w:lang w:val="fr-CA"/>
        </w:rPr>
        <w:t xml:space="preserve">Le cas échéant, procéder à un </w:t>
      </w:r>
      <w:r w:rsidR="00E8364F" w:rsidRPr="00A63B3D">
        <w:rPr>
          <w:rFonts w:ascii="Arial" w:hAnsi="Arial"/>
          <w:sz w:val="24"/>
          <w:lang w:val="fr-CA"/>
        </w:rPr>
        <w:t>panel o</w:t>
      </w:r>
      <w:r w:rsidRPr="00A63B3D">
        <w:rPr>
          <w:rFonts w:ascii="Arial" w:hAnsi="Arial"/>
          <w:sz w:val="24"/>
          <w:lang w:val="fr-CA"/>
        </w:rPr>
        <w:t>u envoyer les échantillons à un laboratoire de vérification, conformément à la procédure établie</w:t>
      </w:r>
      <w:r w:rsidR="00E8364F" w:rsidRPr="00A63B3D">
        <w:rPr>
          <w:rFonts w:ascii="Arial" w:hAnsi="Arial"/>
          <w:sz w:val="24"/>
          <w:lang w:val="fr-CA"/>
        </w:rPr>
        <w:t>.</w:t>
      </w:r>
      <w:r w:rsidRPr="00A63B3D">
        <w:rPr>
          <w:rFonts w:ascii="Arial" w:hAnsi="Arial"/>
          <w:sz w:val="24"/>
          <w:lang w:val="fr-CA"/>
        </w:rPr>
        <w:t xml:space="preserve"> </w:t>
      </w:r>
      <w:r w:rsidR="00E62919" w:rsidRPr="00A63B3D">
        <w:rPr>
          <w:rFonts w:ascii="Arial" w:hAnsi="Arial"/>
          <w:sz w:val="24"/>
          <w:lang w:val="fr-CA"/>
        </w:rPr>
        <w:t xml:space="preserve">Voir EC.007 </w:t>
      </w:r>
      <w:r w:rsidR="005D1C27" w:rsidRPr="00A63B3D">
        <w:rPr>
          <w:rFonts w:ascii="Arial" w:hAnsi="Arial"/>
          <w:sz w:val="24"/>
          <w:lang w:val="fr-CA"/>
        </w:rPr>
        <w:t>–</w:t>
      </w:r>
      <w:r w:rsidR="00E62919" w:rsidRPr="00A63B3D">
        <w:rPr>
          <w:rFonts w:ascii="Arial" w:hAnsi="Arial"/>
          <w:sz w:val="24"/>
          <w:lang w:val="fr-CA"/>
        </w:rPr>
        <w:t xml:space="preserve"> </w:t>
      </w:r>
      <w:r w:rsidR="005D1C27" w:rsidRPr="00A63B3D">
        <w:rPr>
          <w:rFonts w:ascii="Arial" w:hAnsi="Arial"/>
          <w:sz w:val="24"/>
          <w:lang w:val="fr-CA"/>
        </w:rPr>
        <w:t>I</w:t>
      </w:r>
      <w:r w:rsidR="00E62919" w:rsidRPr="00A63B3D">
        <w:rPr>
          <w:rFonts w:ascii="Arial" w:hAnsi="Arial"/>
          <w:sz w:val="24"/>
          <w:lang w:val="fr-CA"/>
        </w:rPr>
        <w:t>dentification d'anticorps réactifs chauds</w:t>
      </w:r>
      <w:r w:rsidR="00B3227D">
        <w:rPr>
          <w:rFonts w:ascii="Arial" w:hAnsi="Arial"/>
          <w:sz w:val="24"/>
          <w:lang w:val="fr-CA"/>
        </w:rPr>
        <w:t>.</w:t>
      </w:r>
      <w:r w:rsidR="00E8364F" w:rsidRPr="00A63B3D">
        <w:rPr>
          <w:rFonts w:ascii="Arial" w:hAnsi="Arial"/>
          <w:sz w:val="24"/>
          <w:lang w:val="fr-CA"/>
        </w:rPr>
        <w:t xml:space="preserve"> 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E8364F" w:rsidRDefault="00E8364F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E8364F">
        <w:rPr>
          <w:rFonts w:ascii="Arial" w:hAnsi="Arial"/>
          <w:sz w:val="24"/>
          <w:lang w:val="fr-CA"/>
        </w:rPr>
        <w:t>In</w:t>
      </w:r>
      <w:r w:rsidR="00A63B3D">
        <w:rPr>
          <w:rFonts w:ascii="Arial" w:hAnsi="Arial"/>
          <w:sz w:val="24"/>
          <w:lang w:val="fr-CA"/>
        </w:rPr>
        <w:t xml:space="preserve">scrire sur le formulaire de demande que la ou les unités de donneur sont </w:t>
      </w:r>
      <w:r w:rsidRPr="00E8364F">
        <w:rPr>
          <w:rFonts w:ascii="Arial" w:hAnsi="Arial"/>
          <w:sz w:val="24"/>
          <w:lang w:val="fr-CA"/>
        </w:rPr>
        <w:t>incompatible</w:t>
      </w:r>
      <w:r w:rsidR="00A63B3D">
        <w:rPr>
          <w:rFonts w:ascii="Arial" w:hAnsi="Arial"/>
          <w:sz w:val="24"/>
          <w:lang w:val="fr-CA"/>
        </w:rPr>
        <w:t>s</w:t>
      </w:r>
      <w:r w:rsidRPr="00E8364F">
        <w:rPr>
          <w:rFonts w:ascii="Arial" w:hAnsi="Arial"/>
          <w:sz w:val="24"/>
          <w:lang w:val="fr-CA"/>
        </w:rPr>
        <w:t>.</w:t>
      </w:r>
    </w:p>
    <w:p w:rsidR="00E8364F" w:rsidRPr="00E8364F" w:rsidRDefault="00A63B3D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En situation d’urgence et après consultation avec le directeur médical ou son représentant, les unités de donneur qui semblent compatibles peuvent être transfusé</w:t>
      </w:r>
      <w:r w:rsidR="00B3227D">
        <w:rPr>
          <w:rFonts w:ascii="Arial" w:hAnsi="Arial"/>
          <w:sz w:val="24"/>
          <w:lang w:val="fr-CA"/>
        </w:rPr>
        <w:t>e</w:t>
      </w:r>
      <w:r>
        <w:rPr>
          <w:rFonts w:ascii="Arial" w:hAnsi="Arial"/>
          <w:sz w:val="24"/>
          <w:lang w:val="fr-CA"/>
        </w:rPr>
        <w:t xml:space="preserve">s si l’on manque de temps pour procéder à un dépistage d’anticorps et/ou au phénotypage des unités de donneur. </w:t>
      </w:r>
      <w:r w:rsidR="00E62919">
        <w:rPr>
          <w:rFonts w:ascii="Arial" w:hAnsi="Arial"/>
          <w:sz w:val="24"/>
          <w:lang w:val="fr-CA"/>
        </w:rPr>
        <w:t>Voir</w:t>
      </w:r>
      <w:r w:rsidR="00E8364F" w:rsidRPr="00E8364F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>CAQ</w:t>
      </w:r>
      <w:r w:rsidR="00E8364F" w:rsidRPr="00E8364F">
        <w:rPr>
          <w:rFonts w:ascii="Arial" w:hAnsi="Arial"/>
          <w:sz w:val="24"/>
          <w:lang w:val="fr-CA"/>
        </w:rPr>
        <w:t>.0</w:t>
      </w:r>
      <w:r w:rsidR="00B3227D">
        <w:rPr>
          <w:rFonts w:ascii="Arial" w:hAnsi="Arial"/>
          <w:sz w:val="24"/>
          <w:lang w:val="fr-CA"/>
        </w:rPr>
        <w:t>2</w:t>
      </w:r>
      <w:r w:rsidR="00E8364F" w:rsidRPr="00E8364F">
        <w:rPr>
          <w:rFonts w:ascii="Arial" w:hAnsi="Arial"/>
          <w:sz w:val="24"/>
          <w:lang w:val="fr-CA"/>
        </w:rPr>
        <w:t xml:space="preserve">0 – </w:t>
      </w:r>
      <w:r w:rsidRPr="00A63B3D">
        <w:rPr>
          <w:rFonts w:ascii="Arial" w:hAnsi="Arial"/>
          <w:sz w:val="24"/>
          <w:lang w:val="fr-CA"/>
        </w:rPr>
        <w:t>Protocole de consultation du directeur médical</w:t>
      </w:r>
      <w:r w:rsidR="00E8364F" w:rsidRPr="00E8364F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5D1C27" w:rsidRDefault="008B4170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D1C27">
        <w:rPr>
          <w:rFonts w:ascii="Arial" w:hAnsi="Arial"/>
          <w:sz w:val="24"/>
          <w:lang w:val="fr-CA"/>
        </w:rPr>
        <w:t xml:space="preserve">Si toutes les unités de donneur sont compatibles </w:t>
      </w:r>
      <w:r w:rsidR="00E8364F" w:rsidRPr="005D1C27">
        <w:rPr>
          <w:rFonts w:ascii="Arial" w:hAnsi="Arial"/>
          <w:sz w:val="24"/>
          <w:lang w:val="fr-CA"/>
        </w:rPr>
        <w:t>:</w:t>
      </w:r>
    </w:p>
    <w:p w:rsidR="00E8364F" w:rsidRPr="005D1C27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5D1C27" w:rsidRDefault="00B3227D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Confirmer</w:t>
      </w:r>
      <w:r w:rsidR="008B4170" w:rsidRPr="005D1C27">
        <w:rPr>
          <w:rFonts w:ascii="Arial" w:hAnsi="Arial"/>
          <w:sz w:val="24"/>
          <w:lang w:val="fr-CA"/>
        </w:rPr>
        <w:t xml:space="preserve"> dans la documentation que le dépistage d’anticorps est négatif et qu’il n’y a aucun antécédent d’anticorps cliniquement significatif</w:t>
      </w:r>
      <w:r w:rsidR="00E8364F" w:rsidRPr="005D1C27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E8364F" w:rsidRDefault="00E8364F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E8364F">
        <w:rPr>
          <w:rFonts w:ascii="Arial" w:hAnsi="Arial"/>
          <w:sz w:val="24"/>
          <w:lang w:val="fr-CA"/>
        </w:rPr>
        <w:t xml:space="preserve"> </w:t>
      </w:r>
      <w:r w:rsidR="005D1C27" w:rsidRPr="00DB7755">
        <w:rPr>
          <w:rFonts w:ascii="Arial" w:hAnsi="Arial"/>
          <w:sz w:val="24"/>
          <w:lang w:val="fr-CA"/>
        </w:rPr>
        <w:t>Si l’émission de composants sanguins n’est pas informatisée, s’assurer d’inscrire les données relatives au patient et aux unités sur le formulaire du registre de mise en circulation /de transfusion.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E8364F" w:rsidRDefault="008B4170" w:rsidP="008F0A98">
      <w:pPr>
        <w:numPr>
          <w:ilvl w:val="3"/>
          <w:numId w:val="1"/>
        </w:numPr>
        <w:rPr>
          <w:rFonts w:ascii="Arial" w:hAnsi="Arial"/>
          <w:sz w:val="24"/>
          <w:lang w:val="fr-CA"/>
        </w:rPr>
      </w:pPr>
      <w:r w:rsidRPr="005D1C27">
        <w:rPr>
          <w:rFonts w:ascii="Arial" w:hAnsi="Arial"/>
          <w:sz w:val="24"/>
          <w:lang w:val="fr-CA"/>
        </w:rPr>
        <w:t>Pour obtenir plus d’information, voir GI</w:t>
      </w:r>
      <w:r w:rsidR="00E8364F" w:rsidRPr="005D1C27">
        <w:rPr>
          <w:rFonts w:ascii="Arial" w:hAnsi="Arial"/>
          <w:sz w:val="24"/>
          <w:lang w:val="fr-CA"/>
        </w:rPr>
        <w:t xml:space="preserve">.004 – </w:t>
      </w:r>
      <w:r w:rsidRPr="005D1C27">
        <w:rPr>
          <w:rFonts w:ascii="Arial" w:hAnsi="Arial"/>
          <w:sz w:val="24"/>
          <w:lang w:val="fr-CA"/>
        </w:rPr>
        <w:t>Mise en circulation manuelle de sang, de composants sanguins et d’autres produits connexes en se</w:t>
      </w:r>
      <w:r w:rsidRPr="008B4170">
        <w:rPr>
          <w:rFonts w:ascii="Arial" w:hAnsi="Arial"/>
          <w:sz w:val="24"/>
          <w:lang w:val="fr-CA"/>
        </w:rPr>
        <w:t xml:space="preserve"> servant du registre de mise en circulation /de transfusion de produit</w:t>
      </w:r>
      <w:r w:rsidR="00662F18">
        <w:rPr>
          <w:rFonts w:ascii="Arial" w:hAnsi="Arial"/>
          <w:sz w:val="24"/>
          <w:lang w:val="fr-CA"/>
        </w:rPr>
        <w:t>s</w:t>
      </w:r>
      <w:r w:rsidRPr="008B4170">
        <w:rPr>
          <w:rFonts w:ascii="Arial" w:hAnsi="Arial"/>
          <w:sz w:val="24"/>
          <w:lang w:val="fr-CA"/>
        </w:rPr>
        <w:t xml:space="preserve"> sanguins</w:t>
      </w:r>
      <w:r w:rsidR="00E8364F" w:rsidRPr="00E8364F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8B4170" w:rsidRDefault="00852556" w:rsidP="00852556">
      <w:pPr>
        <w:ind w:left="2127" w:hanging="709"/>
        <w:rPr>
          <w:rFonts w:ascii="Arial" w:hAnsi="Arial"/>
          <w:sz w:val="24"/>
          <w:lang w:val="fr-CA"/>
        </w:rPr>
      </w:pPr>
      <w:r w:rsidRPr="00852556">
        <w:rPr>
          <w:rFonts w:ascii="Arial" w:hAnsi="Arial"/>
          <w:sz w:val="24"/>
          <w:lang w:val="fr-CA"/>
        </w:rPr>
        <w:t>6.2</w:t>
      </w:r>
      <w:r w:rsidR="00DB31B9">
        <w:rPr>
          <w:rFonts w:ascii="Arial" w:hAnsi="Arial"/>
          <w:sz w:val="24"/>
          <w:lang w:val="fr-CA"/>
        </w:rPr>
        <w:t>3</w:t>
      </w:r>
      <w:r w:rsidRPr="00852556">
        <w:rPr>
          <w:rFonts w:ascii="Arial" w:hAnsi="Arial"/>
          <w:sz w:val="24"/>
          <w:lang w:val="fr-CA"/>
        </w:rPr>
        <w:t>.</w:t>
      </w:r>
      <w:r w:rsidR="00DB31B9">
        <w:rPr>
          <w:rFonts w:ascii="Arial" w:hAnsi="Arial"/>
          <w:sz w:val="24"/>
          <w:lang w:val="fr-CA"/>
        </w:rPr>
        <w:t>3</w:t>
      </w:r>
      <w:r w:rsidRPr="00852556">
        <w:rPr>
          <w:rFonts w:ascii="Arial" w:hAnsi="Arial"/>
          <w:sz w:val="24"/>
          <w:lang w:val="fr-CA"/>
        </w:rPr>
        <w:tab/>
      </w:r>
      <w:r w:rsidR="00E8364F" w:rsidRPr="00852556">
        <w:rPr>
          <w:rFonts w:ascii="Arial" w:hAnsi="Arial"/>
          <w:sz w:val="24"/>
          <w:lang w:val="fr-CA"/>
        </w:rPr>
        <w:t>Pr</w:t>
      </w:r>
      <w:r w:rsidR="008B4170" w:rsidRPr="00852556">
        <w:rPr>
          <w:rFonts w:ascii="Arial" w:hAnsi="Arial"/>
          <w:sz w:val="24"/>
          <w:lang w:val="fr-CA"/>
        </w:rPr>
        <w:t>éparer une étiquette de compatibilité pour chaque unité de donneur, où figureront les données suivantes</w:t>
      </w:r>
      <w:r w:rsidR="00DB31B9" w:rsidRPr="00DB31B9">
        <w:rPr>
          <w:rFonts w:ascii="Arial" w:hAnsi="Arial"/>
          <w:sz w:val="24"/>
          <w:vertAlign w:val="superscript"/>
          <w:lang w:val="fr-CA"/>
        </w:rPr>
        <w:t>9.1</w:t>
      </w:r>
      <w:r w:rsidRPr="00852556">
        <w:rPr>
          <w:rFonts w:ascii="Arial" w:hAnsi="Arial"/>
          <w:sz w:val="24"/>
          <w:lang w:val="fr-CA"/>
        </w:rPr>
        <w:t> :</w:t>
      </w:r>
      <w:r w:rsidR="00F5390F">
        <w:rPr>
          <w:rFonts w:ascii="Arial" w:hAnsi="Arial"/>
          <w:sz w:val="24"/>
          <w:lang w:val="fr-CA"/>
        </w:rPr>
        <w:t xml:space="preserve"> </w:t>
      </w:r>
    </w:p>
    <w:p w:rsidR="00E8364F" w:rsidRPr="008B4170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8B4170" w:rsidRDefault="008B4170">
      <w:pPr>
        <w:numPr>
          <w:ilvl w:val="0"/>
          <w:numId w:val="5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 w:rsidRPr="008B4170">
        <w:rPr>
          <w:rFonts w:ascii="Arial" w:hAnsi="Arial"/>
          <w:sz w:val="24"/>
          <w:lang w:val="fr-CA"/>
        </w:rPr>
        <w:t xml:space="preserve">le </w:t>
      </w:r>
      <w:r w:rsidR="00E62919" w:rsidRPr="008B4170">
        <w:rPr>
          <w:rFonts w:ascii="Arial" w:hAnsi="Arial"/>
          <w:sz w:val="24"/>
          <w:lang w:val="fr-CA"/>
        </w:rPr>
        <w:t>nom de famille et prénom du patient</w:t>
      </w:r>
    </w:p>
    <w:p w:rsidR="00E8364F" w:rsidRPr="008B4170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8B4170" w:rsidRDefault="00E62919">
      <w:pPr>
        <w:numPr>
          <w:ilvl w:val="0"/>
          <w:numId w:val="5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 w:rsidRPr="008B4170">
        <w:rPr>
          <w:rFonts w:ascii="Arial" w:hAnsi="Arial"/>
          <w:sz w:val="24"/>
          <w:lang w:val="fr-CA"/>
        </w:rPr>
        <w:t>le numéro d'identification du patient</w:t>
      </w:r>
    </w:p>
    <w:p w:rsidR="00E8364F" w:rsidRPr="008B4170" w:rsidRDefault="00E8364F">
      <w:pPr>
        <w:rPr>
          <w:rFonts w:ascii="Arial" w:hAnsi="Arial"/>
          <w:sz w:val="24"/>
          <w:lang w:val="fr-CA"/>
        </w:rPr>
      </w:pPr>
    </w:p>
    <w:p w:rsidR="00E8364F" w:rsidRPr="008B4170" w:rsidRDefault="00E62919">
      <w:pPr>
        <w:numPr>
          <w:ilvl w:val="0"/>
          <w:numId w:val="5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 w:rsidRPr="008B4170">
        <w:rPr>
          <w:rFonts w:ascii="Arial" w:hAnsi="Arial"/>
          <w:sz w:val="24"/>
          <w:lang w:val="fr-CA"/>
        </w:rPr>
        <w:t xml:space="preserve">le groupe </w:t>
      </w:r>
      <w:r w:rsidR="00554D1C" w:rsidRPr="008B4170">
        <w:rPr>
          <w:rFonts w:ascii="Arial" w:hAnsi="Arial"/>
          <w:sz w:val="24"/>
          <w:lang w:val="fr-CA"/>
        </w:rPr>
        <w:t>ABO</w:t>
      </w:r>
      <w:r w:rsidRPr="008B4170">
        <w:rPr>
          <w:rFonts w:ascii="Arial" w:hAnsi="Arial"/>
          <w:sz w:val="24"/>
          <w:lang w:val="fr-CA"/>
        </w:rPr>
        <w:t xml:space="preserve"> et le facteur </w:t>
      </w:r>
      <w:r w:rsidR="00554D1C" w:rsidRPr="008B4170">
        <w:rPr>
          <w:rFonts w:ascii="Arial" w:hAnsi="Arial"/>
          <w:sz w:val="24"/>
          <w:lang w:val="fr-CA"/>
        </w:rPr>
        <w:t>R</w:t>
      </w:r>
      <w:r w:rsidRPr="008B4170">
        <w:rPr>
          <w:rFonts w:ascii="Arial" w:hAnsi="Arial"/>
          <w:sz w:val="24"/>
          <w:lang w:val="fr-CA"/>
        </w:rPr>
        <w:t>h du patient</w:t>
      </w:r>
    </w:p>
    <w:p w:rsidR="00E8364F" w:rsidRPr="008B4170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8B4170" w:rsidRDefault="00E62919">
      <w:pPr>
        <w:numPr>
          <w:ilvl w:val="0"/>
          <w:numId w:val="5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 w:rsidRPr="008B4170">
        <w:rPr>
          <w:rFonts w:ascii="Arial" w:hAnsi="Arial"/>
          <w:sz w:val="24"/>
          <w:lang w:val="fr-CA"/>
        </w:rPr>
        <w:t>le nom du produit</w:t>
      </w:r>
    </w:p>
    <w:p w:rsidR="00E8364F" w:rsidRPr="008B4170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8B4170" w:rsidRDefault="00E62919">
      <w:pPr>
        <w:numPr>
          <w:ilvl w:val="0"/>
          <w:numId w:val="5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 w:rsidRPr="008B4170">
        <w:rPr>
          <w:rFonts w:ascii="Arial" w:hAnsi="Arial"/>
          <w:sz w:val="24"/>
          <w:lang w:val="fr-CA"/>
        </w:rPr>
        <w:t>le numéro de série de l'unité du donneur (incluant le code de contrôle et le code de l'établissement de collecte)</w:t>
      </w:r>
    </w:p>
    <w:p w:rsidR="00E8364F" w:rsidRPr="008B4170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8B4170" w:rsidRDefault="00E62919">
      <w:pPr>
        <w:numPr>
          <w:ilvl w:val="0"/>
          <w:numId w:val="5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 w:rsidRPr="008B4170">
        <w:rPr>
          <w:rFonts w:ascii="Arial" w:hAnsi="Arial"/>
          <w:sz w:val="24"/>
          <w:lang w:val="fr-CA"/>
        </w:rPr>
        <w:t xml:space="preserve">le groupe </w:t>
      </w:r>
      <w:r w:rsidR="00554D1C" w:rsidRPr="008B4170">
        <w:rPr>
          <w:rFonts w:ascii="Arial" w:hAnsi="Arial"/>
          <w:sz w:val="24"/>
          <w:lang w:val="fr-CA"/>
        </w:rPr>
        <w:t>ABO</w:t>
      </w:r>
      <w:r w:rsidRPr="008B4170">
        <w:rPr>
          <w:rFonts w:ascii="Arial" w:hAnsi="Arial"/>
          <w:sz w:val="24"/>
          <w:lang w:val="fr-CA"/>
        </w:rPr>
        <w:t xml:space="preserve"> et le facteur </w:t>
      </w:r>
      <w:r w:rsidR="00554D1C" w:rsidRPr="008B4170">
        <w:rPr>
          <w:rFonts w:ascii="Arial" w:hAnsi="Arial"/>
          <w:sz w:val="24"/>
          <w:lang w:val="fr-CA"/>
        </w:rPr>
        <w:t>R</w:t>
      </w:r>
      <w:r w:rsidRPr="008B4170">
        <w:rPr>
          <w:rFonts w:ascii="Arial" w:hAnsi="Arial"/>
          <w:sz w:val="24"/>
          <w:lang w:val="fr-CA"/>
        </w:rPr>
        <w:t>h d</w:t>
      </w:r>
      <w:r w:rsidR="00B3227D">
        <w:rPr>
          <w:rFonts w:ascii="Arial" w:hAnsi="Arial"/>
          <w:sz w:val="24"/>
          <w:lang w:val="fr-CA"/>
        </w:rPr>
        <w:t>e l’unité de</w:t>
      </w:r>
      <w:r w:rsidRPr="008B4170">
        <w:rPr>
          <w:rFonts w:ascii="Arial" w:hAnsi="Arial"/>
          <w:sz w:val="24"/>
          <w:lang w:val="fr-CA"/>
        </w:rPr>
        <w:t xml:space="preserve"> donneur</w:t>
      </w:r>
    </w:p>
    <w:p w:rsidR="00E8364F" w:rsidRPr="008B4170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8B4170" w:rsidRDefault="00E62919">
      <w:pPr>
        <w:numPr>
          <w:ilvl w:val="0"/>
          <w:numId w:val="5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 w:rsidRPr="008B4170">
        <w:rPr>
          <w:rFonts w:ascii="Arial" w:hAnsi="Arial"/>
          <w:sz w:val="24"/>
          <w:lang w:val="fr-CA"/>
        </w:rPr>
        <w:t>la compatibilité des globules rouges</w:t>
      </w:r>
    </w:p>
    <w:p w:rsidR="00E8364F" w:rsidRPr="008B4170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8B4170" w:rsidRDefault="00E62919">
      <w:pPr>
        <w:numPr>
          <w:ilvl w:val="0"/>
          <w:numId w:val="5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 w:rsidRPr="008B4170">
        <w:rPr>
          <w:rFonts w:ascii="Arial" w:hAnsi="Arial"/>
          <w:sz w:val="24"/>
          <w:lang w:val="fr-CA"/>
        </w:rPr>
        <w:t>la date et l'heure de l'é</w:t>
      </w:r>
      <w:r w:rsidR="00DB31B9">
        <w:rPr>
          <w:rFonts w:ascii="Arial" w:hAnsi="Arial"/>
          <w:sz w:val="24"/>
          <w:lang w:val="fr-CA"/>
        </w:rPr>
        <w:t>mission</w:t>
      </w:r>
    </w:p>
    <w:p w:rsidR="00E8364F" w:rsidRPr="008B4170" w:rsidRDefault="008B4170">
      <w:pPr>
        <w:ind w:left="2160"/>
        <w:rPr>
          <w:rFonts w:ascii="Arial" w:hAnsi="Arial"/>
          <w:sz w:val="24"/>
          <w:lang w:val="fr-CA"/>
        </w:rPr>
      </w:pPr>
      <w:r w:rsidRPr="008B4170">
        <w:rPr>
          <w:rFonts w:ascii="Arial" w:hAnsi="Arial"/>
          <w:sz w:val="24"/>
          <w:lang w:val="fr-CA"/>
        </w:rPr>
        <w:t>L’</w:t>
      </w:r>
      <w:r w:rsidR="00E8364F" w:rsidRPr="008B4170">
        <w:rPr>
          <w:rFonts w:ascii="Arial" w:hAnsi="Arial"/>
          <w:sz w:val="24"/>
          <w:lang w:val="fr-CA"/>
        </w:rPr>
        <w:t xml:space="preserve">information </w:t>
      </w:r>
      <w:r w:rsidRPr="008B4170">
        <w:rPr>
          <w:rFonts w:ascii="Arial" w:hAnsi="Arial"/>
          <w:sz w:val="24"/>
          <w:lang w:val="fr-CA"/>
        </w:rPr>
        <w:t>ci-dessus peut être imprimée sur une étiquette de compatibilité générée par ordinateur</w:t>
      </w:r>
      <w:r w:rsidR="00E8364F" w:rsidRPr="008B4170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8B4170" w:rsidRDefault="00013B1B" w:rsidP="00013B1B">
      <w:pPr>
        <w:tabs>
          <w:tab w:val="left" w:pos="2127"/>
        </w:tabs>
        <w:ind w:left="144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6.2</w:t>
      </w:r>
      <w:r w:rsidR="00DB31B9">
        <w:rPr>
          <w:rFonts w:ascii="Arial" w:hAnsi="Arial"/>
          <w:sz w:val="24"/>
          <w:lang w:val="fr-CA"/>
        </w:rPr>
        <w:t>3</w:t>
      </w:r>
      <w:r>
        <w:rPr>
          <w:rFonts w:ascii="Arial" w:hAnsi="Arial"/>
          <w:sz w:val="24"/>
          <w:lang w:val="fr-CA"/>
        </w:rPr>
        <w:t>.</w:t>
      </w:r>
      <w:r w:rsidR="00DB31B9">
        <w:rPr>
          <w:rFonts w:ascii="Arial" w:hAnsi="Arial"/>
          <w:sz w:val="24"/>
          <w:lang w:val="fr-CA"/>
        </w:rPr>
        <w:t>4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 w:rsidR="00E8364F" w:rsidRPr="008B4170">
        <w:rPr>
          <w:rFonts w:ascii="Arial" w:hAnsi="Arial"/>
          <w:sz w:val="24"/>
          <w:lang w:val="fr-CA"/>
        </w:rPr>
        <w:t>Reti</w:t>
      </w:r>
      <w:r w:rsidR="00554D1C" w:rsidRPr="008B4170">
        <w:rPr>
          <w:rFonts w:ascii="Arial" w:hAnsi="Arial"/>
          <w:sz w:val="24"/>
          <w:lang w:val="fr-CA"/>
        </w:rPr>
        <w:t xml:space="preserve">rer les unités de donneur du </w:t>
      </w:r>
      <w:r w:rsidR="008B4170" w:rsidRPr="008B4170">
        <w:rPr>
          <w:rFonts w:ascii="Arial" w:hAnsi="Arial"/>
          <w:sz w:val="24"/>
          <w:lang w:val="fr-CA"/>
        </w:rPr>
        <w:t xml:space="preserve">réfrigérateur </w:t>
      </w:r>
      <w:r>
        <w:rPr>
          <w:rFonts w:ascii="Arial" w:hAnsi="Arial"/>
          <w:sz w:val="24"/>
          <w:lang w:val="fr-CA"/>
        </w:rPr>
        <w:tab/>
      </w:r>
      <w:r w:rsidR="008B4170" w:rsidRPr="008B4170">
        <w:rPr>
          <w:rFonts w:ascii="Arial" w:hAnsi="Arial"/>
          <w:sz w:val="24"/>
          <w:lang w:val="fr-CA"/>
        </w:rPr>
        <w:t>d’entreposage des produits sanguins</w:t>
      </w:r>
      <w:r w:rsidR="00E8364F" w:rsidRPr="008B4170">
        <w:rPr>
          <w:rFonts w:ascii="Arial" w:hAnsi="Arial"/>
          <w:sz w:val="24"/>
          <w:lang w:val="fr-CA"/>
        </w:rPr>
        <w:t xml:space="preserve">. </w:t>
      </w:r>
      <w:r w:rsidR="008B4170" w:rsidRPr="008B4170">
        <w:rPr>
          <w:rFonts w:ascii="Arial" w:hAnsi="Arial"/>
          <w:sz w:val="24"/>
          <w:lang w:val="fr-CA"/>
        </w:rPr>
        <w:t xml:space="preserve">Pour chaque unité : 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554D1C" w:rsidRDefault="00E8364F">
      <w:pPr>
        <w:numPr>
          <w:ilvl w:val="0"/>
          <w:numId w:val="6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 w:rsidRPr="00554D1C">
        <w:rPr>
          <w:rFonts w:ascii="Arial" w:hAnsi="Arial"/>
          <w:sz w:val="24"/>
          <w:lang w:val="fr-CA"/>
        </w:rPr>
        <w:t>Compare</w:t>
      </w:r>
      <w:r w:rsidR="00554D1C" w:rsidRPr="00554D1C">
        <w:rPr>
          <w:rFonts w:ascii="Arial" w:hAnsi="Arial"/>
          <w:sz w:val="24"/>
          <w:lang w:val="fr-CA"/>
        </w:rPr>
        <w:t>r le numéro d’unité imprimé sur l’étiquette du sac de produit sanguin au numéro d’unité inscrit sur le formulaire de demande</w:t>
      </w:r>
      <w:r w:rsidRPr="00554D1C">
        <w:rPr>
          <w:rFonts w:ascii="Arial" w:hAnsi="Arial"/>
          <w:sz w:val="24"/>
          <w:lang w:val="fr-CA"/>
        </w:rPr>
        <w:t xml:space="preserve"> o</w:t>
      </w:r>
      <w:r w:rsidR="00554D1C" w:rsidRPr="00554D1C">
        <w:rPr>
          <w:rFonts w:ascii="Arial" w:hAnsi="Arial"/>
          <w:sz w:val="24"/>
          <w:lang w:val="fr-CA"/>
        </w:rPr>
        <w:t xml:space="preserve">u à l’écran de l’ordinateur et sur l’étiquette de </w:t>
      </w:r>
      <w:r w:rsidRPr="00554D1C">
        <w:rPr>
          <w:rFonts w:ascii="Arial" w:hAnsi="Arial"/>
          <w:sz w:val="24"/>
          <w:lang w:val="fr-CA"/>
        </w:rPr>
        <w:t>compatibilit</w:t>
      </w:r>
      <w:r w:rsidR="00554D1C" w:rsidRPr="00554D1C">
        <w:rPr>
          <w:rFonts w:ascii="Arial" w:hAnsi="Arial"/>
          <w:sz w:val="24"/>
          <w:lang w:val="fr-CA"/>
        </w:rPr>
        <w:t>é</w:t>
      </w:r>
      <w:r w:rsidRPr="00554D1C">
        <w:rPr>
          <w:rFonts w:ascii="Arial" w:hAnsi="Arial"/>
          <w:sz w:val="24"/>
          <w:lang w:val="fr-CA"/>
        </w:rPr>
        <w:t>.</w:t>
      </w:r>
    </w:p>
    <w:p w:rsidR="00E8364F" w:rsidRPr="00554D1C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554D1C" w:rsidRDefault="00554D1C">
      <w:pPr>
        <w:numPr>
          <w:ilvl w:val="0"/>
          <w:numId w:val="6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 w:rsidRPr="00554D1C">
        <w:rPr>
          <w:rFonts w:ascii="Arial" w:hAnsi="Arial"/>
          <w:sz w:val="24"/>
          <w:lang w:val="fr-CA"/>
        </w:rPr>
        <w:t xml:space="preserve">S’ils sont </w:t>
      </w:r>
      <w:r w:rsidR="00E8364F" w:rsidRPr="00DB31B9">
        <w:rPr>
          <w:rFonts w:ascii="Arial" w:hAnsi="Arial"/>
          <w:sz w:val="24"/>
          <w:lang w:val="fr-CA"/>
        </w:rPr>
        <w:t>identi</w:t>
      </w:r>
      <w:r w:rsidRPr="00DB31B9">
        <w:rPr>
          <w:rFonts w:ascii="Arial" w:hAnsi="Arial"/>
          <w:sz w:val="24"/>
          <w:lang w:val="fr-CA"/>
        </w:rPr>
        <w:t>ques</w:t>
      </w:r>
      <w:r w:rsidR="00E8364F" w:rsidRPr="00554D1C">
        <w:rPr>
          <w:rFonts w:ascii="Arial" w:hAnsi="Arial"/>
          <w:sz w:val="24"/>
          <w:lang w:val="fr-CA"/>
        </w:rPr>
        <w:t>, attach</w:t>
      </w:r>
      <w:r w:rsidRPr="00554D1C">
        <w:rPr>
          <w:rFonts w:ascii="Arial" w:hAnsi="Arial"/>
          <w:sz w:val="24"/>
          <w:lang w:val="fr-CA"/>
        </w:rPr>
        <w:t>er l’étiquette de c</w:t>
      </w:r>
      <w:r w:rsidR="00E8364F" w:rsidRPr="00554D1C">
        <w:rPr>
          <w:rFonts w:ascii="Arial" w:hAnsi="Arial"/>
          <w:sz w:val="24"/>
          <w:lang w:val="fr-CA"/>
        </w:rPr>
        <w:t>ompatibilit</w:t>
      </w:r>
      <w:r w:rsidRPr="00554D1C">
        <w:rPr>
          <w:rFonts w:ascii="Arial" w:hAnsi="Arial"/>
          <w:sz w:val="24"/>
          <w:lang w:val="fr-CA"/>
        </w:rPr>
        <w:t>é à l’unité du donneur</w:t>
      </w:r>
      <w:r w:rsidR="00E8364F" w:rsidRPr="00554D1C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F065E2" w:rsidRDefault="00B3227D">
      <w:pPr>
        <w:numPr>
          <w:ilvl w:val="0"/>
          <w:numId w:val="6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En cas de substitution d’une </w:t>
      </w:r>
      <w:r w:rsidR="00554D1C" w:rsidRPr="00F065E2">
        <w:rPr>
          <w:rFonts w:ascii="Arial" w:hAnsi="Arial"/>
          <w:sz w:val="24"/>
          <w:lang w:val="fr-CA"/>
        </w:rPr>
        <w:t xml:space="preserve">unité </w:t>
      </w:r>
      <w:r w:rsidR="00E8364F" w:rsidRPr="00F065E2">
        <w:rPr>
          <w:rFonts w:ascii="Arial" w:hAnsi="Arial"/>
          <w:sz w:val="24"/>
          <w:lang w:val="fr-CA"/>
        </w:rPr>
        <w:t>Rh n</w:t>
      </w:r>
      <w:r w:rsidR="00554D1C" w:rsidRPr="00F065E2">
        <w:rPr>
          <w:rFonts w:ascii="Arial" w:hAnsi="Arial"/>
          <w:sz w:val="24"/>
          <w:lang w:val="fr-CA"/>
        </w:rPr>
        <w:t>é</w:t>
      </w:r>
      <w:r w:rsidR="00E8364F" w:rsidRPr="00F065E2">
        <w:rPr>
          <w:rFonts w:ascii="Arial" w:hAnsi="Arial"/>
          <w:sz w:val="24"/>
          <w:lang w:val="fr-CA"/>
        </w:rPr>
        <w:t>gati</w:t>
      </w:r>
      <w:r>
        <w:rPr>
          <w:rFonts w:ascii="Arial" w:hAnsi="Arial"/>
          <w:sz w:val="24"/>
          <w:lang w:val="fr-CA"/>
        </w:rPr>
        <w:t>f</w:t>
      </w:r>
      <w:r w:rsidR="00554D1C" w:rsidRPr="00F065E2">
        <w:rPr>
          <w:rFonts w:ascii="Arial" w:hAnsi="Arial"/>
          <w:sz w:val="24"/>
          <w:lang w:val="fr-CA"/>
        </w:rPr>
        <w:t xml:space="preserve"> </w:t>
      </w:r>
      <w:r w:rsidR="00F065E2">
        <w:rPr>
          <w:rFonts w:ascii="Arial" w:hAnsi="Arial"/>
          <w:sz w:val="24"/>
          <w:lang w:val="fr-CA"/>
        </w:rPr>
        <w:t>p</w:t>
      </w:r>
      <w:r>
        <w:rPr>
          <w:rFonts w:ascii="Arial" w:hAnsi="Arial"/>
          <w:sz w:val="24"/>
          <w:lang w:val="fr-CA"/>
        </w:rPr>
        <w:t xml:space="preserve">ar une unité </w:t>
      </w:r>
      <w:r w:rsidR="00E8364F" w:rsidRPr="00F065E2">
        <w:rPr>
          <w:rFonts w:ascii="Arial" w:hAnsi="Arial"/>
          <w:sz w:val="24"/>
          <w:lang w:val="fr-CA"/>
        </w:rPr>
        <w:t>Rh positi</w:t>
      </w:r>
      <w:r w:rsidR="00852556">
        <w:rPr>
          <w:rFonts w:ascii="Arial" w:hAnsi="Arial"/>
          <w:sz w:val="24"/>
          <w:lang w:val="fr-CA"/>
        </w:rPr>
        <w:t>f</w:t>
      </w:r>
      <w:r w:rsidR="00554D1C" w:rsidRPr="00F065E2">
        <w:rPr>
          <w:rFonts w:ascii="Arial" w:hAnsi="Arial"/>
          <w:sz w:val="24"/>
          <w:lang w:val="fr-CA"/>
        </w:rPr>
        <w:t>, inscrire : « Cette unité est acceptable pour la transfusion ».</w:t>
      </w:r>
    </w:p>
    <w:p w:rsidR="00E8364F" w:rsidRPr="00E8364F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554D1C" w:rsidRDefault="00013B1B" w:rsidP="00013B1B">
      <w:pPr>
        <w:ind w:left="144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6.2</w:t>
      </w:r>
      <w:r w:rsidR="00DB31B9">
        <w:rPr>
          <w:rFonts w:ascii="Arial" w:hAnsi="Arial"/>
          <w:sz w:val="24"/>
          <w:lang w:val="fr-CA"/>
        </w:rPr>
        <w:t>3</w:t>
      </w:r>
      <w:r>
        <w:rPr>
          <w:rFonts w:ascii="Arial" w:hAnsi="Arial"/>
          <w:sz w:val="24"/>
          <w:lang w:val="fr-CA"/>
        </w:rPr>
        <w:t>.</w:t>
      </w:r>
      <w:r w:rsidR="00DB31B9">
        <w:rPr>
          <w:rFonts w:ascii="Arial" w:hAnsi="Arial"/>
          <w:sz w:val="24"/>
          <w:lang w:val="fr-CA"/>
        </w:rPr>
        <w:t>5</w:t>
      </w:r>
      <w:r w:rsidR="00F5390F">
        <w:rPr>
          <w:rFonts w:ascii="Arial" w:hAnsi="Arial"/>
          <w:sz w:val="24"/>
          <w:lang w:val="fr-CA"/>
        </w:rPr>
        <w:t xml:space="preserve"> </w:t>
      </w:r>
      <w:r w:rsidR="00554D1C">
        <w:rPr>
          <w:rFonts w:ascii="Arial" w:hAnsi="Arial"/>
          <w:sz w:val="24"/>
          <w:lang w:val="fr-CA"/>
        </w:rPr>
        <w:t xml:space="preserve">S’assurer que les </w:t>
      </w:r>
      <w:r w:rsidR="00662F18">
        <w:rPr>
          <w:rFonts w:ascii="Arial" w:hAnsi="Arial"/>
          <w:sz w:val="24"/>
          <w:lang w:val="fr-CA"/>
        </w:rPr>
        <w:t>unités </w:t>
      </w:r>
      <w:r w:rsidR="00E8364F" w:rsidRPr="00554D1C">
        <w:rPr>
          <w:rFonts w:ascii="Arial" w:hAnsi="Arial"/>
          <w:sz w:val="24"/>
          <w:lang w:val="fr-CA"/>
        </w:rPr>
        <w:t>:</w:t>
      </w:r>
    </w:p>
    <w:p w:rsidR="00E8364F" w:rsidRPr="00554D1C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554D1C" w:rsidRDefault="00554D1C">
      <w:pPr>
        <w:numPr>
          <w:ilvl w:val="0"/>
          <w:numId w:val="7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n’auront pas atteint leur date de péremption au moment de la </w:t>
      </w:r>
      <w:r w:rsidR="00E8364F" w:rsidRPr="00554D1C">
        <w:rPr>
          <w:rFonts w:ascii="Arial" w:hAnsi="Arial"/>
          <w:sz w:val="24"/>
          <w:lang w:val="fr-CA"/>
        </w:rPr>
        <w:t>transfusion</w:t>
      </w:r>
      <w:r w:rsidR="00F5390F">
        <w:rPr>
          <w:rFonts w:ascii="Arial" w:hAnsi="Arial"/>
          <w:sz w:val="24"/>
          <w:lang w:val="fr-CA"/>
        </w:rPr>
        <w:t>;</w:t>
      </w:r>
    </w:p>
    <w:p w:rsidR="00E8364F" w:rsidRPr="00554D1C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554D1C" w:rsidRDefault="00554D1C">
      <w:pPr>
        <w:numPr>
          <w:ilvl w:val="0"/>
          <w:numId w:val="7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sont </w:t>
      </w:r>
      <w:r w:rsidR="00E62919" w:rsidRPr="00554D1C">
        <w:rPr>
          <w:rFonts w:ascii="Arial" w:hAnsi="Arial"/>
          <w:sz w:val="24"/>
          <w:lang w:val="fr-CA"/>
        </w:rPr>
        <w:t>de même groupe ABO et Rh que le patient.</w:t>
      </w:r>
      <w:r w:rsidR="00E8364F" w:rsidRPr="00554D1C">
        <w:rPr>
          <w:rFonts w:ascii="Arial" w:hAnsi="Arial"/>
          <w:sz w:val="24"/>
          <w:lang w:val="fr-CA"/>
        </w:rPr>
        <w:t xml:space="preserve"> </w:t>
      </w:r>
      <w:r w:rsidR="00E62919" w:rsidRPr="00554D1C">
        <w:rPr>
          <w:rFonts w:ascii="Arial" w:hAnsi="Arial"/>
          <w:sz w:val="24"/>
          <w:lang w:val="fr-CA"/>
        </w:rPr>
        <w:t>Si une unité de donneur ayant un groupe ABO et/ou un facteur Rh différent a été choisi</w:t>
      </w:r>
      <w:r w:rsidR="00D1048A">
        <w:rPr>
          <w:rFonts w:ascii="Arial" w:hAnsi="Arial"/>
          <w:sz w:val="24"/>
          <w:lang w:val="fr-CA"/>
        </w:rPr>
        <w:t>e</w:t>
      </w:r>
      <w:r w:rsidR="00E62919" w:rsidRPr="00554D1C">
        <w:rPr>
          <w:rFonts w:ascii="Arial" w:hAnsi="Arial"/>
          <w:sz w:val="24"/>
          <w:lang w:val="fr-CA"/>
        </w:rPr>
        <w:t>, inscrire une note explicative au bas du formulaire de demande ou de l'étiquette de compatibilité, p. ex. « Cette unité est acceptable pour la transfusion »</w:t>
      </w:r>
      <w:r w:rsidR="00F5390F">
        <w:rPr>
          <w:rFonts w:ascii="Arial" w:hAnsi="Arial"/>
          <w:sz w:val="24"/>
          <w:lang w:val="fr-CA"/>
        </w:rPr>
        <w:t>.</w:t>
      </w:r>
    </w:p>
    <w:p w:rsidR="00E8364F" w:rsidRPr="00554D1C" w:rsidRDefault="00E8364F">
      <w:pPr>
        <w:ind w:left="2160"/>
        <w:rPr>
          <w:rFonts w:ascii="Arial" w:hAnsi="Arial"/>
          <w:sz w:val="24"/>
          <w:lang w:val="fr-CA"/>
        </w:rPr>
      </w:pPr>
    </w:p>
    <w:p w:rsidR="00E8364F" w:rsidRPr="00554D1C" w:rsidRDefault="00013B1B" w:rsidP="00D1048A">
      <w:pPr>
        <w:ind w:left="2127" w:hanging="687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6.2</w:t>
      </w:r>
      <w:r w:rsidR="00D1048A">
        <w:rPr>
          <w:rFonts w:ascii="Arial" w:hAnsi="Arial"/>
          <w:sz w:val="24"/>
          <w:lang w:val="fr-CA"/>
        </w:rPr>
        <w:t>3</w:t>
      </w:r>
      <w:r>
        <w:rPr>
          <w:rFonts w:ascii="Arial" w:hAnsi="Arial"/>
          <w:sz w:val="24"/>
          <w:lang w:val="fr-CA"/>
        </w:rPr>
        <w:t>.</w:t>
      </w:r>
      <w:r w:rsidR="00D1048A">
        <w:rPr>
          <w:rFonts w:ascii="Arial" w:hAnsi="Arial"/>
          <w:sz w:val="24"/>
          <w:lang w:val="fr-CA"/>
        </w:rPr>
        <w:t>6</w:t>
      </w:r>
      <w:r>
        <w:rPr>
          <w:rFonts w:ascii="Arial" w:hAnsi="Arial"/>
          <w:sz w:val="24"/>
          <w:lang w:val="fr-CA"/>
        </w:rPr>
        <w:tab/>
      </w:r>
      <w:r w:rsidR="00E8364F" w:rsidRPr="00554D1C">
        <w:rPr>
          <w:rFonts w:ascii="Arial" w:hAnsi="Arial"/>
          <w:sz w:val="24"/>
          <w:lang w:val="fr-CA"/>
        </w:rPr>
        <w:t>Re</w:t>
      </w:r>
      <w:r w:rsidR="00554D1C" w:rsidRPr="00554D1C">
        <w:rPr>
          <w:rFonts w:ascii="Arial" w:hAnsi="Arial"/>
          <w:sz w:val="24"/>
          <w:lang w:val="fr-CA"/>
        </w:rPr>
        <w:t xml:space="preserve">mettre les unités de donneur dans le réfrigérateur d’entreposage des produits sanguins </w:t>
      </w:r>
      <w:r w:rsidR="00E8364F" w:rsidRPr="00554D1C">
        <w:rPr>
          <w:rFonts w:ascii="Arial" w:hAnsi="Arial"/>
          <w:sz w:val="24"/>
          <w:lang w:val="fr-CA"/>
        </w:rPr>
        <w:t>(</w:t>
      </w:r>
      <w:r w:rsidR="00554D1C" w:rsidRPr="00554D1C">
        <w:rPr>
          <w:rFonts w:ascii="Arial" w:hAnsi="Arial"/>
          <w:sz w:val="24"/>
          <w:lang w:val="fr-CA"/>
        </w:rPr>
        <w:t>sur l</w:t>
      </w:r>
      <w:r w:rsidR="00B3227D">
        <w:rPr>
          <w:rFonts w:ascii="Arial" w:hAnsi="Arial"/>
          <w:sz w:val="24"/>
          <w:lang w:val="fr-CA"/>
        </w:rPr>
        <w:t>a tablette</w:t>
      </w:r>
      <w:r w:rsidR="00554D1C" w:rsidRPr="00554D1C">
        <w:rPr>
          <w:rFonts w:ascii="Arial" w:hAnsi="Arial"/>
          <w:sz w:val="24"/>
          <w:lang w:val="fr-CA"/>
        </w:rPr>
        <w:t xml:space="preserve"> du « sang ayant subi une épreuve de compatibilité</w:t>
      </w:r>
      <w:r w:rsidR="00F065E2">
        <w:rPr>
          <w:rFonts w:ascii="Arial" w:hAnsi="Arial"/>
          <w:sz w:val="24"/>
          <w:lang w:val="fr-CA"/>
        </w:rPr>
        <w:t> »</w:t>
      </w:r>
      <w:r w:rsidR="00E8364F" w:rsidRPr="00554D1C">
        <w:rPr>
          <w:rFonts w:ascii="Arial" w:hAnsi="Arial"/>
          <w:sz w:val="24"/>
          <w:lang w:val="fr-CA"/>
        </w:rPr>
        <w:t>). Place</w:t>
      </w:r>
      <w:r w:rsidR="00554D1C" w:rsidRPr="00554D1C">
        <w:rPr>
          <w:rFonts w:ascii="Arial" w:hAnsi="Arial"/>
          <w:sz w:val="24"/>
          <w:lang w:val="fr-CA"/>
        </w:rPr>
        <w:t xml:space="preserve">r les unités en ordre </w:t>
      </w:r>
      <w:r w:rsidR="00E8364F" w:rsidRPr="00554D1C">
        <w:rPr>
          <w:rFonts w:ascii="Arial" w:hAnsi="Arial"/>
          <w:sz w:val="24"/>
          <w:lang w:val="fr-CA"/>
        </w:rPr>
        <w:t>chronologi</w:t>
      </w:r>
      <w:r w:rsidR="00554D1C" w:rsidRPr="00554D1C">
        <w:rPr>
          <w:rFonts w:ascii="Arial" w:hAnsi="Arial"/>
          <w:sz w:val="24"/>
          <w:lang w:val="fr-CA"/>
        </w:rPr>
        <w:t>que, en mettant l</w:t>
      </w:r>
      <w:r w:rsidR="00F5390F">
        <w:rPr>
          <w:rFonts w:ascii="Arial" w:hAnsi="Arial"/>
          <w:sz w:val="24"/>
          <w:lang w:val="fr-CA"/>
        </w:rPr>
        <w:t>a</w:t>
      </w:r>
      <w:r w:rsidR="00554D1C" w:rsidRPr="00554D1C">
        <w:rPr>
          <w:rFonts w:ascii="Arial" w:hAnsi="Arial"/>
          <w:sz w:val="24"/>
          <w:lang w:val="fr-CA"/>
        </w:rPr>
        <w:t xml:space="preserve"> plus vieille à l’avant</w:t>
      </w:r>
      <w:r w:rsidR="00E8364F" w:rsidRPr="00554D1C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7E4938" w:rsidRDefault="00E62919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7E4938">
        <w:rPr>
          <w:rFonts w:ascii="Arial" w:hAnsi="Arial"/>
          <w:sz w:val="24"/>
          <w:lang w:val="fr-CA"/>
        </w:rPr>
        <w:t>Procéder à une vérification.</w:t>
      </w:r>
      <w:r w:rsidR="00E8364F" w:rsidRPr="007E4938">
        <w:rPr>
          <w:rFonts w:ascii="Arial" w:hAnsi="Arial"/>
          <w:sz w:val="24"/>
          <w:lang w:val="fr-CA"/>
        </w:rPr>
        <w:t xml:space="preserve"> </w:t>
      </w:r>
      <w:r w:rsidRPr="007E4938">
        <w:rPr>
          <w:rFonts w:ascii="Arial" w:hAnsi="Arial"/>
          <w:sz w:val="24"/>
          <w:lang w:val="fr-CA"/>
        </w:rPr>
        <w:t xml:space="preserve">Il faut s'assurer pour chaque patient des éléments </w:t>
      </w:r>
      <w:r w:rsidR="00662F18">
        <w:rPr>
          <w:rFonts w:ascii="Arial" w:hAnsi="Arial"/>
          <w:sz w:val="24"/>
          <w:lang w:val="fr-CA"/>
        </w:rPr>
        <w:t>suivants </w:t>
      </w:r>
      <w:r w:rsidRPr="007E4938">
        <w:rPr>
          <w:rFonts w:ascii="Arial" w:hAnsi="Arial"/>
          <w:sz w:val="24"/>
          <w:lang w:val="fr-CA"/>
        </w:rPr>
        <w:t>:</w:t>
      </w:r>
    </w:p>
    <w:p w:rsidR="00E8364F" w:rsidRPr="00E8364F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554D1C" w:rsidRDefault="00762489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54D1C">
        <w:rPr>
          <w:rFonts w:ascii="Arial" w:hAnsi="Arial"/>
          <w:sz w:val="24"/>
          <w:lang w:val="fr-CA"/>
        </w:rPr>
        <w:t xml:space="preserve">Les noms et le(s) numéro(s) d’identification </w:t>
      </w:r>
      <w:r w:rsidR="00554D1C" w:rsidRPr="00554D1C">
        <w:rPr>
          <w:rFonts w:ascii="Arial" w:hAnsi="Arial"/>
          <w:sz w:val="24"/>
          <w:lang w:val="fr-CA"/>
        </w:rPr>
        <w:t>sont identiques sur tous les échantillons et sur le formulaire de demande</w:t>
      </w:r>
      <w:r w:rsidR="00E8364F" w:rsidRPr="00554D1C">
        <w:rPr>
          <w:rFonts w:ascii="Arial" w:hAnsi="Arial"/>
          <w:sz w:val="24"/>
          <w:lang w:val="fr-CA"/>
        </w:rPr>
        <w:t>.</w:t>
      </w:r>
    </w:p>
    <w:p w:rsidR="00E8364F" w:rsidRPr="00554D1C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554D1C" w:rsidRDefault="00762489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54D1C">
        <w:rPr>
          <w:rFonts w:ascii="Arial" w:hAnsi="Arial"/>
          <w:sz w:val="24"/>
          <w:lang w:val="fr-CA"/>
        </w:rPr>
        <w:t xml:space="preserve">Les numéros de série des unités de donneur sont </w:t>
      </w:r>
      <w:r w:rsidR="00E8364F" w:rsidRPr="00D1048A">
        <w:rPr>
          <w:rFonts w:ascii="Arial" w:hAnsi="Arial"/>
          <w:sz w:val="24"/>
          <w:lang w:val="fr-CA"/>
        </w:rPr>
        <w:t>identi</w:t>
      </w:r>
      <w:r w:rsidRPr="00D1048A">
        <w:rPr>
          <w:rFonts w:ascii="Arial" w:hAnsi="Arial"/>
          <w:sz w:val="24"/>
          <w:lang w:val="fr-CA"/>
        </w:rPr>
        <w:t>ques</w:t>
      </w:r>
      <w:r w:rsidRPr="00554D1C">
        <w:rPr>
          <w:rFonts w:ascii="Arial" w:hAnsi="Arial"/>
          <w:b/>
          <w:sz w:val="24"/>
          <w:lang w:val="fr-CA"/>
        </w:rPr>
        <w:t xml:space="preserve"> </w:t>
      </w:r>
      <w:r w:rsidRPr="00554D1C">
        <w:rPr>
          <w:rFonts w:ascii="Arial" w:hAnsi="Arial"/>
          <w:sz w:val="24"/>
          <w:lang w:val="fr-CA"/>
        </w:rPr>
        <w:t>sur les tubes à essai et sur la demande d’analyse.</w:t>
      </w:r>
    </w:p>
    <w:p w:rsidR="00E8364F" w:rsidRPr="00554D1C" w:rsidRDefault="00762489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54D1C">
        <w:rPr>
          <w:rFonts w:ascii="Arial" w:hAnsi="Arial"/>
          <w:sz w:val="24"/>
          <w:lang w:val="fr-CA"/>
        </w:rPr>
        <w:t>Les résultats du test ont été inscrits, y compris les résultats relatifs aux cellules recouvertes d’</w:t>
      </w:r>
      <w:r w:rsidR="00E8364F" w:rsidRPr="00554D1C">
        <w:rPr>
          <w:rFonts w:ascii="Arial" w:hAnsi="Arial"/>
          <w:sz w:val="24"/>
          <w:lang w:val="fr-CA"/>
        </w:rPr>
        <w:t>IgG.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7E4938" w:rsidRDefault="00F5390F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 </w:t>
      </w:r>
      <w:r w:rsidR="00E62919" w:rsidRPr="007E4938">
        <w:rPr>
          <w:rFonts w:ascii="Arial" w:hAnsi="Arial"/>
          <w:sz w:val="24"/>
          <w:lang w:val="fr-CA"/>
        </w:rPr>
        <w:t>Les résultats ont été interprétés et inscrits correctement.</w:t>
      </w:r>
      <w:r w:rsidR="00E8364F" w:rsidRPr="007E4938">
        <w:rPr>
          <w:rFonts w:ascii="Arial" w:hAnsi="Arial"/>
          <w:sz w:val="24"/>
          <w:lang w:val="fr-CA"/>
        </w:rPr>
        <w:t xml:space="preserve"> </w:t>
      </w:r>
    </w:p>
    <w:p w:rsidR="00E8364F" w:rsidRPr="007E4938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7E4938" w:rsidRDefault="00E62919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7E4938">
        <w:rPr>
          <w:rFonts w:ascii="Arial" w:hAnsi="Arial"/>
          <w:sz w:val="24"/>
          <w:lang w:val="fr-CA"/>
        </w:rPr>
        <w:t>Mettre ses initiales ou signer et inscrire l'heure et la date de la conclusion de l'épreuve sur le formulaire de demande ou à l'ordinateur.</w:t>
      </w:r>
    </w:p>
    <w:p w:rsidR="00E8364F" w:rsidRPr="007E4938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7E4938" w:rsidRDefault="00E62919" w:rsidP="008F0A98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7E4938">
        <w:rPr>
          <w:rFonts w:ascii="Arial" w:hAnsi="Arial"/>
          <w:b/>
          <w:sz w:val="28"/>
          <w:lang w:val="fr-CA"/>
        </w:rPr>
        <w:t>Documentation</w:t>
      </w:r>
    </w:p>
    <w:p w:rsidR="00E8364F" w:rsidRPr="007E4938" w:rsidRDefault="00E8364F">
      <w:pPr>
        <w:rPr>
          <w:rFonts w:ascii="Arial" w:hAnsi="Arial"/>
          <w:sz w:val="24"/>
          <w:lang w:val="fr-CA"/>
        </w:rPr>
      </w:pPr>
    </w:p>
    <w:p w:rsidR="00E8364F" w:rsidRPr="007E4938" w:rsidRDefault="00BA0CEA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7E4938">
        <w:rPr>
          <w:rFonts w:ascii="Arial" w:hAnsi="Arial"/>
          <w:sz w:val="24"/>
          <w:lang w:val="fr-CA"/>
        </w:rPr>
        <w:t xml:space="preserve">L’absence d’agglutination ou d’hémolyse indique que les unités de donneur sont compatibles avec le plasma du patient. </w:t>
      </w:r>
    </w:p>
    <w:p w:rsidR="00E8364F" w:rsidRPr="007E4938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7E4938" w:rsidRDefault="00BA0CEA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7E4938">
        <w:rPr>
          <w:rFonts w:ascii="Arial" w:hAnsi="Arial"/>
          <w:sz w:val="24"/>
          <w:lang w:val="fr-CA"/>
        </w:rPr>
        <w:t>La présence d’agglutinat ou d’hémolyse indique que la ou les unités du donneur sont incompatibles</w:t>
      </w:r>
      <w:r w:rsidR="00E8364F" w:rsidRPr="007E4938">
        <w:rPr>
          <w:rFonts w:ascii="Arial" w:hAnsi="Arial"/>
          <w:sz w:val="24"/>
          <w:lang w:val="fr-CA"/>
        </w:rPr>
        <w:t>.</w:t>
      </w:r>
    </w:p>
    <w:p w:rsidR="00E8364F" w:rsidRPr="007E4938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7E4938" w:rsidRDefault="00BA0CEA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7E4938">
        <w:rPr>
          <w:rFonts w:ascii="Arial" w:hAnsi="Arial"/>
          <w:sz w:val="24"/>
          <w:lang w:val="fr-CA"/>
        </w:rPr>
        <w:t>Les tests de suivi peuvent comprendre une technique de pré-réchauffement.</w:t>
      </w:r>
      <w:r w:rsidR="00F5390F">
        <w:rPr>
          <w:rFonts w:ascii="Arial" w:hAnsi="Arial"/>
          <w:sz w:val="24"/>
          <w:lang w:val="fr-CA"/>
        </w:rPr>
        <w:t xml:space="preserve"> </w:t>
      </w:r>
      <w:r w:rsidR="00E62919" w:rsidRPr="007E4938">
        <w:rPr>
          <w:rFonts w:ascii="Arial" w:hAnsi="Arial"/>
          <w:sz w:val="24"/>
          <w:lang w:val="fr-CA"/>
        </w:rPr>
        <w:t>Voir EC.001 - Technique de pré-réchauffement.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BA0CEA" w:rsidRDefault="002B6B1A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BA0CEA">
        <w:rPr>
          <w:rFonts w:ascii="Arial" w:hAnsi="Arial"/>
          <w:sz w:val="24"/>
          <w:lang w:val="fr-CA"/>
        </w:rPr>
        <w:t>Une unité de donneur i</w:t>
      </w:r>
      <w:r w:rsidR="00E8364F" w:rsidRPr="00BA0CEA">
        <w:rPr>
          <w:rFonts w:ascii="Arial" w:hAnsi="Arial"/>
          <w:sz w:val="24"/>
          <w:lang w:val="fr-CA"/>
        </w:rPr>
        <w:t>ncompatible</w:t>
      </w:r>
      <w:r w:rsidRPr="00BA0CEA">
        <w:rPr>
          <w:rFonts w:ascii="Arial" w:hAnsi="Arial"/>
          <w:sz w:val="24"/>
          <w:lang w:val="fr-CA"/>
        </w:rPr>
        <w:t xml:space="preserve"> ne doit pas être transfusée à moins que</w:t>
      </w:r>
      <w:r w:rsidR="00B3227D">
        <w:rPr>
          <w:rFonts w:ascii="Arial" w:hAnsi="Arial"/>
          <w:sz w:val="24"/>
          <w:lang w:val="fr-CA"/>
        </w:rPr>
        <w:t xml:space="preserve"> cela </w:t>
      </w:r>
      <w:r w:rsidRPr="00BA0CEA">
        <w:rPr>
          <w:rFonts w:ascii="Arial" w:hAnsi="Arial"/>
          <w:sz w:val="24"/>
          <w:lang w:val="fr-CA"/>
        </w:rPr>
        <w:t>ne soit autorisé par le directeur médical ou son représentant. Inscrire au dossier l’obtention de cette autorisation. Voir CAQ</w:t>
      </w:r>
      <w:r w:rsidR="00E8364F" w:rsidRPr="00BA0CEA">
        <w:rPr>
          <w:rFonts w:ascii="Arial" w:hAnsi="Arial"/>
          <w:sz w:val="24"/>
          <w:lang w:val="fr-CA"/>
        </w:rPr>
        <w:t>.0</w:t>
      </w:r>
      <w:r w:rsidR="00D1048A">
        <w:rPr>
          <w:rFonts w:ascii="Arial" w:hAnsi="Arial"/>
          <w:sz w:val="24"/>
          <w:lang w:val="fr-CA"/>
        </w:rPr>
        <w:t>2</w:t>
      </w:r>
      <w:r w:rsidR="00E8364F" w:rsidRPr="00BA0CEA">
        <w:rPr>
          <w:rFonts w:ascii="Arial" w:hAnsi="Arial"/>
          <w:sz w:val="24"/>
          <w:lang w:val="fr-CA"/>
        </w:rPr>
        <w:t xml:space="preserve">0 – </w:t>
      </w:r>
      <w:r w:rsidRPr="00BA0CEA">
        <w:rPr>
          <w:rFonts w:ascii="Arial" w:hAnsi="Arial"/>
          <w:sz w:val="24"/>
          <w:lang w:val="fr-CA"/>
        </w:rPr>
        <w:t>Protocole de consultation du directeur médical</w:t>
      </w:r>
      <w:r w:rsidR="00E8364F" w:rsidRPr="00BA0CEA">
        <w:rPr>
          <w:rFonts w:ascii="Arial" w:hAnsi="Arial"/>
          <w:sz w:val="24"/>
          <w:lang w:val="fr-CA"/>
        </w:rPr>
        <w:t>.</w:t>
      </w:r>
    </w:p>
    <w:p w:rsidR="00E8364F" w:rsidRPr="00E8364F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E8364F" w:rsidRDefault="00BA0CEA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013B1B">
        <w:rPr>
          <w:rFonts w:ascii="Arial" w:hAnsi="Arial"/>
          <w:sz w:val="24"/>
          <w:lang w:val="fr-CA"/>
        </w:rPr>
        <w:t>En cas d</w:t>
      </w:r>
      <w:r w:rsidR="00852556" w:rsidRPr="00013B1B">
        <w:rPr>
          <w:rFonts w:ascii="Arial" w:hAnsi="Arial"/>
          <w:sz w:val="24"/>
          <w:lang w:val="fr-CA"/>
        </w:rPr>
        <w:t>’anémie hémolytique auto</w:t>
      </w:r>
      <w:r w:rsidR="00B3227D">
        <w:rPr>
          <w:rFonts w:ascii="Arial" w:hAnsi="Arial"/>
          <w:sz w:val="24"/>
          <w:lang w:val="fr-CA"/>
        </w:rPr>
        <w:t>-</w:t>
      </w:r>
      <w:r w:rsidR="00852556" w:rsidRPr="00013B1B">
        <w:rPr>
          <w:rFonts w:ascii="Arial" w:hAnsi="Arial"/>
          <w:sz w:val="24"/>
          <w:lang w:val="fr-CA"/>
        </w:rPr>
        <w:t>immune</w:t>
      </w:r>
      <w:r w:rsidR="009A62B5" w:rsidRPr="00013B1B">
        <w:rPr>
          <w:rFonts w:ascii="Arial" w:hAnsi="Arial"/>
          <w:sz w:val="24"/>
          <w:lang w:val="fr-CA"/>
        </w:rPr>
        <w:t xml:space="preserve"> avec anticorps chauds</w:t>
      </w:r>
      <w:r w:rsidR="00852556" w:rsidRPr="00013B1B">
        <w:rPr>
          <w:rFonts w:ascii="Arial" w:hAnsi="Arial"/>
          <w:sz w:val="24"/>
          <w:lang w:val="fr-CA"/>
        </w:rPr>
        <w:t xml:space="preserve"> </w:t>
      </w:r>
      <w:r w:rsidR="009A62B5" w:rsidRPr="00013B1B">
        <w:rPr>
          <w:rFonts w:ascii="Arial" w:hAnsi="Arial"/>
          <w:sz w:val="24"/>
          <w:lang w:val="fr-CA"/>
        </w:rPr>
        <w:t>(</w:t>
      </w:r>
      <w:r w:rsidR="009A62B5" w:rsidRPr="00013B1B">
        <w:rPr>
          <w:rFonts w:ascii="Arial" w:hAnsi="Arial"/>
          <w:i/>
          <w:sz w:val="24"/>
          <w:lang w:val="fr-CA"/>
        </w:rPr>
        <w:t>WAIHA</w:t>
      </w:r>
      <w:r w:rsidR="009A62B5" w:rsidRPr="00013B1B">
        <w:rPr>
          <w:rFonts w:ascii="Arial" w:hAnsi="Arial"/>
          <w:sz w:val="24"/>
          <w:lang w:val="fr-CA"/>
        </w:rPr>
        <w:t>)</w:t>
      </w:r>
      <w:r w:rsidR="00E8364F" w:rsidRPr="00013B1B">
        <w:rPr>
          <w:rFonts w:ascii="Arial" w:hAnsi="Arial"/>
          <w:sz w:val="24"/>
          <w:lang w:val="fr-CA"/>
        </w:rPr>
        <w:t>,</w:t>
      </w:r>
      <w:r w:rsidR="00E8364F" w:rsidRPr="00E8364F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>les unités de donneurs qui auraient dû être négatives d’un point de vue sérologique peuvent sembler positives en raison de l’activité de l’</w:t>
      </w:r>
      <w:r w:rsidR="00013B1B">
        <w:rPr>
          <w:rFonts w:ascii="Arial" w:hAnsi="Arial"/>
          <w:sz w:val="24"/>
          <w:lang w:val="fr-CA"/>
        </w:rPr>
        <w:t>autoanticorps</w:t>
      </w:r>
      <w:r>
        <w:rPr>
          <w:rFonts w:ascii="Arial" w:hAnsi="Arial"/>
          <w:sz w:val="24"/>
          <w:lang w:val="fr-CA"/>
        </w:rPr>
        <w:t xml:space="preserve">. Confirmer l’absence de tout antigène à un </w:t>
      </w:r>
      <w:r w:rsidRPr="00BA0CEA">
        <w:rPr>
          <w:rFonts w:ascii="Arial" w:hAnsi="Arial"/>
          <w:sz w:val="24"/>
          <w:lang w:val="fr-CA"/>
        </w:rPr>
        <w:t>allo</w:t>
      </w:r>
      <w:r w:rsidR="00B3227D">
        <w:rPr>
          <w:rFonts w:ascii="Arial" w:hAnsi="Arial"/>
          <w:sz w:val="24"/>
          <w:lang w:val="fr-CA"/>
        </w:rPr>
        <w:t>-</w:t>
      </w:r>
      <w:r w:rsidRPr="00BA0CEA">
        <w:rPr>
          <w:rFonts w:ascii="Arial" w:hAnsi="Arial"/>
          <w:sz w:val="24"/>
          <w:lang w:val="fr-CA"/>
        </w:rPr>
        <w:t xml:space="preserve">anticorps </w:t>
      </w:r>
      <w:r>
        <w:rPr>
          <w:rFonts w:ascii="Arial" w:hAnsi="Arial"/>
          <w:sz w:val="24"/>
          <w:lang w:val="fr-CA"/>
        </w:rPr>
        <w:t xml:space="preserve">connu </w:t>
      </w:r>
      <w:r w:rsidRPr="00BA0CEA">
        <w:rPr>
          <w:rFonts w:ascii="Arial" w:hAnsi="Arial"/>
          <w:sz w:val="24"/>
          <w:lang w:val="fr-CA"/>
        </w:rPr>
        <w:t>d’importance clinique significative</w:t>
      </w:r>
      <w:r>
        <w:rPr>
          <w:rFonts w:ascii="Arial" w:hAnsi="Arial"/>
          <w:sz w:val="24"/>
          <w:lang w:val="fr-CA"/>
        </w:rPr>
        <w:t>. E</w:t>
      </w:r>
      <w:r w:rsidR="002B6B1A">
        <w:rPr>
          <w:rFonts w:ascii="Arial" w:hAnsi="Arial"/>
          <w:sz w:val="24"/>
          <w:lang w:val="fr-CA"/>
        </w:rPr>
        <w:t>ntreprendre des études d’ab</w:t>
      </w:r>
      <w:r w:rsidR="00E8364F" w:rsidRPr="00E8364F">
        <w:rPr>
          <w:rFonts w:ascii="Arial" w:hAnsi="Arial"/>
          <w:sz w:val="24"/>
          <w:lang w:val="fr-CA"/>
        </w:rPr>
        <w:t>sorption</w:t>
      </w:r>
      <w:r w:rsidR="002B6B1A">
        <w:rPr>
          <w:rFonts w:ascii="Arial" w:hAnsi="Arial"/>
          <w:sz w:val="24"/>
          <w:lang w:val="fr-CA"/>
        </w:rPr>
        <w:t xml:space="preserve">, au besoin. Si la situation est urgente ou </w:t>
      </w:r>
      <w:r w:rsidR="00F5390F">
        <w:rPr>
          <w:rFonts w:ascii="Arial" w:hAnsi="Arial"/>
          <w:sz w:val="24"/>
          <w:lang w:val="fr-CA"/>
        </w:rPr>
        <w:t>qu’</w:t>
      </w:r>
      <w:r w:rsidR="002B6B1A">
        <w:rPr>
          <w:rFonts w:ascii="Arial" w:hAnsi="Arial"/>
          <w:sz w:val="24"/>
          <w:lang w:val="fr-CA"/>
        </w:rPr>
        <w:t>une absorption complète est impo</w:t>
      </w:r>
      <w:r>
        <w:rPr>
          <w:rFonts w:ascii="Arial" w:hAnsi="Arial"/>
          <w:sz w:val="24"/>
          <w:lang w:val="fr-CA"/>
        </w:rPr>
        <w:t>s</w:t>
      </w:r>
      <w:r w:rsidR="002B6B1A">
        <w:rPr>
          <w:rFonts w:ascii="Arial" w:hAnsi="Arial"/>
          <w:sz w:val="24"/>
          <w:lang w:val="fr-CA"/>
        </w:rPr>
        <w:t xml:space="preserve">sible, suivre l’étape </w:t>
      </w:r>
      <w:r w:rsidR="00E8364F" w:rsidRPr="00E8364F">
        <w:rPr>
          <w:rFonts w:ascii="Arial" w:hAnsi="Arial"/>
          <w:sz w:val="24"/>
          <w:lang w:val="fr-CA"/>
        </w:rPr>
        <w:t xml:space="preserve">7.2.2 </w:t>
      </w:r>
      <w:r w:rsidR="002B6B1A">
        <w:rPr>
          <w:rFonts w:ascii="Arial" w:hAnsi="Arial"/>
          <w:sz w:val="24"/>
          <w:lang w:val="fr-CA"/>
        </w:rPr>
        <w:t>relative à l’émission d’unités incompatibles</w:t>
      </w:r>
      <w:r w:rsidR="00E8364F" w:rsidRPr="00E8364F">
        <w:rPr>
          <w:rFonts w:ascii="Arial" w:hAnsi="Arial"/>
          <w:sz w:val="24"/>
          <w:lang w:val="fr-CA"/>
        </w:rPr>
        <w:t>.</w:t>
      </w:r>
    </w:p>
    <w:p w:rsidR="00E8364F" w:rsidRPr="002B6B1A" w:rsidRDefault="00E8364F">
      <w:pPr>
        <w:ind w:left="720"/>
        <w:rPr>
          <w:rFonts w:ascii="Arial" w:hAnsi="Arial"/>
          <w:lang w:val="fr-CA"/>
        </w:rPr>
      </w:pPr>
    </w:p>
    <w:p w:rsidR="00E8364F" w:rsidRPr="002B6B1A" w:rsidRDefault="00E62919" w:rsidP="008F0A98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2B6B1A">
        <w:rPr>
          <w:rFonts w:ascii="Arial" w:hAnsi="Arial"/>
          <w:b/>
          <w:sz w:val="28"/>
          <w:lang w:val="fr-CA"/>
        </w:rPr>
        <w:t>Remarques</w:t>
      </w:r>
    </w:p>
    <w:p w:rsidR="00E8364F" w:rsidRPr="002B6B1A" w:rsidRDefault="00E8364F">
      <w:pPr>
        <w:pStyle w:val="Header"/>
        <w:tabs>
          <w:tab w:val="clear" w:pos="4320"/>
          <w:tab w:val="clear" w:pos="8640"/>
        </w:tabs>
        <w:rPr>
          <w:rFonts w:ascii="Arial" w:hAnsi="Arial"/>
          <w:lang w:val="fr-CA"/>
        </w:rPr>
      </w:pPr>
    </w:p>
    <w:p w:rsidR="00E8364F" w:rsidRPr="002B6B1A" w:rsidRDefault="002B6B1A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2B6B1A">
        <w:rPr>
          <w:rFonts w:ascii="Arial" w:hAnsi="Arial"/>
          <w:sz w:val="24"/>
          <w:lang w:val="fr-CA"/>
        </w:rPr>
        <w:t>Présence de segments coagulés dans une unité de donneur </w:t>
      </w:r>
      <w:r w:rsidR="00E8364F" w:rsidRPr="002B6B1A">
        <w:rPr>
          <w:rFonts w:ascii="Arial" w:hAnsi="Arial"/>
          <w:sz w:val="24"/>
          <w:lang w:val="fr-CA"/>
        </w:rPr>
        <w:t>:</w:t>
      </w:r>
    </w:p>
    <w:p w:rsidR="00E8364F" w:rsidRPr="002B6B1A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Default="00B3227D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En présence </w:t>
      </w:r>
      <w:r w:rsidR="002B6B1A" w:rsidRPr="002B6B1A">
        <w:rPr>
          <w:rFonts w:ascii="Arial" w:hAnsi="Arial"/>
          <w:sz w:val="24"/>
          <w:lang w:val="fr-CA"/>
        </w:rPr>
        <w:t>d</w:t>
      </w:r>
      <w:r>
        <w:rPr>
          <w:rFonts w:ascii="Arial" w:hAnsi="Arial"/>
          <w:sz w:val="24"/>
          <w:lang w:val="fr-CA"/>
        </w:rPr>
        <w:t>’un</w:t>
      </w:r>
      <w:r w:rsidR="002B6B1A" w:rsidRPr="002B6B1A">
        <w:rPr>
          <w:rFonts w:ascii="Arial" w:hAnsi="Arial"/>
          <w:sz w:val="24"/>
          <w:lang w:val="fr-CA"/>
        </w:rPr>
        <w:t xml:space="preserve"> segment coagulé</w:t>
      </w:r>
      <w:r>
        <w:rPr>
          <w:rFonts w:ascii="Arial" w:hAnsi="Arial"/>
          <w:sz w:val="24"/>
          <w:lang w:val="fr-CA"/>
        </w:rPr>
        <w:t xml:space="preserve"> dans</w:t>
      </w:r>
      <w:r w:rsidR="002B6B1A" w:rsidRPr="002B6B1A">
        <w:rPr>
          <w:rFonts w:ascii="Arial" w:hAnsi="Arial"/>
          <w:sz w:val="24"/>
          <w:lang w:val="fr-CA"/>
        </w:rPr>
        <w:t xml:space="preserve"> une unité de donneur, </w:t>
      </w:r>
      <w:r>
        <w:rPr>
          <w:rFonts w:ascii="Arial" w:hAnsi="Arial"/>
          <w:sz w:val="24"/>
          <w:lang w:val="fr-CA"/>
        </w:rPr>
        <w:t>inspecter</w:t>
      </w:r>
      <w:r w:rsidR="002B6B1A" w:rsidRPr="002B6B1A">
        <w:rPr>
          <w:rFonts w:ascii="Arial" w:hAnsi="Arial"/>
          <w:sz w:val="24"/>
          <w:lang w:val="fr-CA"/>
        </w:rPr>
        <w:t xml:space="preserve"> le segment suivant attaché au sac, jusqu’à ce que l’on trouve un segment qui ne soit pas coagulé</w:t>
      </w:r>
      <w:r w:rsidR="00E8364F" w:rsidRPr="002B6B1A">
        <w:rPr>
          <w:rFonts w:ascii="Arial" w:hAnsi="Arial"/>
          <w:sz w:val="24"/>
          <w:lang w:val="fr-CA"/>
        </w:rPr>
        <w:t>.</w:t>
      </w:r>
    </w:p>
    <w:p w:rsidR="00E8364F" w:rsidRPr="002B6B1A" w:rsidRDefault="002B6B1A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2B6B1A">
        <w:rPr>
          <w:rFonts w:ascii="Arial" w:hAnsi="Arial"/>
          <w:sz w:val="24"/>
          <w:lang w:val="fr-CA"/>
        </w:rPr>
        <w:t xml:space="preserve">Si tous les segments sont coagulés, en aviser le fournisseur de sang. </w:t>
      </w:r>
      <w:r w:rsidR="00E62919" w:rsidRPr="002B6B1A">
        <w:rPr>
          <w:rFonts w:ascii="Arial" w:hAnsi="Arial"/>
          <w:sz w:val="24"/>
          <w:lang w:val="fr-CA"/>
        </w:rPr>
        <w:t>Voir GI.005 - Disposition finale du sang, des composants sanguins et des produits connexes qui ne sont pas en état d'être transfusés - procédure manuelle.</w:t>
      </w:r>
    </w:p>
    <w:p w:rsidR="00E8364F" w:rsidRPr="002B6B1A" w:rsidRDefault="00E8364F">
      <w:pPr>
        <w:rPr>
          <w:rFonts w:ascii="Arial" w:hAnsi="Arial"/>
          <w:sz w:val="24"/>
          <w:lang w:val="fr-CA"/>
        </w:rPr>
      </w:pPr>
    </w:p>
    <w:p w:rsidR="00E8364F" w:rsidRPr="002B6B1A" w:rsidRDefault="002B6B1A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2B6B1A">
        <w:rPr>
          <w:rFonts w:ascii="Arial" w:hAnsi="Arial"/>
          <w:sz w:val="24"/>
          <w:lang w:val="fr-CA"/>
        </w:rPr>
        <w:t>Un segment hémolysé peut n’apparaître qu’au moment du lavage du segment (c.-à.d. surnageant rougeâtre)</w:t>
      </w:r>
      <w:r w:rsidR="00E8364F" w:rsidRPr="002B6B1A">
        <w:rPr>
          <w:rFonts w:ascii="Arial" w:hAnsi="Arial"/>
          <w:sz w:val="24"/>
          <w:lang w:val="fr-CA"/>
        </w:rPr>
        <w:t>.</w:t>
      </w:r>
    </w:p>
    <w:p w:rsidR="00E8364F" w:rsidRPr="002B6B1A" w:rsidRDefault="00E8364F">
      <w:pPr>
        <w:ind w:left="720"/>
        <w:rPr>
          <w:rFonts w:ascii="Arial" w:hAnsi="Arial"/>
          <w:sz w:val="24"/>
          <w:lang w:val="fr-CA"/>
        </w:rPr>
      </w:pPr>
    </w:p>
    <w:p w:rsidR="00E8364F" w:rsidRPr="002B6B1A" w:rsidRDefault="002B6B1A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2B6B1A">
        <w:rPr>
          <w:rFonts w:ascii="Arial" w:hAnsi="Arial"/>
          <w:sz w:val="24"/>
          <w:lang w:val="fr-CA"/>
        </w:rPr>
        <w:t>En présence d’hémolyse, ouvrir les autres segments jusqu’à ce que l’on trouve un segment qui ne soit pas hémolysé</w:t>
      </w:r>
      <w:r w:rsidR="00E8364F" w:rsidRPr="002B6B1A">
        <w:rPr>
          <w:rFonts w:ascii="Arial" w:hAnsi="Arial"/>
          <w:sz w:val="24"/>
          <w:lang w:val="fr-CA"/>
        </w:rPr>
        <w:t>.</w:t>
      </w:r>
    </w:p>
    <w:p w:rsidR="00E8364F" w:rsidRPr="002B6B1A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2B6B1A" w:rsidRDefault="00F24170" w:rsidP="008F0A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2B6B1A">
        <w:rPr>
          <w:rFonts w:ascii="Arial" w:hAnsi="Arial"/>
          <w:sz w:val="24"/>
          <w:lang w:val="fr-CA"/>
        </w:rPr>
        <w:t>Si tous les segments sont hémolysés, en aviser le fournisseur de sang.</w:t>
      </w:r>
      <w:r w:rsidR="00E8364F" w:rsidRPr="002B6B1A">
        <w:rPr>
          <w:rFonts w:ascii="Arial" w:hAnsi="Arial"/>
          <w:sz w:val="24"/>
          <w:lang w:val="fr-CA"/>
        </w:rPr>
        <w:t xml:space="preserve"> </w:t>
      </w:r>
      <w:r w:rsidR="00E62919" w:rsidRPr="002B6B1A">
        <w:rPr>
          <w:rFonts w:ascii="Arial" w:hAnsi="Arial"/>
          <w:sz w:val="24"/>
          <w:lang w:val="fr-CA"/>
        </w:rPr>
        <w:t>Voir GI.005 - Disposition finale du sang, des composants sanguins et des produits connexes qui ne sont pas en état d'être transfusés - procédure manuelle.</w:t>
      </w:r>
    </w:p>
    <w:p w:rsidR="00E8364F" w:rsidRPr="002B6B1A" w:rsidRDefault="00E8364F">
      <w:pPr>
        <w:ind w:left="1440"/>
        <w:rPr>
          <w:rFonts w:ascii="Arial" w:hAnsi="Arial"/>
          <w:sz w:val="24"/>
          <w:lang w:val="fr-CA"/>
        </w:rPr>
      </w:pPr>
    </w:p>
    <w:p w:rsidR="00E8364F" w:rsidRPr="002B6B1A" w:rsidRDefault="00E62919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2B6B1A">
        <w:rPr>
          <w:rFonts w:ascii="Arial" w:hAnsi="Arial"/>
          <w:sz w:val="24"/>
          <w:lang w:val="fr-CA"/>
        </w:rPr>
        <w:t>Il faut lire les résultats immédiatement après la centrifugation.</w:t>
      </w:r>
      <w:r w:rsidR="00F5390F">
        <w:rPr>
          <w:rFonts w:ascii="Arial" w:hAnsi="Arial"/>
          <w:sz w:val="24"/>
          <w:lang w:val="fr-CA"/>
        </w:rPr>
        <w:t xml:space="preserve"> </w:t>
      </w:r>
      <w:r w:rsidRPr="002B6B1A">
        <w:rPr>
          <w:rFonts w:ascii="Arial" w:hAnsi="Arial"/>
          <w:sz w:val="24"/>
          <w:lang w:val="fr-CA"/>
        </w:rPr>
        <w:t>Tout retard permettr</w:t>
      </w:r>
      <w:r w:rsidR="00662F18">
        <w:rPr>
          <w:rFonts w:ascii="Arial" w:hAnsi="Arial"/>
          <w:sz w:val="24"/>
          <w:lang w:val="fr-CA"/>
        </w:rPr>
        <w:t>rait</w:t>
      </w:r>
      <w:r w:rsidRPr="002B6B1A">
        <w:rPr>
          <w:rFonts w:ascii="Arial" w:hAnsi="Arial"/>
          <w:sz w:val="24"/>
          <w:lang w:val="fr-CA"/>
        </w:rPr>
        <w:t xml:space="preserve"> aux </w:t>
      </w:r>
      <w:r w:rsidR="00F24170" w:rsidRPr="002B6B1A">
        <w:rPr>
          <w:rFonts w:ascii="Arial" w:hAnsi="Arial"/>
          <w:sz w:val="24"/>
          <w:lang w:val="fr-CA"/>
        </w:rPr>
        <w:t>IgG</w:t>
      </w:r>
      <w:r w:rsidRPr="002B6B1A">
        <w:rPr>
          <w:rFonts w:ascii="Arial" w:hAnsi="Arial"/>
          <w:sz w:val="24"/>
          <w:lang w:val="fr-CA"/>
        </w:rPr>
        <w:t xml:space="preserve"> de se dissocier des globules rouges; leur concentration serait alors trop faible pour qu'on puisse les déceler ou les </w:t>
      </w:r>
      <w:r w:rsidR="00F24170" w:rsidRPr="002B6B1A">
        <w:rPr>
          <w:rFonts w:ascii="Arial" w:hAnsi="Arial"/>
          <w:sz w:val="24"/>
          <w:lang w:val="fr-CA"/>
        </w:rPr>
        <w:t>I</w:t>
      </w:r>
      <w:r w:rsidRPr="002B6B1A">
        <w:rPr>
          <w:rFonts w:ascii="Arial" w:hAnsi="Arial"/>
          <w:sz w:val="24"/>
          <w:lang w:val="fr-CA"/>
        </w:rPr>
        <w:t>g</w:t>
      </w:r>
      <w:r w:rsidR="00F24170" w:rsidRPr="002B6B1A">
        <w:rPr>
          <w:rFonts w:ascii="Arial" w:hAnsi="Arial"/>
          <w:sz w:val="24"/>
          <w:lang w:val="fr-CA"/>
        </w:rPr>
        <w:t>G</w:t>
      </w:r>
      <w:r w:rsidRPr="002B6B1A">
        <w:rPr>
          <w:rFonts w:ascii="Arial" w:hAnsi="Arial"/>
          <w:sz w:val="24"/>
          <w:lang w:val="fr-CA"/>
        </w:rPr>
        <w:t xml:space="preserve"> pourraient neutraliser la </w:t>
      </w:r>
      <w:r w:rsidR="00F24170" w:rsidRPr="002B6B1A">
        <w:rPr>
          <w:rFonts w:ascii="Arial" w:hAnsi="Arial"/>
          <w:sz w:val="24"/>
          <w:lang w:val="fr-CA"/>
        </w:rPr>
        <w:t>GAH</w:t>
      </w:r>
      <w:r w:rsidRPr="002B6B1A">
        <w:rPr>
          <w:rFonts w:ascii="Arial" w:hAnsi="Arial"/>
          <w:sz w:val="24"/>
          <w:lang w:val="fr-CA"/>
        </w:rPr>
        <w:t xml:space="preserve"> et donner un faux résultat négatif.</w:t>
      </w:r>
    </w:p>
    <w:p w:rsidR="00E8364F" w:rsidRPr="002B6B1A" w:rsidRDefault="00E8364F" w:rsidP="00F24170">
      <w:pPr>
        <w:ind w:left="720"/>
        <w:rPr>
          <w:rFonts w:ascii="Arial" w:hAnsi="Arial"/>
          <w:sz w:val="24"/>
          <w:lang w:val="fr-CA"/>
        </w:rPr>
      </w:pPr>
    </w:p>
    <w:p w:rsidR="00E8364F" w:rsidRPr="002B6B1A" w:rsidRDefault="00E62919" w:rsidP="008F0A98">
      <w:pPr>
        <w:numPr>
          <w:ilvl w:val="0"/>
          <w:numId w:val="1"/>
        </w:numPr>
        <w:rPr>
          <w:rFonts w:ascii="Arial" w:hAnsi="Arial" w:cs="Arial"/>
          <w:b/>
          <w:sz w:val="28"/>
          <w:lang w:val="fr-CA"/>
        </w:rPr>
      </w:pPr>
      <w:r w:rsidRPr="002B6B1A">
        <w:rPr>
          <w:rFonts w:ascii="Arial" w:hAnsi="Arial" w:cs="Arial"/>
          <w:b/>
          <w:sz w:val="28"/>
          <w:lang w:val="fr-CA"/>
        </w:rPr>
        <w:t>Références</w:t>
      </w:r>
    </w:p>
    <w:p w:rsidR="00E8364F" w:rsidRPr="002B6B1A" w:rsidRDefault="00E8364F" w:rsidP="00F24170">
      <w:pPr>
        <w:rPr>
          <w:rFonts w:ascii="Arial" w:hAnsi="Arial"/>
          <w:sz w:val="24"/>
          <w:lang w:val="fr-CA"/>
        </w:rPr>
      </w:pPr>
    </w:p>
    <w:p w:rsidR="007B38EE" w:rsidRPr="009B7747" w:rsidRDefault="007B38EE" w:rsidP="008F0A98">
      <w:pPr>
        <w:numPr>
          <w:ilvl w:val="1"/>
          <w:numId w:val="1"/>
        </w:numPr>
        <w:rPr>
          <w:rFonts w:ascii="Arial" w:hAnsi="Arial"/>
          <w:sz w:val="24"/>
          <w:lang w:val="fr-FR"/>
        </w:rPr>
      </w:pPr>
      <w:r w:rsidRPr="009B7747">
        <w:rPr>
          <w:rFonts w:ascii="Arial" w:hAnsi="Arial"/>
          <w:i/>
          <w:sz w:val="24"/>
          <w:lang w:val="fr-FR"/>
        </w:rPr>
        <w:t>Standards for Hospital Transfusion Services</w:t>
      </w:r>
      <w:r w:rsidRPr="009B7747">
        <w:rPr>
          <w:rFonts w:ascii="Arial" w:hAnsi="Arial"/>
          <w:sz w:val="24"/>
          <w:lang w:val="fr-FR"/>
        </w:rPr>
        <w:t xml:space="preserve">, version 2 – septembre 2007. Société </w:t>
      </w:r>
      <w:r w:rsidRPr="001C171B">
        <w:rPr>
          <w:rFonts w:ascii="Arial" w:hAnsi="Arial"/>
          <w:sz w:val="24"/>
          <w:lang w:val="fr-CA"/>
        </w:rPr>
        <w:t>canadienne de médecine transfusionnelle</w:t>
      </w:r>
      <w:r w:rsidRPr="009B7747">
        <w:rPr>
          <w:rFonts w:ascii="Arial" w:hAnsi="Arial"/>
          <w:sz w:val="24"/>
          <w:lang w:val="fr-FR"/>
        </w:rPr>
        <w:t xml:space="preserve">, </w:t>
      </w:r>
      <w:r w:rsidR="00B3227D" w:rsidRPr="009B7747">
        <w:rPr>
          <w:rFonts w:ascii="Arial" w:hAnsi="Arial"/>
          <w:sz w:val="24"/>
          <w:lang w:val="fr-FR"/>
        </w:rPr>
        <w:t xml:space="preserve">p. </w:t>
      </w:r>
      <w:r w:rsidRPr="009B7747">
        <w:rPr>
          <w:rFonts w:ascii="Arial" w:hAnsi="Arial"/>
          <w:sz w:val="24"/>
          <w:lang w:val="fr-FR"/>
        </w:rPr>
        <w:t>5.3.7.3, 5.2.3.3, 5.3.7.1, 5.7.2.7, 5.9.2.1, 5.9.2.2, 5.9.2.3, 5.9.4.1, 5.2.3.5, 5.3.1.6, 5.7.2.1, 5.7.5.1.</w:t>
      </w:r>
    </w:p>
    <w:p w:rsidR="007B38EE" w:rsidRPr="009B7747" w:rsidRDefault="007B38EE" w:rsidP="007B38EE">
      <w:pPr>
        <w:ind w:left="720"/>
        <w:rPr>
          <w:rFonts w:ascii="Arial" w:hAnsi="Arial"/>
          <w:sz w:val="24"/>
          <w:lang w:val="fr-FR"/>
        </w:rPr>
      </w:pPr>
    </w:p>
    <w:p w:rsidR="007B38EE" w:rsidRDefault="007B38EE" w:rsidP="008F0A98">
      <w:pPr>
        <w:numPr>
          <w:ilvl w:val="1"/>
          <w:numId w:val="1"/>
        </w:numPr>
        <w:rPr>
          <w:rFonts w:ascii="Arial" w:hAnsi="Arial"/>
          <w:sz w:val="24"/>
        </w:rPr>
      </w:pPr>
      <w:r w:rsidRPr="00B3227D">
        <w:rPr>
          <w:rFonts w:ascii="Arial" w:hAnsi="Arial"/>
          <w:i/>
          <w:sz w:val="24"/>
        </w:rPr>
        <w:t>Standards for Blood Banks and Transfusion</w:t>
      </w:r>
      <w:r>
        <w:rPr>
          <w:rFonts w:ascii="Arial" w:hAnsi="Arial"/>
          <w:sz w:val="24"/>
        </w:rPr>
        <w:t xml:space="preserve"> </w:t>
      </w:r>
      <w:r w:rsidRPr="00B3227D">
        <w:rPr>
          <w:rFonts w:ascii="Arial" w:hAnsi="Arial"/>
          <w:i/>
          <w:sz w:val="24"/>
        </w:rPr>
        <w:t>Service</w:t>
      </w:r>
      <w:r>
        <w:rPr>
          <w:rFonts w:ascii="Arial" w:hAnsi="Arial"/>
          <w:sz w:val="24"/>
        </w:rPr>
        <w:t>, 25</w:t>
      </w:r>
      <w:r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éd.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Bethesda</w:t>
          </w:r>
        </w:smartTag>
        <w:r>
          <w:rPr>
            <w:rFonts w:ascii="Arial" w:hAnsi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4"/>
            </w:rPr>
            <w:t>MD</w:t>
          </w:r>
        </w:smartTag>
      </w:smartTag>
      <w:r>
        <w:rPr>
          <w:rFonts w:ascii="Arial" w:hAnsi="Arial"/>
          <w:sz w:val="24"/>
        </w:rPr>
        <w:t xml:space="preserve">: American Association of Blood Banks (2008); </w:t>
      </w:r>
      <w:r w:rsidR="00B3227D">
        <w:rPr>
          <w:rFonts w:ascii="Arial" w:hAnsi="Arial"/>
          <w:sz w:val="24"/>
        </w:rPr>
        <w:t>p. </w:t>
      </w:r>
      <w:r>
        <w:rPr>
          <w:rFonts w:ascii="Arial" w:hAnsi="Arial"/>
          <w:sz w:val="24"/>
        </w:rPr>
        <w:t>5.15.1, 5.16.1.3.</w:t>
      </w:r>
    </w:p>
    <w:p w:rsidR="007B38EE" w:rsidRDefault="007B38EE" w:rsidP="007B38EE">
      <w:pPr>
        <w:ind w:left="720"/>
        <w:rPr>
          <w:rFonts w:ascii="Arial" w:hAnsi="Arial"/>
          <w:sz w:val="24"/>
        </w:rPr>
      </w:pPr>
    </w:p>
    <w:p w:rsidR="007B38EE" w:rsidRDefault="007B38EE" w:rsidP="008F0A98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JUDD WJ. </w:t>
      </w:r>
      <w:r w:rsidRPr="00B3227D">
        <w:rPr>
          <w:rFonts w:ascii="Arial" w:hAnsi="Arial"/>
          <w:i/>
          <w:sz w:val="24"/>
        </w:rPr>
        <w:t>Methods in Immunohematology</w:t>
      </w:r>
      <w:r>
        <w:rPr>
          <w:rFonts w:ascii="Arial" w:hAnsi="Arial"/>
          <w:sz w:val="24"/>
        </w:rPr>
        <w:t>, 3</w:t>
      </w:r>
      <w:r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éd.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Bethesda</w:t>
          </w:r>
        </w:smartTag>
        <w:r>
          <w:rPr>
            <w:rFonts w:ascii="Arial" w:hAnsi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4"/>
            </w:rPr>
            <w:t>MD</w:t>
          </w:r>
        </w:smartTag>
      </w:smartTag>
      <w:r>
        <w:rPr>
          <w:rFonts w:ascii="Arial" w:hAnsi="Arial"/>
          <w:sz w:val="24"/>
        </w:rPr>
        <w:t xml:space="preserve">: American Association of Blood Banks (2008), </w:t>
      </w:r>
      <w:r w:rsidR="00B3227D">
        <w:rPr>
          <w:rFonts w:ascii="Arial" w:hAnsi="Arial"/>
          <w:sz w:val="24"/>
        </w:rPr>
        <w:t xml:space="preserve">p. </w:t>
      </w:r>
      <w:r>
        <w:rPr>
          <w:rFonts w:ascii="Arial" w:hAnsi="Arial"/>
          <w:sz w:val="24"/>
        </w:rPr>
        <w:t>11-14.</w:t>
      </w:r>
    </w:p>
    <w:p w:rsidR="007B38EE" w:rsidRDefault="007B38EE" w:rsidP="007B38EE">
      <w:pPr>
        <w:rPr>
          <w:rFonts w:ascii="Arial" w:hAnsi="Arial"/>
          <w:sz w:val="24"/>
        </w:rPr>
      </w:pPr>
    </w:p>
    <w:p w:rsidR="007B38EE" w:rsidRDefault="007B38EE" w:rsidP="008F0A98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ROBACK JD, éd. </w:t>
      </w:r>
      <w:r w:rsidRPr="00B3227D">
        <w:rPr>
          <w:rFonts w:ascii="Arial" w:hAnsi="Arial"/>
          <w:i/>
          <w:sz w:val="24"/>
        </w:rPr>
        <w:t>American Association of Blood Banks Technical Manual</w:t>
      </w:r>
      <w:r>
        <w:rPr>
          <w:rFonts w:ascii="Arial" w:hAnsi="Arial"/>
          <w:sz w:val="24"/>
        </w:rPr>
        <w:t>, 16</w:t>
      </w:r>
      <w:r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éd.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Bethesda</w:t>
          </w:r>
        </w:smartTag>
        <w:r>
          <w:rPr>
            <w:rFonts w:ascii="Arial" w:hAnsi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4"/>
            </w:rPr>
            <w:t>MD</w:t>
          </w:r>
        </w:smartTag>
      </w:smartTag>
      <w:r>
        <w:rPr>
          <w:rFonts w:ascii="Arial" w:hAnsi="Arial"/>
          <w:sz w:val="24"/>
        </w:rPr>
        <w:t xml:space="preserve">:  American Association of Blood Banks (2008), </w:t>
      </w:r>
      <w:r w:rsidR="00B3227D">
        <w:rPr>
          <w:rFonts w:ascii="Arial" w:hAnsi="Arial"/>
          <w:sz w:val="24"/>
        </w:rPr>
        <w:t xml:space="preserve">p. </w:t>
      </w:r>
      <w:r>
        <w:rPr>
          <w:rFonts w:ascii="Arial" w:hAnsi="Arial"/>
          <w:sz w:val="24"/>
        </w:rPr>
        <w:t>453.</w:t>
      </w:r>
    </w:p>
    <w:p w:rsidR="007B38EE" w:rsidRDefault="007B38EE" w:rsidP="007B38EE">
      <w:pPr>
        <w:rPr>
          <w:rFonts w:ascii="Arial" w:hAnsi="Arial"/>
          <w:sz w:val="24"/>
        </w:rPr>
      </w:pPr>
    </w:p>
    <w:p w:rsidR="00E8364F" w:rsidRPr="007B38EE" w:rsidRDefault="007B38EE" w:rsidP="008F0A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9B7747">
        <w:rPr>
          <w:rFonts w:ascii="Arial" w:hAnsi="Arial"/>
          <w:sz w:val="24"/>
          <w:lang w:val="fr-FR"/>
        </w:rPr>
        <w:t xml:space="preserve"> </w:t>
      </w:r>
      <w:r w:rsidR="00324D2B" w:rsidRPr="007B38EE">
        <w:rPr>
          <w:rFonts w:ascii="Arial" w:hAnsi="Arial"/>
          <w:sz w:val="24"/>
          <w:lang w:val="fr-CA"/>
        </w:rPr>
        <w:t xml:space="preserve">Consulter les références </w:t>
      </w:r>
      <w:r w:rsidR="00B3227D">
        <w:rPr>
          <w:rFonts w:ascii="Arial" w:hAnsi="Arial"/>
          <w:sz w:val="24"/>
          <w:lang w:val="fr-CA"/>
        </w:rPr>
        <w:t>dans</w:t>
      </w:r>
      <w:r w:rsidR="00324D2B" w:rsidRPr="007B38EE">
        <w:rPr>
          <w:rFonts w:ascii="Arial" w:hAnsi="Arial"/>
          <w:sz w:val="24"/>
          <w:lang w:val="fr-CA"/>
        </w:rPr>
        <w:t xml:space="preserve"> la documentation du fabricant accompagnant le produit </w:t>
      </w:r>
      <w:r w:rsidR="00E8364F" w:rsidRPr="007B38EE">
        <w:rPr>
          <w:rFonts w:ascii="Arial" w:hAnsi="Arial"/>
          <w:sz w:val="24"/>
          <w:lang w:val="fr-CA"/>
        </w:rPr>
        <w:t>(</w:t>
      </w:r>
      <w:r w:rsidR="00324D2B" w:rsidRPr="007B38EE">
        <w:rPr>
          <w:rFonts w:ascii="Arial" w:hAnsi="Arial"/>
          <w:sz w:val="24"/>
          <w:lang w:val="fr-CA"/>
        </w:rPr>
        <w:t>SFCI</w:t>
      </w:r>
      <w:r w:rsidR="00E8364F" w:rsidRPr="007B38EE">
        <w:rPr>
          <w:rFonts w:ascii="Arial" w:hAnsi="Arial"/>
          <w:sz w:val="24"/>
          <w:lang w:val="fr-CA"/>
        </w:rPr>
        <w:t>/PEG).</w:t>
      </w:r>
    </w:p>
    <w:sectPr w:rsidR="00E8364F" w:rsidRPr="007B38E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E52" w:rsidRDefault="00B35E52">
      <w:r>
        <w:separator/>
      </w:r>
    </w:p>
  </w:endnote>
  <w:endnote w:type="continuationSeparator" w:id="0">
    <w:p w:rsidR="00B35E52" w:rsidRDefault="00B3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4F553A">
      <w:trPr>
        <w:trHeight w:val="720"/>
      </w:trPr>
      <w:tc>
        <w:tcPr>
          <w:tcW w:w="1368" w:type="dxa"/>
        </w:tcPr>
        <w:p w:rsidR="004F553A" w:rsidRDefault="004F553A">
          <w:pPr>
            <w:pStyle w:val="Footer"/>
            <w:jc w:val="center"/>
            <w:rPr>
              <w:sz w:val="8"/>
            </w:rPr>
          </w:pPr>
        </w:p>
        <w:p w:rsidR="004F553A" w:rsidRDefault="002861E1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4F553A" w:rsidRPr="00CF475E" w:rsidRDefault="004F553A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8A0F47" w:rsidRPr="00D52543" w:rsidRDefault="008A0F47" w:rsidP="008A0F47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8A0F47" w:rsidRDefault="008A0F47" w:rsidP="008A0F47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8A0F47" w:rsidRPr="00D52543" w:rsidRDefault="008A0F47" w:rsidP="008A0F47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des d</w:t>
          </w:r>
          <w:r w:rsidRPr="00D52543">
            <w:rPr>
              <w:rFonts w:ascii="Arial" w:hAnsi="Arial"/>
              <w:sz w:val="18"/>
              <w:lang w:val="fr-CA"/>
            </w:rPr>
            <w:t>irectives de travail normalisées</w:t>
          </w:r>
        </w:p>
        <w:p w:rsidR="004F553A" w:rsidRPr="00CF475E" w:rsidRDefault="004F553A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4F553A" w:rsidRPr="00CF475E" w:rsidRDefault="004F553A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4F553A" w:rsidRPr="00CF475E" w:rsidRDefault="004F553A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CF475E">
            <w:rPr>
              <w:rFonts w:ascii="Arial" w:hAnsi="Arial"/>
              <w:sz w:val="18"/>
              <w:lang w:val="fr-CA"/>
            </w:rPr>
            <w:t>AR.011</w:t>
          </w:r>
          <w:r w:rsidRPr="00CF475E">
            <w:rPr>
              <w:rFonts w:ascii="Arial" w:hAnsi="Arial"/>
              <w:sz w:val="18"/>
              <w:lang w:val="fr-CA"/>
            </w:rPr>
            <w:br/>
          </w:r>
        </w:p>
        <w:p w:rsidR="004F553A" w:rsidRPr="00CF475E" w:rsidRDefault="004F553A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CF475E">
            <w:rPr>
              <w:rFonts w:ascii="Arial" w:hAnsi="Arial"/>
              <w:snapToGrid w:val="0"/>
              <w:sz w:val="18"/>
              <w:lang w:val="fr-CA"/>
            </w:rPr>
            <w:t xml:space="preserve">Page </w:t>
          </w:r>
          <w:r w:rsidRPr="00CF475E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CF475E">
            <w:rPr>
              <w:rFonts w:ascii="Arial" w:hAnsi="Arial"/>
              <w:snapToGrid w:val="0"/>
              <w:sz w:val="18"/>
              <w:lang w:val="fr-CA"/>
            </w:rPr>
            <w:instrText xml:space="preserve"> PAGE </w:instrText>
          </w:r>
          <w:r w:rsidRPr="00CF475E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FC65C8">
            <w:rPr>
              <w:rFonts w:ascii="Arial" w:hAnsi="Arial"/>
              <w:noProof/>
              <w:snapToGrid w:val="0"/>
              <w:sz w:val="18"/>
              <w:lang w:val="fr-CA"/>
            </w:rPr>
            <w:t>13</w:t>
          </w:r>
          <w:r w:rsidRPr="00CF475E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  <w:r w:rsidRPr="00CF475E">
            <w:rPr>
              <w:rFonts w:ascii="Arial" w:hAnsi="Arial"/>
              <w:snapToGrid w:val="0"/>
              <w:sz w:val="18"/>
              <w:lang w:val="fr-CA"/>
            </w:rPr>
            <w:t xml:space="preserve"> de </w:t>
          </w:r>
          <w:r w:rsidRPr="00CF475E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CF475E">
            <w:rPr>
              <w:rFonts w:ascii="Arial" w:hAnsi="Arial"/>
              <w:snapToGrid w:val="0"/>
              <w:sz w:val="18"/>
              <w:lang w:val="fr-CA"/>
            </w:rPr>
            <w:instrText xml:space="preserve"> NUMPAGES </w:instrText>
          </w:r>
          <w:r w:rsidRPr="00CF475E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FC65C8">
            <w:rPr>
              <w:rFonts w:ascii="Arial" w:hAnsi="Arial"/>
              <w:noProof/>
              <w:snapToGrid w:val="0"/>
              <w:sz w:val="18"/>
              <w:lang w:val="fr-CA"/>
            </w:rPr>
            <w:t>13</w:t>
          </w:r>
          <w:r w:rsidRPr="00CF475E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</w:p>
      </w:tc>
    </w:tr>
  </w:tbl>
  <w:p w:rsidR="004F553A" w:rsidRDefault="004F5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4F553A" w:rsidRPr="00F24170">
      <w:trPr>
        <w:trHeight w:val="720"/>
      </w:trPr>
      <w:tc>
        <w:tcPr>
          <w:tcW w:w="1368" w:type="dxa"/>
        </w:tcPr>
        <w:p w:rsidR="004F553A" w:rsidRPr="00F24170" w:rsidRDefault="004F553A">
          <w:pPr>
            <w:pStyle w:val="Footer"/>
            <w:jc w:val="center"/>
            <w:rPr>
              <w:rFonts w:ascii="Verdana" w:hAnsi="Verdana"/>
              <w:sz w:val="8"/>
              <w:lang w:val="fr-CA"/>
            </w:rPr>
          </w:pPr>
        </w:p>
        <w:p w:rsidR="004F553A" w:rsidRPr="00F24170" w:rsidRDefault="002861E1">
          <w:pPr>
            <w:pStyle w:val="Footer"/>
            <w:jc w:val="center"/>
            <w:rPr>
              <w:rFonts w:ascii="Verdana" w:hAnsi="Verdana"/>
              <w:sz w:val="8"/>
              <w:lang w:val="fr-CA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2" name="Picture 2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8A0F47" w:rsidRDefault="008A0F47" w:rsidP="008A0F47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8A0F47" w:rsidRPr="00D52543" w:rsidRDefault="008A0F47" w:rsidP="008A0F47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8A0F47" w:rsidRDefault="008A0F47" w:rsidP="008A0F47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8A0F47" w:rsidRPr="00D52543" w:rsidRDefault="008A0F47" w:rsidP="008A0F47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des d</w:t>
          </w:r>
          <w:r w:rsidRPr="00D52543">
            <w:rPr>
              <w:rFonts w:ascii="Arial" w:hAnsi="Arial"/>
              <w:sz w:val="18"/>
              <w:lang w:val="fr-CA"/>
            </w:rPr>
            <w:t>irectives de travail normalisées</w:t>
          </w:r>
        </w:p>
        <w:p w:rsidR="004F553A" w:rsidRPr="00F24170" w:rsidRDefault="004F553A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4F553A" w:rsidRPr="00F24170" w:rsidRDefault="004F553A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4F553A" w:rsidRPr="00F24170" w:rsidRDefault="004F553A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F24170">
            <w:rPr>
              <w:rFonts w:ascii="Arial" w:hAnsi="Arial"/>
              <w:sz w:val="18"/>
              <w:lang w:val="fr-CA"/>
            </w:rPr>
            <w:t>AR.011</w:t>
          </w:r>
          <w:r w:rsidRPr="00F24170">
            <w:rPr>
              <w:rFonts w:ascii="Arial" w:hAnsi="Arial"/>
              <w:sz w:val="18"/>
              <w:lang w:val="fr-CA"/>
            </w:rPr>
            <w:br/>
          </w:r>
        </w:p>
        <w:p w:rsidR="004F553A" w:rsidRPr="00F24170" w:rsidRDefault="004F553A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F24170">
            <w:rPr>
              <w:rFonts w:ascii="Arial" w:hAnsi="Arial"/>
              <w:snapToGrid w:val="0"/>
              <w:sz w:val="18"/>
              <w:lang w:val="fr-CA"/>
            </w:rPr>
            <w:t xml:space="preserve">Page </w:t>
          </w:r>
          <w:r w:rsidRPr="00F24170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F24170">
            <w:rPr>
              <w:rFonts w:ascii="Arial" w:hAnsi="Arial"/>
              <w:snapToGrid w:val="0"/>
              <w:sz w:val="18"/>
              <w:lang w:val="fr-CA"/>
            </w:rPr>
            <w:instrText xml:space="preserve"> PAGE </w:instrText>
          </w:r>
          <w:r w:rsidRPr="00F24170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FC65C8">
            <w:rPr>
              <w:rFonts w:ascii="Arial" w:hAnsi="Arial"/>
              <w:noProof/>
              <w:snapToGrid w:val="0"/>
              <w:sz w:val="18"/>
              <w:lang w:val="fr-CA"/>
            </w:rPr>
            <w:t>1</w:t>
          </w:r>
          <w:r w:rsidRPr="00F24170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  <w:r w:rsidRPr="00F24170">
            <w:rPr>
              <w:rFonts w:ascii="Arial" w:hAnsi="Arial"/>
              <w:snapToGrid w:val="0"/>
              <w:sz w:val="18"/>
              <w:lang w:val="fr-CA"/>
            </w:rPr>
            <w:t xml:space="preserve"> de </w:t>
          </w:r>
          <w:r w:rsidRPr="00F24170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F24170">
            <w:rPr>
              <w:rFonts w:ascii="Arial" w:hAnsi="Arial"/>
              <w:snapToGrid w:val="0"/>
              <w:sz w:val="18"/>
              <w:lang w:val="fr-CA"/>
            </w:rPr>
            <w:instrText xml:space="preserve"> NUMPAGES </w:instrText>
          </w:r>
          <w:r w:rsidRPr="00F24170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FC65C8">
            <w:rPr>
              <w:rFonts w:ascii="Arial" w:hAnsi="Arial"/>
              <w:noProof/>
              <w:snapToGrid w:val="0"/>
              <w:sz w:val="18"/>
              <w:lang w:val="fr-CA"/>
            </w:rPr>
            <w:t>1</w:t>
          </w:r>
          <w:r w:rsidRPr="00F24170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</w:p>
      </w:tc>
    </w:tr>
  </w:tbl>
  <w:p w:rsidR="004F553A" w:rsidRPr="00F24170" w:rsidRDefault="004F553A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E52" w:rsidRDefault="00B35E52">
      <w:r>
        <w:separator/>
      </w:r>
    </w:p>
  </w:footnote>
  <w:footnote w:type="continuationSeparator" w:id="0">
    <w:p w:rsidR="00B35E52" w:rsidRDefault="00B3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A" w:rsidRDefault="004F553A">
    <w:pPr>
      <w:pStyle w:val="Header"/>
      <w:jc w:val="center"/>
      <w:rPr>
        <w:rFonts w:ascii="Arial" w:hAnsi="Arial"/>
        <w:b/>
        <w:bCs/>
        <w:sz w:val="28"/>
        <w:lang w:val="fr-CA"/>
      </w:rPr>
    </w:pPr>
    <w:r w:rsidRPr="002209E3">
      <w:rPr>
        <w:rFonts w:ascii="Arial" w:hAnsi="Arial"/>
        <w:b/>
        <w:bCs/>
        <w:sz w:val="28"/>
        <w:lang w:val="fr-CA"/>
      </w:rPr>
      <w:t xml:space="preserve">Épreuve de compatibilité avec antiglobuline – </w:t>
    </w:r>
  </w:p>
  <w:p w:rsidR="004F553A" w:rsidRPr="002209E3" w:rsidRDefault="004F553A">
    <w:pPr>
      <w:pStyle w:val="Header"/>
      <w:jc w:val="center"/>
      <w:rPr>
        <w:rFonts w:ascii="Arial" w:hAnsi="Arial"/>
        <w:b/>
        <w:bCs/>
        <w:sz w:val="28"/>
        <w:lang w:val="fr-CA"/>
      </w:rPr>
    </w:pPr>
    <w:proofErr w:type="gramStart"/>
    <w:r w:rsidRPr="002209E3">
      <w:rPr>
        <w:rFonts w:ascii="Arial" w:hAnsi="Arial"/>
        <w:b/>
        <w:bCs/>
        <w:sz w:val="28"/>
        <w:lang w:val="fr-CA"/>
      </w:rPr>
      <w:t>solution</w:t>
    </w:r>
    <w:proofErr w:type="gramEnd"/>
    <w:r w:rsidRPr="002209E3">
      <w:rPr>
        <w:rFonts w:ascii="Arial" w:hAnsi="Arial"/>
        <w:b/>
        <w:bCs/>
        <w:sz w:val="28"/>
        <w:lang w:val="fr-CA"/>
      </w:rPr>
      <w:t xml:space="preserve"> saline, SFCI, PEG</w:t>
    </w:r>
  </w:p>
  <w:p w:rsidR="004F553A" w:rsidRPr="00CF475E" w:rsidRDefault="004F553A">
    <w:pPr>
      <w:pStyle w:val="Header"/>
      <w:jc w:val="center"/>
      <w:rPr>
        <w:rFonts w:ascii="Arial" w:hAnsi="Arial"/>
        <w:b/>
        <w:sz w:val="28"/>
        <w:highlight w:val="yellow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A" w:rsidRDefault="004F553A">
    <w:pPr>
      <w:pStyle w:val="Header"/>
      <w:tabs>
        <w:tab w:val="clear" w:pos="8640"/>
        <w:tab w:val="left" w:pos="5280"/>
      </w:tabs>
    </w:pPr>
  </w:p>
  <w:p w:rsidR="004F553A" w:rsidRPr="00E8364F" w:rsidRDefault="004F553A">
    <w:pPr>
      <w:pStyle w:val="Header"/>
      <w:jc w:val="center"/>
      <w:rPr>
        <w:rFonts w:ascii="Arial" w:hAnsi="Arial" w:cs="Arial"/>
        <w:b/>
        <w:bCs/>
        <w:sz w:val="22"/>
        <w:lang w:val="fr-CA"/>
      </w:rPr>
    </w:pPr>
    <w:r w:rsidRPr="00E8364F">
      <w:rPr>
        <w:rFonts w:ascii="Arial" w:hAnsi="Arial" w:cs="Arial"/>
        <w:b/>
        <w:bCs/>
        <w:sz w:val="22"/>
        <w:lang w:val="fr-CA"/>
      </w:rPr>
      <w:t>PATHOLOGIE ET MÉDECINE DE LABORATOIRE</w:t>
    </w:r>
  </w:p>
  <w:p w:rsidR="004F553A" w:rsidRPr="00E8364F" w:rsidRDefault="004F553A">
    <w:pPr>
      <w:pStyle w:val="Header"/>
      <w:jc w:val="center"/>
      <w:rPr>
        <w:rFonts w:ascii="Arial" w:hAnsi="Arial" w:cs="Arial"/>
        <w:b/>
        <w:bCs/>
        <w:sz w:val="22"/>
        <w:lang w:val="fr-CA"/>
      </w:rPr>
    </w:pPr>
    <w:r w:rsidRPr="00E8364F">
      <w:rPr>
        <w:rFonts w:ascii="Arial" w:hAnsi="Arial" w:cs="Arial"/>
        <w:b/>
        <w:bCs/>
        <w:sz w:val="22"/>
        <w:lang w:val="fr-CA"/>
      </w:rPr>
      <w:t>DIVISION DE LA MÉDECINE TRANSFUSIONNELLE</w:t>
    </w:r>
  </w:p>
  <w:p w:rsidR="004F553A" w:rsidRPr="00E8364F" w:rsidRDefault="004F553A">
    <w:pPr>
      <w:pStyle w:val="Header"/>
      <w:jc w:val="center"/>
      <w:rPr>
        <w:rFonts w:ascii="Arial" w:hAnsi="Arial" w:cs="Arial"/>
        <w:b/>
        <w:bCs/>
        <w:sz w:val="22"/>
        <w:lang w:val="fr-CA"/>
      </w:rPr>
    </w:pPr>
    <w:r w:rsidRPr="00E8364F">
      <w:rPr>
        <w:rFonts w:ascii="Arial" w:hAnsi="Arial" w:cs="Arial"/>
        <w:b/>
        <w:bCs/>
        <w:sz w:val="22"/>
        <w:lang w:val="fr-CA"/>
      </w:rPr>
      <w:t>MANUEL DES DIRECTIVES DE TRAVAIL NORMALISÉES</w:t>
    </w:r>
  </w:p>
  <w:p w:rsidR="004F553A" w:rsidRPr="00E8364F" w:rsidRDefault="004F553A">
    <w:pPr>
      <w:pStyle w:val="Header"/>
      <w:jc w:val="center"/>
      <w:rPr>
        <w:rFonts w:ascii="Arial" w:hAnsi="Arial" w:cs="Arial"/>
        <w:b/>
        <w:bCs/>
        <w:sz w:val="22"/>
        <w:lang w:val="fr-CA"/>
      </w:rPr>
    </w:pPr>
  </w:p>
  <w:p w:rsidR="004F553A" w:rsidRPr="00F5390F" w:rsidRDefault="004F553A">
    <w:pPr>
      <w:pStyle w:val="Header"/>
      <w:jc w:val="center"/>
      <w:rPr>
        <w:rFonts w:ascii="Arial" w:hAnsi="Arial"/>
        <w:b/>
        <w:sz w:val="28"/>
        <w:lang w:val="fr-CA"/>
      </w:rPr>
    </w:pPr>
    <w:r w:rsidRPr="00F5390F">
      <w:rPr>
        <w:rFonts w:ascii="Arial" w:hAnsi="Arial"/>
        <w:b/>
        <w:sz w:val="28"/>
        <w:lang w:val="fr-CA"/>
      </w:rPr>
      <w:t xml:space="preserve">Épreuve de compatibilité avec antiglobuline - solution saline, </w:t>
    </w:r>
  </w:p>
  <w:p w:rsidR="004F553A" w:rsidRPr="00F5390F" w:rsidRDefault="004F553A">
    <w:pPr>
      <w:pStyle w:val="Header"/>
      <w:jc w:val="center"/>
      <w:rPr>
        <w:rFonts w:ascii="Arial" w:hAnsi="Arial"/>
        <w:b/>
        <w:sz w:val="28"/>
        <w:lang w:val="fr-CA"/>
      </w:rPr>
    </w:pPr>
    <w:r w:rsidRPr="00F5390F">
      <w:rPr>
        <w:rFonts w:ascii="Arial" w:hAnsi="Arial"/>
        <w:b/>
        <w:sz w:val="28"/>
        <w:lang w:val="fr-CA"/>
      </w:rPr>
      <w:t>SFCI, PEG</w:t>
    </w:r>
  </w:p>
  <w:p w:rsidR="004F553A" w:rsidRPr="00E8364F" w:rsidRDefault="004F553A">
    <w:pPr>
      <w:pStyle w:val="Header"/>
      <w:jc w:val="center"/>
      <w:rPr>
        <w:rFonts w:ascii="Arial" w:hAnsi="Arial"/>
        <w:b/>
        <w:sz w:val="28"/>
        <w:lang w:val="fr-CA"/>
      </w:rPr>
    </w:pPr>
  </w:p>
  <w:p w:rsidR="004F553A" w:rsidRPr="00E8364F" w:rsidRDefault="004F553A">
    <w:pPr>
      <w:pStyle w:val="Header"/>
      <w:jc w:val="center"/>
      <w:rPr>
        <w:rFonts w:ascii="Arial" w:hAnsi="Arial" w:cs="Arial"/>
        <w:b/>
        <w:bCs/>
        <w:lang w:val="fr-CA"/>
      </w:rPr>
    </w:pPr>
    <w:r w:rsidRPr="00E8364F">
      <w:rPr>
        <w:rFonts w:ascii="Arial" w:hAnsi="Arial" w:cs="Arial"/>
        <w:b/>
        <w:bCs/>
        <w:lang w:val="fr-CA"/>
      </w:rPr>
      <w:tab/>
    </w:r>
    <w:r w:rsidR="002861E1" w:rsidRPr="00E8364F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A12F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N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ztL0M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I9kDYx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4"/>
      <w:gridCol w:w="4316"/>
    </w:tblGrid>
    <w:tr w:rsidR="008A0F47" w:rsidRPr="00E8364F">
      <w:tc>
        <w:tcPr>
          <w:tcW w:w="4428" w:type="dxa"/>
        </w:tcPr>
        <w:p w:rsidR="008A0F47" w:rsidRDefault="00662F18" w:rsidP="006F3101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>
            <w:rPr>
              <w:rFonts w:ascii="Arial" w:hAnsi="Arial" w:cs="Arial"/>
              <w:lang w:val="fr-CA"/>
            </w:rPr>
            <w:t>Approbation </w:t>
          </w:r>
          <w:r w:rsidR="008A0F47">
            <w:rPr>
              <w:rFonts w:ascii="Arial" w:hAnsi="Arial" w:cs="Arial"/>
              <w:lang w:val="fr-CA"/>
            </w:rPr>
            <w:t>: D</w:t>
          </w:r>
          <w:r w:rsidR="008A0F47" w:rsidRPr="00DB21A4">
            <w:rPr>
              <w:rFonts w:ascii="Arial" w:hAnsi="Arial" w:cs="Arial"/>
              <w:vertAlign w:val="superscript"/>
              <w:lang w:val="fr-CA"/>
            </w:rPr>
            <w:t xml:space="preserve">r </w:t>
          </w:r>
          <w:r w:rsidR="008A0F47">
            <w:rPr>
              <w:rFonts w:ascii="Arial" w:hAnsi="Arial" w:cs="Arial"/>
              <w:lang w:val="fr-CA"/>
            </w:rPr>
            <w:t>Antonio Giulivi</w:t>
          </w:r>
        </w:p>
      </w:tc>
      <w:tc>
        <w:tcPr>
          <w:tcW w:w="4428" w:type="dxa"/>
        </w:tcPr>
        <w:p w:rsidR="008A0F47" w:rsidRPr="00E8364F" w:rsidRDefault="008A0F47">
          <w:pPr>
            <w:pStyle w:val="Header"/>
            <w:rPr>
              <w:rFonts w:ascii="Arial" w:hAnsi="Arial" w:cs="Arial"/>
              <w:lang w:val="fr-CA"/>
            </w:rPr>
          </w:pPr>
          <w:r w:rsidRPr="00E8364F">
            <w:rPr>
              <w:rFonts w:ascii="Arial" w:hAnsi="Arial" w:cs="Arial"/>
              <w:lang w:val="fr-CA"/>
            </w:rPr>
            <w:t>Document no : AR.011</w:t>
          </w:r>
        </w:p>
      </w:tc>
    </w:tr>
    <w:tr w:rsidR="008A0F47" w:rsidRPr="00E8364F">
      <w:tc>
        <w:tcPr>
          <w:tcW w:w="4428" w:type="dxa"/>
        </w:tcPr>
        <w:p w:rsidR="008A0F47" w:rsidRPr="00E8364F" w:rsidRDefault="008A0F47">
          <w:pPr>
            <w:pStyle w:val="Header"/>
            <w:rPr>
              <w:rFonts w:ascii="Arial" w:hAnsi="Arial" w:cs="Arial"/>
              <w:lang w:val="fr-CA"/>
            </w:rPr>
          </w:pPr>
          <w:r w:rsidRPr="00E8364F">
            <w:rPr>
              <w:rFonts w:ascii="Arial" w:hAnsi="Arial" w:cs="Arial"/>
              <w:lang w:val="fr-CA"/>
            </w:rPr>
            <w:t xml:space="preserve">Date de </w:t>
          </w:r>
          <w:r w:rsidR="00662F18">
            <w:rPr>
              <w:rFonts w:ascii="Arial" w:hAnsi="Arial" w:cs="Arial"/>
              <w:lang w:val="fr-CA"/>
            </w:rPr>
            <w:t>publication </w:t>
          </w:r>
          <w:r w:rsidRPr="00E8364F">
            <w:rPr>
              <w:rFonts w:ascii="Arial" w:hAnsi="Arial" w:cs="Arial"/>
              <w:lang w:val="fr-CA"/>
            </w:rPr>
            <w:t>: 2006/0</w:t>
          </w:r>
          <w:r>
            <w:rPr>
              <w:rFonts w:ascii="Arial" w:hAnsi="Arial" w:cs="Arial"/>
              <w:lang w:val="fr-CA"/>
            </w:rPr>
            <w:t>8</w:t>
          </w:r>
          <w:r w:rsidRPr="00E8364F">
            <w:rPr>
              <w:rFonts w:ascii="Arial" w:hAnsi="Arial" w:cs="Arial"/>
              <w:lang w:val="fr-CA"/>
            </w:rPr>
            <w:t>/01</w:t>
          </w:r>
        </w:p>
      </w:tc>
      <w:tc>
        <w:tcPr>
          <w:tcW w:w="4428" w:type="dxa"/>
        </w:tcPr>
        <w:p w:rsidR="008A0F47" w:rsidRPr="00E8364F" w:rsidRDefault="00662F18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Catégorie </w:t>
          </w:r>
          <w:r w:rsidR="008A0F47" w:rsidRPr="00E8364F">
            <w:rPr>
              <w:rFonts w:ascii="Arial" w:hAnsi="Arial" w:cs="Arial"/>
              <w:lang w:val="fr-CA"/>
            </w:rPr>
            <w:t>: Analyses de routine</w:t>
          </w:r>
        </w:p>
      </w:tc>
    </w:tr>
    <w:tr w:rsidR="008A0F47" w:rsidRPr="00E8364F">
      <w:tc>
        <w:tcPr>
          <w:tcW w:w="4428" w:type="dxa"/>
        </w:tcPr>
        <w:p w:rsidR="008A0F47" w:rsidRDefault="008A0F47" w:rsidP="006F3101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 xml:space="preserve">Date de </w:t>
          </w:r>
          <w:r w:rsidR="00662F18">
            <w:rPr>
              <w:rFonts w:ascii="Arial" w:hAnsi="Arial" w:cs="Arial"/>
              <w:lang w:val="fr-CA"/>
            </w:rPr>
            <w:t>révision </w:t>
          </w:r>
          <w:r>
            <w:rPr>
              <w:rFonts w:ascii="Arial" w:hAnsi="Arial" w:cs="Arial"/>
              <w:lang w:val="fr-CA"/>
            </w:rPr>
            <w:t>: 2009/12/31</w:t>
          </w:r>
        </w:p>
      </w:tc>
      <w:tc>
        <w:tcPr>
          <w:tcW w:w="4428" w:type="dxa"/>
        </w:tcPr>
        <w:p w:rsidR="008A0F47" w:rsidRPr="00E8364F" w:rsidRDefault="00662F18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Pages </w:t>
          </w:r>
          <w:r w:rsidR="008A0F47" w:rsidRPr="00E8364F">
            <w:rPr>
              <w:rFonts w:ascii="Arial" w:hAnsi="Arial" w:cs="Arial"/>
              <w:lang w:val="fr-CA"/>
            </w:rPr>
            <w:t xml:space="preserve">: </w:t>
          </w:r>
          <w:r w:rsidR="008A0F47" w:rsidRPr="00E8364F">
            <w:rPr>
              <w:rFonts w:ascii="Arial" w:hAnsi="Arial" w:cs="Arial"/>
              <w:lang w:val="fr-CA"/>
            </w:rPr>
            <w:fldChar w:fldCharType="begin"/>
          </w:r>
          <w:r w:rsidR="008A0F47" w:rsidRPr="00E8364F">
            <w:rPr>
              <w:rFonts w:ascii="Arial" w:hAnsi="Arial" w:cs="Arial"/>
              <w:lang w:val="fr-CA"/>
            </w:rPr>
            <w:instrText xml:space="preserve"> NUMPAGES </w:instrText>
          </w:r>
          <w:r w:rsidR="008A0F47" w:rsidRPr="00E8364F">
            <w:rPr>
              <w:rFonts w:ascii="Arial" w:hAnsi="Arial" w:cs="Arial"/>
              <w:lang w:val="fr-CA"/>
            </w:rPr>
            <w:fldChar w:fldCharType="separate"/>
          </w:r>
          <w:r w:rsidR="00FC65C8">
            <w:rPr>
              <w:rFonts w:ascii="Arial" w:hAnsi="Arial" w:cs="Arial"/>
              <w:noProof/>
              <w:lang w:val="fr-CA"/>
            </w:rPr>
            <w:t>1</w:t>
          </w:r>
          <w:r w:rsidR="008A0F47" w:rsidRPr="00E8364F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4F553A" w:rsidRPr="00E8364F" w:rsidRDefault="002861E1">
    <w:pPr>
      <w:pStyle w:val="Header"/>
      <w:tabs>
        <w:tab w:val="clear" w:pos="8640"/>
        <w:tab w:val="left" w:pos="4714"/>
      </w:tabs>
      <w:rPr>
        <w:lang w:val="fr-CA"/>
      </w:rPr>
    </w:pPr>
    <w:r w:rsidRPr="00E8364F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3EDE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W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tL0M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"/>
          </w:pict>
        </mc:Fallback>
      </mc:AlternateContent>
    </w:r>
    <w:r w:rsidR="004F553A" w:rsidRPr="00E8364F">
      <w:rPr>
        <w:rFonts w:ascii="Arial" w:hAnsi="Arial" w:cs="Arial"/>
        <w:lang w:val="fr-CA"/>
      </w:rPr>
      <w:tab/>
    </w:r>
    <w:r w:rsidR="004F553A" w:rsidRPr="00E8364F">
      <w:rPr>
        <w:rFonts w:ascii="Arial" w:hAnsi="Arial" w:cs="Arial"/>
        <w:lang w:val="fr-CA"/>
      </w:rPr>
      <w:tab/>
    </w:r>
  </w:p>
  <w:p w:rsidR="004F553A" w:rsidRDefault="004F5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496"/>
    <w:multiLevelType w:val="multilevel"/>
    <w:tmpl w:val="8504638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9E260F3"/>
    <w:multiLevelType w:val="hybridMultilevel"/>
    <w:tmpl w:val="308E2978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641015E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195085"/>
    <w:multiLevelType w:val="multilevel"/>
    <w:tmpl w:val="9AF08DC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E51436D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440AB1"/>
    <w:multiLevelType w:val="singleLevel"/>
    <w:tmpl w:val="D77663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7BC1FCD"/>
    <w:multiLevelType w:val="multilevel"/>
    <w:tmpl w:val="40B611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EF0228"/>
    <w:multiLevelType w:val="multilevel"/>
    <w:tmpl w:val="3B78B2E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D7B0AA5"/>
    <w:multiLevelType w:val="hybridMultilevel"/>
    <w:tmpl w:val="27A663A8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30E74D5D"/>
    <w:multiLevelType w:val="multilevel"/>
    <w:tmpl w:val="7D8CDC2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BB086C"/>
    <w:multiLevelType w:val="multilevel"/>
    <w:tmpl w:val="9B128B7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49A0262"/>
    <w:multiLevelType w:val="multilevel"/>
    <w:tmpl w:val="3B78B2E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D6267C6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CE3504"/>
    <w:multiLevelType w:val="multilevel"/>
    <w:tmpl w:val="42286C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8E16731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733DBC"/>
    <w:multiLevelType w:val="multilevel"/>
    <w:tmpl w:val="4386F15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27C04AA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8617FF"/>
    <w:multiLevelType w:val="multilevel"/>
    <w:tmpl w:val="6DB09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D1484F"/>
    <w:multiLevelType w:val="hybridMultilevel"/>
    <w:tmpl w:val="A676A924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69BC1EB9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F97A15"/>
    <w:multiLevelType w:val="hybridMultilevel"/>
    <w:tmpl w:val="A7642F68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73DF06C0"/>
    <w:multiLevelType w:val="multilevel"/>
    <w:tmpl w:val="48427DE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B0F4B86"/>
    <w:multiLevelType w:val="hybridMultilevel"/>
    <w:tmpl w:val="0FE2D0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51184A"/>
    <w:multiLevelType w:val="multilevel"/>
    <w:tmpl w:val="3B78B2E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E723F6D"/>
    <w:multiLevelType w:val="multilevel"/>
    <w:tmpl w:val="27A663A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4"/>
  </w:num>
  <w:num w:numId="5">
    <w:abstractNumId w:val="19"/>
  </w:num>
  <w:num w:numId="6">
    <w:abstractNumId w:val="12"/>
  </w:num>
  <w:num w:numId="7">
    <w:abstractNumId w:val="16"/>
  </w:num>
  <w:num w:numId="8">
    <w:abstractNumId w:val="5"/>
  </w:num>
  <w:num w:numId="9">
    <w:abstractNumId w:val="13"/>
  </w:num>
  <w:num w:numId="10">
    <w:abstractNumId w:val="3"/>
  </w:num>
  <w:num w:numId="11">
    <w:abstractNumId w:val="21"/>
  </w:num>
  <w:num w:numId="12">
    <w:abstractNumId w:val="20"/>
  </w:num>
  <w:num w:numId="13">
    <w:abstractNumId w:val="22"/>
  </w:num>
  <w:num w:numId="14">
    <w:abstractNumId w:val="18"/>
  </w:num>
  <w:num w:numId="15">
    <w:abstractNumId w:val="8"/>
  </w:num>
  <w:num w:numId="16">
    <w:abstractNumId w:val="24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9"/>
  </w:num>
  <w:num w:numId="22">
    <w:abstractNumId w:val="7"/>
  </w:num>
  <w:num w:numId="23">
    <w:abstractNumId w:val="23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4F"/>
    <w:rsid w:val="00013B1B"/>
    <w:rsid w:val="00061808"/>
    <w:rsid w:val="00087B6C"/>
    <w:rsid w:val="00096F37"/>
    <w:rsid w:val="000C24DB"/>
    <w:rsid w:val="000E132E"/>
    <w:rsid w:val="00135BC8"/>
    <w:rsid w:val="00193B2C"/>
    <w:rsid w:val="00210DB0"/>
    <w:rsid w:val="002209E3"/>
    <w:rsid w:val="00273608"/>
    <w:rsid w:val="002861E1"/>
    <w:rsid w:val="002B6B1A"/>
    <w:rsid w:val="00324D2B"/>
    <w:rsid w:val="003E3857"/>
    <w:rsid w:val="003F2F08"/>
    <w:rsid w:val="0044757A"/>
    <w:rsid w:val="004C260E"/>
    <w:rsid w:val="004C7880"/>
    <w:rsid w:val="004F553A"/>
    <w:rsid w:val="00524E73"/>
    <w:rsid w:val="00554D1C"/>
    <w:rsid w:val="005553A8"/>
    <w:rsid w:val="005D1C27"/>
    <w:rsid w:val="005F4F30"/>
    <w:rsid w:val="006047E1"/>
    <w:rsid w:val="00662F18"/>
    <w:rsid w:val="006A423B"/>
    <w:rsid w:val="006F3101"/>
    <w:rsid w:val="0071791D"/>
    <w:rsid w:val="00762489"/>
    <w:rsid w:val="007B38EE"/>
    <w:rsid w:val="007E4938"/>
    <w:rsid w:val="00822CD2"/>
    <w:rsid w:val="00823A1C"/>
    <w:rsid w:val="00852556"/>
    <w:rsid w:val="00857A45"/>
    <w:rsid w:val="008A0F47"/>
    <w:rsid w:val="008A199B"/>
    <w:rsid w:val="008B4170"/>
    <w:rsid w:val="008F01FC"/>
    <w:rsid w:val="008F0A98"/>
    <w:rsid w:val="00947CB9"/>
    <w:rsid w:val="009A62B5"/>
    <w:rsid w:val="009B7747"/>
    <w:rsid w:val="009C5DCE"/>
    <w:rsid w:val="00A56F6E"/>
    <w:rsid w:val="00A63B3D"/>
    <w:rsid w:val="00A90604"/>
    <w:rsid w:val="00AD0F5A"/>
    <w:rsid w:val="00B200C6"/>
    <w:rsid w:val="00B3227D"/>
    <w:rsid w:val="00B35E52"/>
    <w:rsid w:val="00B63743"/>
    <w:rsid w:val="00B73E54"/>
    <w:rsid w:val="00BA0CEA"/>
    <w:rsid w:val="00BB6AF7"/>
    <w:rsid w:val="00C141AF"/>
    <w:rsid w:val="00C507F2"/>
    <w:rsid w:val="00C659EB"/>
    <w:rsid w:val="00CB43FC"/>
    <w:rsid w:val="00CE13AB"/>
    <w:rsid w:val="00CE5197"/>
    <w:rsid w:val="00CF475E"/>
    <w:rsid w:val="00D1048A"/>
    <w:rsid w:val="00D87E27"/>
    <w:rsid w:val="00DB31B9"/>
    <w:rsid w:val="00E406A2"/>
    <w:rsid w:val="00E62919"/>
    <w:rsid w:val="00E66A3C"/>
    <w:rsid w:val="00E8364F"/>
    <w:rsid w:val="00ED3460"/>
    <w:rsid w:val="00F065E2"/>
    <w:rsid w:val="00F24170"/>
    <w:rsid w:val="00F5390F"/>
    <w:rsid w:val="00F64010"/>
    <w:rsid w:val="00F8045E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8A1C4E-BC29-4A2A-937C-9241D192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209E3"/>
    <w:rPr>
      <w:rFonts w:ascii="Tahoma" w:hAnsi="Tahoma" w:cs="Tahoma"/>
      <w:sz w:val="16"/>
      <w:szCs w:val="16"/>
    </w:rPr>
  </w:style>
  <w:style w:type="paragraph" w:customStyle="1" w:styleId="Paragraphedeliste">
    <w:name w:val="Paragraphe de liste"/>
    <w:basedOn w:val="Normal"/>
    <w:uiPriority w:val="34"/>
    <w:qFormat/>
    <w:rsid w:val="008F0A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RT.011 Antiglobulin Crossmatch (Saline-LISS-PEG)</vt:lpstr>
    </vt:vector>
  </TitlesOfParts>
  <Company>The Ottawa Hospital</Company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RT.011 Antiglobulin Crossmatch (Saline-LISS-PEG)</dc:title>
  <dc:subject/>
  <dc:creator>Transfusion Ontario Program Office</dc:creator>
  <cp:keywords/>
  <cp:lastModifiedBy>Nesrallah, Heather</cp:lastModifiedBy>
  <cp:revision>2</cp:revision>
  <cp:lastPrinted>2011-01-11T18:29:00Z</cp:lastPrinted>
  <dcterms:created xsi:type="dcterms:W3CDTF">2020-08-10T18:10:00Z</dcterms:created>
  <dcterms:modified xsi:type="dcterms:W3CDTF">2020-08-10T18:10:00Z</dcterms:modified>
</cp:coreProperties>
</file>