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135" w:rsidRPr="003A3135" w:rsidRDefault="00E10E1E">
      <w:pPr>
        <w:numPr>
          <w:ilvl w:val="0"/>
          <w:numId w:val="2"/>
        </w:numPr>
        <w:rPr>
          <w:rFonts w:ascii="Arial" w:hAnsi="Arial"/>
          <w:b/>
          <w:sz w:val="28"/>
          <w:lang w:val="fr-CA"/>
        </w:rPr>
      </w:pPr>
      <w:bookmarkStart w:id="0" w:name="_GoBack"/>
      <w:bookmarkEnd w:id="0"/>
      <w:r w:rsidRPr="003A3135">
        <w:rPr>
          <w:rFonts w:ascii="Arial" w:hAnsi="Arial"/>
          <w:b/>
          <w:sz w:val="28"/>
          <w:lang w:val="fr-CA"/>
        </w:rPr>
        <w:t>Principe</w:t>
      </w:r>
    </w:p>
    <w:p w:rsidR="003A3135" w:rsidRPr="003A3135" w:rsidRDefault="003A3135">
      <w:pPr>
        <w:rPr>
          <w:rFonts w:ascii="Arial" w:hAnsi="Arial"/>
          <w:sz w:val="24"/>
          <w:lang w:val="fr-CA"/>
        </w:rPr>
      </w:pPr>
    </w:p>
    <w:p w:rsidR="003A3135" w:rsidRPr="00C179BC" w:rsidRDefault="00C84915">
      <w:pPr>
        <w:numPr>
          <w:ilvl w:val="0"/>
          <w:numId w:val="3"/>
        </w:numPr>
        <w:tabs>
          <w:tab w:val="clear" w:pos="360"/>
          <w:tab w:val="num" w:pos="1080"/>
        </w:tabs>
        <w:ind w:left="1080"/>
        <w:rPr>
          <w:rFonts w:ascii="Arial" w:hAnsi="Arial"/>
          <w:sz w:val="24"/>
          <w:lang w:val="fr-CA"/>
        </w:rPr>
      </w:pPr>
      <w:r w:rsidRPr="00C179BC">
        <w:rPr>
          <w:rFonts w:ascii="Arial" w:hAnsi="Arial"/>
          <w:sz w:val="24"/>
          <w:lang w:val="fr-CA"/>
        </w:rPr>
        <w:t xml:space="preserve">Pour déterminer la compatibilité </w:t>
      </w:r>
      <w:r w:rsidR="003A3135" w:rsidRPr="00C179BC">
        <w:rPr>
          <w:rFonts w:ascii="Arial" w:hAnsi="Arial"/>
          <w:sz w:val="24"/>
          <w:lang w:val="fr-CA"/>
        </w:rPr>
        <w:t xml:space="preserve">ABO </w:t>
      </w:r>
      <w:r w:rsidRPr="00C179BC">
        <w:rPr>
          <w:rFonts w:ascii="Arial" w:hAnsi="Arial"/>
          <w:sz w:val="24"/>
          <w:lang w:val="fr-CA"/>
        </w:rPr>
        <w:t xml:space="preserve">entre les globules rouges d’un donneur et le plasma d’un patient quand le dépistage d’anticorps sur le sang du receveur éventuel est </w:t>
      </w:r>
      <w:r w:rsidR="003A3135" w:rsidRPr="00C179BC">
        <w:rPr>
          <w:rFonts w:ascii="Arial" w:hAnsi="Arial"/>
          <w:sz w:val="24"/>
          <w:lang w:val="fr-CA"/>
        </w:rPr>
        <w:t>n</w:t>
      </w:r>
      <w:r w:rsidRPr="00C179BC">
        <w:rPr>
          <w:rFonts w:ascii="Arial" w:hAnsi="Arial"/>
          <w:sz w:val="24"/>
          <w:lang w:val="fr-CA"/>
        </w:rPr>
        <w:t>égatif et qu’il n’y a aucun antécédent de présence d’anticorps cliniquement significatifs</w:t>
      </w:r>
      <w:r w:rsidR="003A3135" w:rsidRPr="00C179BC">
        <w:rPr>
          <w:rFonts w:ascii="Arial" w:hAnsi="Arial"/>
          <w:sz w:val="24"/>
          <w:lang w:val="fr-CA"/>
        </w:rPr>
        <w:t>.</w:t>
      </w:r>
    </w:p>
    <w:p w:rsidR="003A3135" w:rsidRPr="00C179BC" w:rsidRDefault="003A3135">
      <w:pPr>
        <w:ind w:left="720"/>
        <w:rPr>
          <w:rFonts w:ascii="Arial" w:hAnsi="Arial"/>
          <w:sz w:val="24"/>
          <w:lang w:val="fr-CA"/>
        </w:rPr>
      </w:pPr>
    </w:p>
    <w:p w:rsidR="00C84915" w:rsidRPr="00C179BC" w:rsidRDefault="00C84915">
      <w:pPr>
        <w:numPr>
          <w:ilvl w:val="0"/>
          <w:numId w:val="3"/>
        </w:numPr>
        <w:tabs>
          <w:tab w:val="clear" w:pos="360"/>
          <w:tab w:val="num" w:pos="1080"/>
        </w:tabs>
        <w:ind w:left="1080"/>
        <w:rPr>
          <w:rFonts w:ascii="Arial" w:hAnsi="Arial"/>
          <w:sz w:val="24"/>
          <w:lang w:val="fr-CA"/>
        </w:rPr>
      </w:pPr>
      <w:r w:rsidRPr="00C179BC">
        <w:rPr>
          <w:rFonts w:ascii="Arial" w:hAnsi="Arial"/>
          <w:sz w:val="24"/>
          <w:lang w:val="fr-CA"/>
        </w:rPr>
        <w:t xml:space="preserve">Dans le cadre d’une épreuve de compatibilité avec centrifugation immédiate, les globules rouges du donneur et le plasma du patient sont combinés et centrifugés à température ambiante. Après la centrifugation, </w:t>
      </w:r>
      <w:r w:rsidR="003A3135" w:rsidRPr="00C179BC">
        <w:rPr>
          <w:rFonts w:ascii="Arial" w:hAnsi="Arial"/>
          <w:sz w:val="24"/>
          <w:lang w:val="fr-CA"/>
        </w:rPr>
        <w:t xml:space="preserve"> </w:t>
      </w:r>
      <w:r w:rsidRPr="00C179BC">
        <w:rPr>
          <w:rFonts w:ascii="Arial" w:hAnsi="Arial"/>
          <w:sz w:val="24"/>
          <w:lang w:val="fr-CA"/>
        </w:rPr>
        <w:t>on examine les globules rouges pour détecter une agglutination directe ou une hémolyse.</w:t>
      </w:r>
    </w:p>
    <w:p w:rsidR="00C84915" w:rsidRPr="00C179BC" w:rsidRDefault="00C84915" w:rsidP="00C84915">
      <w:pPr>
        <w:rPr>
          <w:rFonts w:ascii="Arial" w:hAnsi="Arial"/>
          <w:sz w:val="24"/>
          <w:lang w:val="fr-CA"/>
        </w:rPr>
      </w:pPr>
    </w:p>
    <w:p w:rsidR="003A3135" w:rsidRPr="00C179BC" w:rsidRDefault="00E10E1E">
      <w:pPr>
        <w:numPr>
          <w:ilvl w:val="0"/>
          <w:numId w:val="3"/>
        </w:numPr>
        <w:tabs>
          <w:tab w:val="clear" w:pos="360"/>
          <w:tab w:val="num" w:pos="1080"/>
        </w:tabs>
        <w:ind w:left="1080"/>
        <w:rPr>
          <w:rFonts w:ascii="Arial" w:hAnsi="Arial"/>
          <w:sz w:val="24"/>
          <w:lang w:val="fr-CA"/>
        </w:rPr>
      </w:pPr>
      <w:r w:rsidRPr="00C179BC">
        <w:rPr>
          <w:rFonts w:ascii="Arial" w:hAnsi="Arial"/>
          <w:sz w:val="24"/>
          <w:lang w:val="fr-CA"/>
        </w:rPr>
        <w:t>L'agglutination ou l'hémolyse indique habituellement la présence d'anticorps IgM (par exemple, ABO ou anticorps froids).</w:t>
      </w:r>
    </w:p>
    <w:p w:rsidR="003A3135" w:rsidRPr="00C179BC" w:rsidRDefault="003A3135">
      <w:pPr>
        <w:ind w:left="720"/>
        <w:rPr>
          <w:rFonts w:ascii="Arial" w:hAnsi="Arial"/>
          <w:sz w:val="24"/>
          <w:lang w:val="fr-CA"/>
        </w:rPr>
      </w:pPr>
    </w:p>
    <w:p w:rsidR="003A3135" w:rsidRPr="00C179BC" w:rsidRDefault="00E10E1E">
      <w:pPr>
        <w:numPr>
          <w:ilvl w:val="0"/>
          <w:numId w:val="2"/>
        </w:numPr>
        <w:rPr>
          <w:rFonts w:ascii="Arial" w:hAnsi="Arial"/>
          <w:b/>
          <w:sz w:val="28"/>
          <w:lang w:val="fr-CA"/>
        </w:rPr>
      </w:pPr>
      <w:r w:rsidRPr="00C179BC">
        <w:rPr>
          <w:rFonts w:ascii="Arial" w:hAnsi="Arial"/>
          <w:b/>
          <w:sz w:val="28"/>
          <w:lang w:val="fr-CA"/>
        </w:rPr>
        <w:t>Portée et politiques connexes</w:t>
      </w:r>
    </w:p>
    <w:p w:rsidR="003A3135" w:rsidRPr="00C179BC" w:rsidRDefault="003A3135">
      <w:pPr>
        <w:rPr>
          <w:rFonts w:ascii="Arial" w:hAnsi="Arial"/>
          <w:sz w:val="24"/>
          <w:lang w:val="fr-CA"/>
        </w:rPr>
      </w:pPr>
    </w:p>
    <w:p w:rsidR="003A3135" w:rsidRPr="00C179BC" w:rsidRDefault="00C84915">
      <w:pPr>
        <w:numPr>
          <w:ilvl w:val="1"/>
          <w:numId w:val="2"/>
        </w:numPr>
        <w:rPr>
          <w:rFonts w:ascii="Arial" w:hAnsi="Arial"/>
          <w:sz w:val="24"/>
          <w:lang w:val="fr-CA"/>
        </w:rPr>
      </w:pPr>
      <w:r w:rsidRPr="00C179BC">
        <w:rPr>
          <w:rFonts w:ascii="Arial" w:hAnsi="Arial"/>
          <w:sz w:val="24"/>
          <w:lang w:val="fr-CA"/>
        </w:rPr>
        <w:t>Les épreuves de compatibilité doivent être effectuées avant chaque transfusion de globules rouges, sauf si la vie du patient est en danger</w:t>
      </w:r>
      <w:r w:rsidR="003A3135" w:rsidRPr="00C179BC">
        <w:rPr>
          <w:rFonts w:ascii="Arial" w:hAnsi="Arial"/>
          <w:sz w:val="24"/>
          <w:vertAlign w:val="superscript"/>
          <w:lang w:val="fr-CA"/>
        </w:rPr>
        <w:t>9.1</w:t>
      </w:r>
      <w:r w:rsidRPr="00C179BC">
        <w:rPr>
          <w:rFonts w:ascii="Arial" w:hAnsi="Arial"/>
          <w:sz w:val="24"/>
          <w:lang w:val="fr-CA"/>
        </w:rPr>
        <w:t>.</w:t>
      </w:r>
    </w:p>
    <w:p w:rsidR="003A3135" w:rsidRPr="00C179BC" w:rsidRDefault="003A3135">
      <w:pPr>
        <w:ind w:left="720"/>
        <w:rPr>
          <w:rFonts w:ascii="Arial" w:hAnsi="Arial"/>
          <w:sz w:val="24"/>
          <w:lang w:val="fr-CA"/>
        </w:rPr>
      </w:pPr>
    </w:p>
    <w:p w:rsidR="00F7250E" w:rsidRDefault="00F7250E" w:rsidP="00F7250E">
      <w:pPr>
        <w:numPr>
          <w:ilvl w:val="1"/>
          <w:numId w:val="2"/>
        </w:numPr>
        <w:rPr>
          <w:rFonts w:ascii="Arial" w:hAnsi="Arial"/>
          <w:sz w:val="24"/>
          <w:lang w:val="fr-CA"/>
        </w:rPr>
      </w:pPr>
      <w:r>
        <w:rPr>
          <w:rFonts w:ascii="Arial" w:hAnsi="Arial"/>
          <w:sz w:val="24"/>
          <w:lang w:val="fr-CA"/>
        </w:rPr>
        <w:t>Si le temps manque pour déterminer le groupe ABO et le facteur Rh du receveur, il faut émettre des globules rouges de groupe O. Pour les femmes en âge d’avoir des enfants et les enfants, on doit mettre en circulation des globules rouges de groupe O Rh négatif</w:t>
      </w:r>
      <w:r>
        <w:rPr>
          <w:rFonts w:ascii="Arial" w:hAnsi="Arial"/>
          <w:sz w:val="24"/>
          <w:vertAlign w:val="superscript"/>
          <w:lang w:val="fr-CA"/>
        </w:rPr>
        <w:t>9.1</w:t>
      </w:r>
      <w:r>
        <w:rPr>
          <w:rFonts w:ascii="Arial" w:hAnsi="Arial"/>
          <w:sz w:val="24"/>
          <w:lang w:val="fr-CA"/>
        </w:rPr>
        <w:t>.</w:t>
      </w:r>
    </w:p>
    <w:p w:rsidR="003A3135" w:rsidRPr="00C179BC" w:rsidRDefault="003A3135">
      <w:pPr>
        <w:ind w:left="720"/>
        <w:rPr>
          <w:rFonts w:ascii="Arial" w:hAnsi="Arial"/>
          <w:sz w:val="24"/>
          <w:lang w:val="fr-CA"/>
        </w:rPr>
      </w:pPr>
    </w:p>
    <w:p w:rsidR="00F7250E" w:rsidRDefault="00F7250E" w:rsidP="00F7250E">
      <w:pPr>
        <w:numPr>
          <w:ilvl w:val="1"/>
          <w:numId w:val="2"/>
        </w:numPr>
        <w:rPr>
          <w:rFonts w:ascii="Arial" w:hAnsi="Arial"/>
          <w:sz w:val="24"/>
          <w:lang w:val="fr-CA"/>
        </w:rPr>
      </w:pPr>
      <w:r>
        <w:rPr>
          <w:rFonts w:ascii="Arial" w:hAnsi="Arial"/>
          <w:sz w:val="24"/>
          <w:lang w:val="fr-CA"/>
        </w:rPr>
        <w:t xml:space="preserve">Si les globules rouges sont émis avant que les épreuves de compatibilité ne soient terminées, on doit inscrire sur le bordereau d’émission que les épreuves ne sont pas terminées. Si on trouve par la suite que les globules rouges émis sont incompatibles, on doit en informer le médecin traitant et le directeur médical du Laboratoire de médecine transfusionnelle (LMT) ou leur représentant. On doit cesser immédiatement la transfusion des </w:t>
      </w:r>
      <w:r>
        <w:rPr>
          <w:rFonts w:ascii="Arial" w:hAnsi="Arial"/>
          <w:sz w:val="24"/>
          <w:lang w:val="fr-CA"/>
        </w:rPr>
        <w:lastRenderedPageBreak/>
        <w:t>globules rouges et les mettre à l'écart en attendant la décision des médecins</w:t>
      </w:r>
      <w:r>
        <w:rPr>
          <w:rFonts w:ascii="Arial" w:hAnsi="Arial"/>
          <w:sz w:val="24"/>
          <w:vertAlign w:val="superscript"/>
          <w:lang w:val="fr-CA"/>
        </w:rPr>
        <w:t>9.1</w:t>
      </w:r>
      <w:r>
        <w:rPr>
          <w:rFonts w:ascii="Arial" w:hAnsi="Arial"/>
          <w:sz w:val="24"/>
          <w:lang w:val="fr-CA"/>
        </w:rPr>
        <w:t>.</w:t>
      </w:r>
    </w:p>
    <w:p w:rsidR="003A3135" w:rsidRPr="00C179BC" w:rsidRDefault="003A3135">
      <w:pPr>
        <w:ind w:left="720"/>
        <w:rPr>
          <w:rFonts w:ascii="Arial" w:hAnsi="Arial"/>
          <w:sz w:val="24"/>
          <w:lang w:val="fr-CA"/>
        </w:rPr>
      </w:pPr>
    </w:p>
    <w:p w:rsidR="003A3135" w:rsidRPr="00C179BC" w:rsidRDefault="00E10E1E">
      <w:pPr>
        <w:numPr>
          <w:ilvl w:val="1"/>
          <w:numId w:val="2"/>
        </w:numPr>
        <w:rPr>
          <w:rFonts w:ascii="Arial" w:hAnsi="Arial"/>
          <w:sz w:val="24"/>
          <w:lang w:val="fr-CA"/>
        </w:rPr>
      </w:pPr>
      <w:r w:rsidRPr="00C179BC">
        <w:rPr>
          <w:rFonts w:ascii="Arial" w:hAnsi="Arial"/>
          <w:sz w:val="24"/>
          <w:lang w:val="fr-CA"/>
        </w:rPr>
        <w:t>Si le dépistage ne met en évidence aucun anticorps cliniquement significatif et qu'il n'y aucun antécédent d'anticorps cliniquement significatif, il faut au moins tester la compatibilité ABO</w:t>
      </w:r>
      <w:r w:rsidRPr="00C179BC">
        <w:rPr>
          <w:rFonts w:ascii="Arial" w:hAnsi="Arial"/>
          <w:sz w:val="24"/>
          <w:vertAlign w:val="superscript"/>
          <w:lang w:val="fr-CA"/>
        </w:rPr>
        <w:t>9.</w:t>
      </w:r>
      <w:r w:rsidR="00972024">
        <w:rPr>
          <w:rFonts w:ascii="Arial" w:hAnsi="Arial"/>
          <w:sz w:val="24"/>
          <w:vertAlign w:val="superscript"/>
          <w:lang w:val="fr-CA"/>
        </w:rPr>
        <w:t>1</w:t>
      </w:r>
      <w:r w:rsidRPr="00C179BC">
        <w:rPr>
          <w:rFonts w:ascii="Arial" w:hAnsi="Arial"/>
          <w:sz w:val="24"/>
          <w:lang w:val="fr-CA"/>
        </w:rPr>
        <w:t>.</w:t>
      </w:r>
    </w:p>
    <w:p w:rsidR="003A3135" w:rsidRPr="00C179BC" w:rsidRDefault="003A3135">
      <w:pPr>
        <w:ind w:left="720"/>
        <w:rPr>
          <w:rFonts w:ascii="Arial" w:hAnsi="Arial"/>
          <w:sz w:val="24"/>
          <w:lang w:val="fr-CA"/>
        </w:rPr>
      </w:pPr>
    </w:p>
    <w:p w:rsidR="003A3135" w:rsidRPr="00C179BC" w:rsidRDefault="00E10E1E">
      <w:pPr>
        <w:numPr>
          <w:ilvl w:val="2"/>
          <w:numId w:val="2"/>
        </w:numPr>
        <w:rPr>
          <w:rFonts w:ascii="Arial" w:hAnsi="Arial"/>
          <w:sz w:val="24"/>
          <w:lang w:val="fr-CA"/>
        </w:rPr>
      </w:pPr>
      <w:r w:rsidRPr="00C179BC">
        <w:rPr>
          <w:rFonts w:ascii="Arial" w:hAnsi="Arial"/>
          <w:sz w:val="24"/>
          <w:lang w:val="fr-CA"/>
        </w:rPr>
        <w:t>S'il s'agit d'un patient qui a reçu une transfusion ou d'une patiente qui a été enceinte au cours des trois derniers mois, ou si les antécédents de transfusion ou de grossesse ne sont pas clairs, les échantillons soumis à des épreuves de compatibilité auront été prélevés dans les 96 heures qui précèdent</w:t>
      </w:r>
      <w:r w:rsidRPr="00C179BC">
        <w:rPr>
          <w:rFonts w:ascii="Arial" w:hAnsi="Arial"/>
          <w:sz w:val="24"/>
          <w:vertAlign w:val="superscript"/>
          <w:lang w:val="fr-CA"/>
        </w:rPr>
        <w:t>9.1</w:t>
      </w:r>
      <w:r w:rsidRPr="00C179BC">
        <w:rPr>
          <w:rFonts w:ascii="Arial" w:hAnsi="Arial"/>
          <w:sz w:val="24"/>
          <w:lang w:val="fr-CA"/>
        </w:rPr>
        <w:t>.</w:t>
      </w:r>
    </w:p>
    <w:p w:rsidR="003A3135" w:rsidRPr="00C179BC" w:rsidRDefault="003A3135">
      <w:pPr>
        <w:ind w:left="1440"/>
        <w:rPr>
          <w:rFonts w:ascii="Arial" w:hAnsi="Arial"/>
          <w:sz w:val="24"/>
          <w:lang w:val="fr-CA"/>
        </w:rPr>
      </w:pPr>
    </w:p>
    <w:p w:rsidR="003A3135" w:rsidRPr="00C179BC" w:rsidRDefault="00602AC9">
      <w:pPr>
        <w:numPr>
          <w:ilvl w:val="2"/>
          <w:numId w:val="2"/>
        </w:numPr>
        <w:rPr>
          <w:rFonts w:ascii="Arial" w:hAnsi="Arial"/>
          <w:sz w:val="24"/>
          <w:lang w:val="fr-CA"/>
        </w:rPr>
      </w:pPr>
      <w:r w:rsidRPr="00C179BC">
        <w:rPr>
          <w:rFonts w:ascii="Arial" w:hAnsi="Arial"/>
          <w:sz w:val="24"/>
          <w:lang w:val="fr-CA"/>
        </w:rPr>
        <w:t>S’il s’agit d’un patient qui n’a pas subi de transfusion ou d’une patiente qui n’a pas été enceinte au cours des 3 derniers mois, le plasma soumis aux épreuves de compatibilité peut être entreposé et servir en tout temps à des fins d’analyse au cours de son hospitalisation courante</w:t>
      </w:r>
      <w:r w:rsidRPr="00C179BC">
        <w:rPr>
          <w:rFonts w:ascii="Arial" w:hAnsi="Arial"/>
          <w:sz w:val="24"/>
          <w:vertAlign w:val="superscript"/>
          <w:lang w:val="fr-CA"/>
        </w:rPr>
        <w:t>9.1</w:t>
      </w:r>
      <w:r w:rsidRPr="00C179BC">
        <w:rPr>
          <w:rFonts w:ascii="Arial" w:hAnsi="Arial"/>
          <w:sz w:val="24"/>
          <w:lang w:val="fr-CA"/>
        </w:rPr>
        <w:t>.</w:t>
      </w:r>
      <w:r w:rsidR="003A3135" w:rsidRPr="00C179BC">
        <w:rPr>
          <w:rFonts w:ascii="Arial" w:hAnsi="Arial"/>
          <w:sz w:val="24"/>
          <w:lang w:val="fr-CA"/>
        </w:rPr>
        <w:t xml:space="preserve"> </w:t>
      </w:r>
      <w:r w:rsidRPr="00C179BC">
        <w:rPr>
          <w:rFonts w:ascii="Arial" w:hAnsi="Arial"/>
          <w:sz w:val="24"/>
          <w:lang w:val="fr-CA"/>
        </w:rPr>
        <w:t>La période d’hospitalisation courante va de l’admission au congé, mais comprend aussi jusqu’à un mois entre le moment des analyses de pré-admission et l’admission courante</w:t>
      </w:r>
      <w:r w:rsidR="003A3135" w:rsidRPr="00C179BC">
        <w:rPr>
          <w:rFonts w:ascii="Arial" w:hAnsi="Arial"/>
          <w:sz w:val="24"/>
          <w:vertAlign w:val="superscript"/>
          <w:lang w:val="fr-CA"/>
        </w:rPr>
        <w:t>9.1</w:t>
      </w:r>
      <w:r w:rsidRPr="00C179BC">
        <w:rPr>
          <w:rFonts w:ascii="Arial" w:hAnsi="Arial"/>
          <w:sz w:val="24"/>
          <w:lang w:val="fr-CA"/>
        </w:rPr>
        <w:t>.</w:t>
      </w:r>
    </w:p>
    <w:p w:rsidR="003A3135" w:rsidRPr="00C179BC" w:rsidRDefault="003A3135">
      <w:pPr>
        <w:ind w:left="1440"/>
        <w:rPr>
          <w:rFonts w:ascii="Arial" w:hAnsi="Arial"/>
          <w:sz w:val="24"/>
          <w:lang w:val="fr-CA"/>
        </w:rPr>
      </w:pPr>
    </w:p>
    <w:p w:rsidR="003A3135" w:rsidRPr="00C179BC" w:rsidRDefault="00BF0219">
      <w:pPr>
        <w:numPr>
          <w:ilvl w:val="1"/>
          <w:numId w:val="2"/>
        </w:numPr>
        <w:rPr>
          <w:rFonts w:ascii="Arial" w:hAnsi="Arial"/>
          <w:sz w:val="24"/>
          <w:lang w:val="fr-CA"/>
        </w:rPr>
      </w:pPr>
      <w:r w:rsidRPr="00C179BC">
        <w:rPr>
          <w:rFonts w:ascii="Arial" w:hAnsi="Arial"/>
          <w:sz w:val="24"/>
          <w:lang w:val="fr-CA"/>
        </w:rPr>
        <w:t>Les épreuves de compatibilité doivent comprendre</w:t>
      </w:r>
      <w:r w:rsidR="00972024" w:rsidRPr="00C179BC">
        <w:rPr>
          <w:rFonts w:ascii="Arial" w:hAnsi="Arial"/>
          <w:sz w:val="24"/>
          <w:vertAlign w:val="superscript"/>
          <w:lang w:val="fr-CA"/>
        </w:rPr>
        <w:t>9.1</w:t>
      </w:r>
      <w:r w:rsidRPr="00C179BC">
        <w:rPr>
          <w:rFonts w:ascii="Arial" w:hAnsi="Arial"/>
          <w:sz w:val="24"/>
          <w:lang w:val="fr-CA"/>
        </w:rPr>
        <w:t xml:space="preserve"> </w:t>
      </w:r>
      <w:r w:rsidR="003A3135" w:rsidRPr="00C179BC">
        <w:rPr>
          <w:rFonts w:ascii="Arial" w:hAnsi="Arial"/>
          <w:sz w:val="24"/>
          <w:lang w:val="fr-CA"/>
        </w:rPr>
        <w:t>:</w:t>
      </w:r>
    </w:p>
    <w:p w:rsidR="003A3135" w:rsidRPr="00C179BC" w:rsidRDefault="003A3135">
      <w:pPr>
        <w:ind w:left="720"/>
        <w:rPr>
          <w:rFonts w:ascii="Arial" w:hAnsi="Arial"/>
          <w:sz w:val="24"/>
          <w:lang w:val="fr-CA"/>
        </w:rPr>
      </w:pPr>
    </w:p>
    <w:p w:rsidR="003A3135" w:rsidRPr="00C179BC" w:rsidRDefault="00BF0219">
      <w:pPr>
        <w:numPr>
          <w:ilvl w:val="0"/>
          <w:numId w:val="4"/>
        </w:numPr>
        <w:tabs>
          <w:tab w:val="clear" w:pos="360"/>
          <w:tab w:val="num" w:pos="1800"/>
        </w:tabs>
        <w:ind w:left="1800"/>
        <w:rPr>
          <w:rFonts w:ascii="Arial" w:hAnsi="Arial"/>
          <w:sz w:val="24"/>
          <w:lang w:val="fr-CA"/>
        </w:rPr>
      </w:pPr>
      <w:r w:rsidRPr="00C179BC">
        <w:rPr>
          <w:rFonts w:ascii="Arial" w:hAnsi="Arial"/>
          <w:sz w:val="24"/>
          <w:lang w:val="fr-CA"/>
        </w:rPr>
        <w:t>la détermination du groupe ABO et du facteur Rh du patient</w:t>
      </w:r>
      <w:r w:rsidR="00F7250E">
        <w:rPr>
          <w:rFonts w:ascii="Arial" w:hAnsi="Arial"/>
          <w:sz w:val="24"/>
          <w:lang w:val="fr-CA"/>
        </w:rPr>
        <w:t>.</w:t>
      </w:r>
      <w:r w:rsidRPr="00C179BC">
        <w:rPr>
          <w:rFonts w:ascii="Arial" w:hAnsi="Arial"/>
          <w:sz w:val="24"/>
          <w:lang w:val="fr-CA"/>
        </w:rPr>
        <w:t xml:space="preserve"> </w:t>
      </w:r>
    </w:p>
    <w:p w:rsidR="003A3135" w:rsidRPr="00C179BC" w:rsidRDefault="003A3135">
      <w:pPr>
        <w:ind w:left="1440"/>
        <w:rPr>
          <w:rFonts w:ascii="Arial" w:hAnsi="Arial"/>
          <w:sz w:val="24"/>
          <w:lang w:val="fr-CA"/>
        </w:rPr>
      </w:pPr>
    </w:p>
    <w:p w:rsidR="003A3135" w:rsidRPr="00C179BC" w:rsidRDefault="00BF0219">
      <w:pPr>
        <w:numPr>
          <w:ilvl w:val="0"/>
          <w:numId w:val="4"/>
        </w:numPr>
        <w:tabs>
          <w:tab w:val="clear" w:pos="360"/>
          <w:tab w:val="num" w:pos="1800"/>
        </w:tabs>
        <w:ind w:left="1800"/>
        <w:rPr>
          <w:rFonts w:ascii="Arial" w:hAnsi="Arial"/>
          <w:sz w:val="24"/>
          <w:lang w:val="fr-CA"/>
        </w:rPr>
      </w:pPr>
      <w:r w:rsidRPr="00C179BC">
        <w:rPr>
          <w:rFonts w:ascii="Arial" w:hAnsi="Arial"/>
          <w:sz w:val="24"/>
          <w:lang w:val="fr-CA"/>
        </w:rPr>
        <w:t>le dépistage d’anticorps</w:t>
      </w:r>
      <w:r w:rsidR="00F7250E">
        <w:rPr>
          <w:rFonts w:ascii="Arial" w:hAnsi="Arial"/>
          <w:sz w:val="24"/>
          <w:lang w:val="fr-CA"/>
        </w:rPr>
        <w:t>. Le dépistage d’anticorps courant doit être négatif et il doit n’y avoir aucun antécédent d’anticorps cliniquement significatif.</w:t>
      </w:r>
    </w:p>
    <w:p w:rsidR="003A3135" w:rsidRPr="00C179BC" w:rsidRDefault="003A3135">
      <w:pPr>
        <w:ind w:left="1440"/>
        <w:rPr>
          <w:rFonts w:ascii="Arial" w:hAnsi="Arial"/>
          <w:sz w:val="24"/>
          <w:lang w:val="fr-CA"/>
        </w:rPr>
      </w:pPr>
    </w:p>
    <w:p w:rsidR="003A3135" w:rsidRPr="00C179BC" w:rsidRDefault="00BF0219">
      <w:pPr>
        <w:numPr>
          <w:ilvl w:val="0"/>
          <w:numId w:val="4"/>
        </w:numPr>
        <w:tabs>
          <w:tab w:val="clear" w:pos="360"/>
          <w:tab w:val="num" w:pos="1800"/>
        </w:tabs>
        <w:ind w:left="1800"/>
        <w:rPr>
          <w:rFonts w:ascii="Arial" w:hAnsi="Arial"/>
          <w:sz w:val="24"/>
          <w:lang w:val="fr-CA"/>
        </w:rPr>
      </w:pPr>
      <w:r w:rsidRPr="00C179BC">
        <w:rPr>
          <w:rFonts w:ascii="Arial" w:hAnsi="Arial"/>
          <w:sz w:val="24"/>
          <w:lang w:val="fr-CA"/>
        </w:rPr>
        <w:t xml:space="preserve">une épreuve de confirmation de la </w:t>
      </w:r>
      <w:r w:rsidR="00C72D17" w:rsidRPr="00C179BC">
        <w:rPr>
          <w:rFonts w:ascii="Arial" w:hAnsi="Arial"/>
          <w:sz w:val="24"/>
          <w:lang w:val="fr-CA"/>
        </w:rPr>
        <w:t>compatibilité</w:t>
      </w:r>
      <w:r w:rsidRPr="00C179BC">
        <w:rPr>
          <w:rFonts w:ascii="Arial" w:hAnsi="Arial"/>
          <w:sz w:val="24"/>
          <w:lang w:val="fr-CA"/>
        </w:rPr>
        <w:t xml:space="preserve"> ABO entre le </w:t>
      </w:r>
      <w:r w:rsidR="00F7250E">
        <w:rPr>
          <w:rFonts w:ascii="Arial" w:hAnsi="Arial"/>
          <w:sz w:val="24"/>
          <w:lang w:val="fr-CA"/>
        </w:rPr>
        <w:t xml:space="preserve">les globules rouges du </w:t>
      </w:r>
      <w:r w:rsidRPr="00C179BC">
        <w:rPr>
          <w:rFonts w:ascii="Arial" w:hAnsi="Arial"/>
          <w:sz w:val="24"/>
          <w:lang w:val="fr-CA"/>
        </w:rPr>
        <w:t xml:space="preserve">donneur et le </w:t>
      </w:r>
      <w:r w:rsidR="00F7250E">
        <w:rPr>
          <w:rFonts w:ascii="Arial" w:hAnsi="Arial"/>
          <w:sz w:val="24"/>
          <w:lang w:val="fr-CA"/>
        </w:rPr>
        <w:t>plasma ou sérum du receveur</w:t>
      </w:r>
      <w:r w:rsidR="003A3135" w:rsidRPr="00C179BC">
        <w:rPr>
          <w:rFonts w:ascii="Arial" w:hAnsi="Arial"/>
          <w:sz w:val="24"/>
          <w:lang w:val="fr-CA"/>
        </w:rPr>
        <w:t>.</w:t>
      </w:r>
    </w:p>
    <w:p w:rsidR="003A3135" w:rsidRPr="003A3135" w:rsidRDefault="003A3135">
      <w:pPr>
        <w:ind w:left="1440"/>
        <w:rPr>
          <w:rFonts w:ascii="Arial" w:hAnsi="Arial"/>
          <w:sz w:val="24"/>
          <w:lang w:val="fr-CA"/>
        </w:rPr>
      </w:pPr>
    </w:p>
    <w:p w:rsidR="003A3135" w:rsidRPr="00C72D17" w:rsidRDefault="003A3135">
      <w:pPr>
        <w:numPr>
          <w:ilvl w:val="1"/>
          <w:numId w:val="2"/>
        </w:numPr>
        <w:rPr>
          <w:rFonts w:ascii="Arial" w:hAnsi="Arial"/>
          <w:sz w:val="24"/>
          <w:lang w:val="fr-CA"/>
        </w:rPr>
      </w:pPr>
      <w:r w:rsidRPr="00C72D17">
        <w:rPr>
          <w:rFonts w:ascii="Arial" w:hAnsi="Arial"/>
          <w:sz w:val="24"/>
          <w:lang w:val="fr-CA"/>
        </w:rPr>
        <w:t>I</w:t>
      </w:r>
      <w:r w:rsidR="00BF0219" w:rsidRPr="00C72D17">
        <w:rPr>
          <w:rFonts w:ascii="Arial" w:hAnsi="Arial"/>
          <w:sz w:val="24"/>
          <w:lang w:val="fr-CA"/>
        </w:rPr>
        <w:t>l n’est pas nécessaire de confirmer le groupe ABO de globules rouges recueillis et préparés par le fournisseur si une épreuve de compatibilité sérologique est effectuée.</w:t>
      </w:r>
      <w:r w:rsidRPr="00C72D17">
        <w:rPr>
          <w:rFonts w:ascii="Arial" w:hAnsi="Arial"/>
          <w:sz w:val="24"/>
          <w:vertAlign w:val="superscript"/>
          <w:lang w:val="fr-CA"/>
        </w:rPr>
        <w:t xml:space="preserve"> </w:t>
      </w:r>
      <w:r w:rsidR="00C72D17" w:rsidRPr="00C72D17">
        <w:rPr>
          <w:rFonts w:ascii="Arial" w:hAnsi="Arial"/>
          <w:sz w:val="24"/>
          <w:lang w:val="fr-CA"/>
        </w:rPr>
        <w:t xml:space="preserve">Si l'épreuve sérique de groupage du patient </w:t>
      </w:r>
      <w:r w:rsidR="00E747C5" w:rsidRPr="005F4F30">
        <w:rPr>
          <w:rFonts w:ascii="Arial" w:hAnsi="Arial"/>
          <w:sz w:val="24"/>
          <w:lang w:val="fr-CA"/>
        </w:rPr>
        <w:t>a un résultat de niveau inférieur à 2</w:t>
      </w:r>
      <w:r w:rsidR="00C72D17" w:rsidRPr="00C72D17">
        <w:rPr>
          <w:rFonts w:ascii="Arial" w:hAnsi="Arial"/>
          <w:sz w:val="24"/>
          <w:lang w:val="fr-CA"/>
        </w:rPr>
        <w:t xml:space="preserve">, il faut procéder à une confirmation du groupe </w:t>
      </w:r>
      <w:r w:rsidRPr="00C72D17">
        <w:rPr>
          <w:rFonts w:ascii="Arial" w:hAnsi="Arial"/>
          <w:sz w:val="24"/>
          <w:lang w:val="fr-CA"/>
        </w:rPr>
        <w:t xml:space="preserve">ABO </w:t>
      </w:r>
      <w:r w:rsidR="00C72D17" w:rsidRPr="00C72D17">
        <w:rPr>
          <w:rFonts w:ascii="Arial" w:hAnsi="Arial"/>
          <w:sz w:val="24"/>
          <w:lang w:val="fr-CA"/>
        </w:rPr>
        <w:t>des unités du donneur</w:t>
      </w:r>
      <w:r w:rsidRPr="00C72D17">
        <w:rPr>
          <w:rFonts w:ascii="Arial" w:hAnsi="Arial"/>
          <w:sz w:val="24"/>
          <w:lang w:val="fr-CA"/>
        </w:rPr>
        <w:t>.</w:t>
      </w:r>
    </w:p>
    <w:p w:rsidR="003A3135" w:rsidRPr="003A3135" w:rsidRDefault="003A3135">
      <w:pPr>
        <w:ind w:left="720"/>
        <w:rPr>
          <w:rFonts w:ascii="Arial" w:hAnsi="Arial"/>
          <w:sz w:val="24"/>
          <w:lang w:val="fr-CA"/>
        </w:rPr>
      </w:pPr>
    </w:p>
    <w:p w:rsidR="003A3135" w:rsidRPr="00C72D17" w:rsidRDefault="00C72D17">
      <w:pPr>
        <w:numPr>
          <w:ilvl w:val="1"/>
          <w:numId w:val="2"/>
        </w:numPr>
        <w:rPr>
          <w:rFonts w:ascii="Arial" w:hAnsi="Arial"/>
          <w:sz w:val="24"/>
          <w:lang w:val="fr-CA"/>
        </w:rPr>
      </w:pPr>
      <w:r w:rsidRPr="00C72D17">
        <w:rPr>
          <w:rFonts w:ascii="Arial" w:hAnsi="Arial"/>
          <w:sz w:val="24"/>
          <w:lang w:val="fr-CA"/>
        </w:rPr>
        <w:t xml:space="preserve">Un bordereau d’émission doit être </w:t>
      </w:r>
      <w:r w:rsidR="00F7250E">
        <w:rPr>
          <w:rFonts w:ascii="Arial" w:hAnsi="Arial"/>
          <w:sz w:val="24"/>
          <w:lang w:val="fr-CA"/>
        </w:rPr>
        <w:t xml:space="preserve">fourni au LMT </w:t>
      </w:r>
      <w:r w:rsidRPr="00C72D17">
        <w:rPr>
          <w:rFonts w:ascii="Arial" w:hAnsi="Arial"/>
          <w:sz w:val="24"/>
          <w:lang w:val="fr-CA"/>
        </w:rPr>
        <w:t xml:space="preserve">pour tous les globules rouges mis en circulation. </w:t>
      </w:r>
      <w:r w:rsidR="00E10E1E" w:rsidRPr="00C72D17">
        <w:rPr>
          <w:rFonts w:ascii="Arial" w:hAnsi="Arial"/>
          <w:sz w:val="24"/>
          <w:lang w:val="fr-CA"/>
        </w:rPr>
        <w:t>Les éléments d’information suivants doivent y figurer</w:t>
      </w:r>
      <w:r w:rsidR="00972024" w:rsidRPr="00C179BC">
        <w:rPr>
          <w:rFonts w:ascii="Arial" w:hAnsi="Arial"/>
          <w:sz w:val="24"/>
          <w:vertAlign w:val="superscript"/>
          <w:lang w:val="fr-CA"/>
        </w:rPr>
        <w:t>9.1</w:t>
      </w:r>
      <w:r w:rsidR="00E10E1E" w:rsidRPr="00C72D17">
        <w:rPr>
          <w:rFonts w:ascii="Arial" w:hAnsi="Arial"/>
          <w:sz w:val="24"/>
          <w:lang w:val="fr-CA"/>
        </w:rPr>
        <w:t> :</w:t>
      </w:r>
    </w:p>
    <w:p w:rsidR="003A3135" w:rsidRPr="00C72D17" w:rsidRDefault="00E10E1E">
      <w:pPr>
        <w:numPr>
          <w:ilvl w:val="0"/>
          <w:numId w:val="5"/>
        </w:numPr>
        <w:tabs>
          <w:tab w:val="clear" w:pos="360"/>
          <w:tab w:val="num" w:pos="1800"/>
        </w:tabs>
        <w:ind w:left="1800"/>
        <w:rPr>
          <w:rFonts w:ascii="Arial" w:hAnsi="Arial"/>
          <w:sz w:val="24"/>
          <w:lang w:val="fr-CA"/>
        </w:rPr>
      </w:pPr>
      <w:r w:rsidRPr="00C72D17">
        <w:rPr>
          <w:rFonts w:ascii="Arial" w:hAnsi="Arial"/>
          <w:sz w:val="24"/>
          <w:lang w:val="fr-CA"/>
        </w:rPr>
        <w:t>les nom de famille et prénom du receveur</w:t>
      </w:r>
    </w:p>
    <w:p w:rsidR="003A3135" w:rsidRPr="00C72D17" w:rsidRDefault="003A3135">
      <w:pPr>
        <w:ind w:left="1440"/>
        <w:rPr>
          <w:rFonts w:ascii="Arial" w:hAnsi="Arial"/>
          <w:sz w:val="24"/>
          <w:lang w:val="fr-CA"/>
        </w:rPr>
      </w:pPr>
    </w:p>
    <w:p w:rsidR="003A3135" w:rsidRPr="001D485F" w:rsidRDefault="00E10E1E">
      <w:pPr>
        <w:numPr>
          <w:ilvl w:val="0"/>
          <w:numId w:val="5"/>
        </w:numPr>
        <w:tabs>
          <w:tab w:val="clear" w:pos="360"/>
          <w:tab w:val="num" w:pos="1800"/>
        </w:tabs>
        <w:ind w:left="1800"/>
        <w:rPr>
          <w:rFonts w:ascii="Arial" w:hAnsi="Arial"/>
          <w:sz w:val="24"/>
          <w:lang w:val="fr-CA"/>
        </w:rPr>
      </w:pPr>
      <w:r w:rsidRPr="001D485F">
        <w:rPr>
          <w:rFonts w:ascii="Arial" w:hAnsi="Arial"/>
          <w:sz w:val="24"/>
          <w:lang w:val="fr-CA"/>
        </w:rPr>
        <w:t>le(s) numéro(s) d'identification du receveur</w:t>
      </w:r>
    </w:p>
    <w:p w:rsidR="003A3135" w:rsidRPr="001D485F" w:rsidRDefault="003A3135">
      <w:pPr>
        <w:rPr>
          <w:rFonts w:ascii="Arial" w:hAnsi="Arial"/>
          <w:sz w:val="24"/>
          <w:lang w:val="fr-CA"/>
        </w:rPr>
      </w:pPr>
    </w:p>
    <w:p w:rsidR="003A3135" w:rsidRPr="001D485F" w:rsidRDefault="00E10E1E">
      <w:pPr>
        <w:numPr>
          <w:ilvl w:val="0"/>
          <w:numId w:val="5"/>
        </w:numPr>
        <w:tabs>
          <w:tab w:val="clear" w:pos="360"/>
          <w:tab w:val="num" w:pos="1800"/>
        </w:tabs>
        <w:ind w:left="1800"/>
        <w:rPr>
          <w:rFonts w:ascii="Arial" w:hAnsi="Arial"/>
          <w:sz w:val="24"/>
          <w:lang w:val="fr-CA"/>
        </w:rPr>
      </w:pPr>
      <w:r w:rsidRPr="001D485F">
        <w:rPr>
          <w:rFonts w:ascii="Arial" w:hAnsi="Arial"/>
          <w:sz w:val="24"/>
          <w:lang w:val="fr-CA"/>
        </w:rPr>
        <w:t xml:space="preserve">la nature du produit </w:t>
      </w:r>
      <w:r w:rsidR="00972024">
        <w:rPr>
          <w:rFonts w:ascii="Arial" w:hAnsi="Arial"/>
          <w:sz w:val="24"/>
          <w:lang w:val="fr-CA"/>
        </w:rPr>
        <w:t>et la quantité, le cas échéant</w:t>
      </w:r>
    </w:p>
    <w:p w:rsidR="003A3135" w:rsidRPr="001D485F" w:rsidRDefault="003A3135">
      <w:pPr>
        <w:rPr>
          <w:rFonts w:ascii="Arial" w:hAnsi="Arial"/>
          <w:sz w:val="24"/>
          <w:lang w:val="fr-CA"/>
        </w:rPr>
      </w:pPr>
    </w:p>
    <w:p w:rsidR="003A3135" w:rsidRPr="001D485F" w:rsidRDefault="00C72D17">
      <w:pPr>
        <w:numPr>
          <w:ilvl w:val="1"/>
          <w:numId w:val="2"/>
        </w:numPr>
        <w:rPr>
          <w:rFonts w:ascii="Arial" w:hAnsi="Arial"/>
          <w:sz w:val="24"/>
          <w:lang w:val="fr-CA"/>
        </w:rPr>
      </w:pPr>
      <w:r w:rsidRPr="001D485F">
        <w:rPr>
          <w:rFonts w:ascii="Arial" w:hAnsi="Arial"/>
          <w:sz w:val="24"/>
          <w:lang w:val="fr-CA"/>
        </w:rPr>
        <w:t xml:space="preserve">Transfusions néonatales : </w:t>
      </w:r>
    </w:p>
    <w:p w:rsidR="003A3135" w:rsidRPr="001D485F" w:rsidRDefault="003A3135">
      <w:pPr>
        <w:ind w:left="720"/>
        <w:rPr>
          <w:rFonts w:ascii="Arial" w:hAnsi="Arial"/>
          <w:sz w:val="24"/>
          <w:lang w:val="fr-CA"/>
        </w:rPr>
      </w:pPr>
    </w:p>
    <w:p w:rsidR="003A3135" w:rsidRPr="001D485F" w:rsidRDefault="00E10E1E">
      <w:pPr>
        <w:numPr>
          <w:ilvl w:val="2"/>
          <w:numId w:val="2"/>
        </w:numPr>
        <w:rPr>
          <w:rFonts w:ascii="Arial" w:hAnsi="Arial"/>
          <w:sz w:val="24"/>
          <w:lang w:val="fr-CA"/>
        </w:rPr>
      </w:pPr>
      <w:r w:rsidRPr="001D485F">
        <w:rPr>
          <w:rFonts w:ascii="Arial" w:hAnsi="Arial"/>
          <w:sz w:val="24"/>
          <w:lang w:val="fr-CA"/>
        </w:rPr>
        <w:t>Toutes les épreuves prétransfusionnelles doivent se faire sur du sang prélevé par voie veineuse ou capillaire.</w:t>
      </w:r>
      <w:r w:rsidR="003A3135" w:rsidRPr="001D485F">
        <w:rPr>
          <w:rFonts w:ascii="Arial" w:hAnsi="Arial"/>
          <w:sz w:val="24"/>
          <w:lang w:val="fr-CA"/>
        </w:rPr>
        <w:t xml:space="preserve"> </w:t>
      </w:r>
      <w:r w:rsidRPr="001D485F">
        <w:rPr>
          <w:rFonts w:ascii="Arial" w:hAnsi="Arial"/>
          <w:sz w:val="24"/>
          <w:lang w:val="fr-CA"/>
        </w:rPr>
        <w:t>On ne doit jamais utiliser du sang de cordon pour des épreuves prétransfusionnelles</w:t>
      </w:r>
      <w:r w:rsidRPr="001D485F">
        <w:rPr>
          <w:rFonts w:ascii="Arial" w:hAnsi="Arial"/>
          <w:sz w:val="24"/>
          <w:vertAlign w:val="superscript"/>
          <w:lang w:val="fr-CA"/>
        </w:rPr>
        <w:t>9.1</w:t>
      </w:r>
      <w:r w:rsidRPr="001D485F">
        <w:rPr>
          <w:rFonts w:ascii="Arial" w:hAnsi="Arial"/>
          <w:sz w:val="24"/>
          <w:lang w:val="fr-CA"/>
        </w:rPr>
        <w:t>.</w:t>
      </w:r>
    </w:p>
    <w:p w:rsidR="003A3135" w:rsidRPr="001D485F" w:rsidRDefault="003A3135">
      <w:pPr>
        <w:ind w:left="1440"/>
        <w:rPr>
          <w:rFonts w:ascii="Arial" w:hAnsi="Arial"/>
          <w:sz w:val="24"/>
          <w:lang w:val="fr-CA"/>
        </w:rPr>
      </w:pPr>
    </w:p>
    <w:p w:rsidR="003A3135" w:rsidRPr="001D485F" w:rsidRDefault="00E10E1E">
      <w:pPr>
        <w:numPr>
          <w:ilvl w:val="2"/>
          <w:numId w:val="2"/>
        </w:numPr>
        <w:rPr>
          <w:rFonts w:ascii="Arial" w:hAnsi="Arial"/>
          <w:sz w:val="24"/>
          <w:lang w:val="fr-CA"/>
        </w:rPr>
      </w:pPr>
      <w:r w:rsidRPr="001D485F">
        <w:rPr>
          <w:rFonts w:ascii="Arial" w:hAnsi="Arial"/>
          <w:sz w:val="24"/>
          <w:lang w:val="fr-CA"/>
        </w:rPr>
        <w:t>Les épreuves sur l'échantillon prétransfusionnel initial doivent inclure la détermination du groupe ABO et du groupe Rh et le dépistage des anticorps cliniquement significatifs</w:t>
      </w:r>
      <w:r w:rsidRPr="001D485F">
        <w:rPr>
          <w:rFonts w:ascii="Arial" w:hAnsi="Arial"/>
          <w:sz w:val="24"/>
          <w:vertAlign w:val="superscript"/>
          <w:lang w:val="fr-CA"/>
        </w:rPr>
        <w:t>9.1</w:t>
      </w:r>
      <w:r w:rsidRPr="001D485F">
        <w:rPr>
          <w:rFonts w:ascii="Arial" w:hAnsi="Arial"/>
          <w:sz w:val="24"/>
          <w:lang w:val="fr-CA"/>
        </w:rPr>
        <w:t>.</w:t>
      </w:r>
    </w:p>
    <w:p w:rsidR="003A3135" w:rsidRPr="001D485F" w:rsidRDefault="003A3135">
      <w:pPr>
        <w:ind w:left="1440"/>
        <w:rPr>
          <w:rFonts w:ascii="Arial" w:hAnsi="Arial"/>
          <w:sz w:val="24"/>
          <w:lang w:val="fr-CA"/>
        </w:rPr>
      </w:pPr>
    </w:p>
    <w:p w:rsidR="003A3135" w:rsidRPr="001D485F" w:rsidRDefault="00C72D17">
      <w:pPr>
        <w:numPr>
          <w:ilvl w:val="2"/>
          <w:numId w:val="2"/>
        </w:numPr>
        <w:rPr>
          <w:rFonts w:ascii="Arial" w:hAnsi="Arial"/>
          <w:sz w:val="24"/>
          <w:lang w:val="fr-CA"/>
        </w:rPr>
      </w:pPr>
      <w:r w:rsidRPr="001D485F">
        <w:rPr>
          <w:rFonts w:ascii="Arial" w:hAnsi="Arial"/>
          <w:sz w:val="24"/>
          <w:lang w:val="fr-CA"/>
        </w:rPr>
        <w:t>Si l’échantillon de plasma du nouveau-né est insuffisant, on peut utiliser un échantillon de plasma maternel pour effectuer les épreuves de compatibilité et le dépistage d’anticorps</w:t>
      </w:r>
      <w:r w:rsidR="003A3135" w:rsidRPr="001D485F">
        <w:rPr>
          <w:rFonts w:ascii="Arial" w:hAnsi="Arial"/>
          <w:sz w:val="24"/>
          <w:vertAlign w:val="superscript"/>
          <w:lang w:val="fr-CA"/>
        </w:rPr>
        <w:t>9.1</w:t>
      </w:r>
      <w:r w:rsidRPr="001D485F">
        <w:rPr>
          <w:rFonts w:ascii="Arial" w:hAnsi="Arial"/>
          <w:sz w:val="24"/>
          <w:lang w:val="fr-CA"/>
        </w:rPr>
        <w:t>.</w:t>
      </w:r>
    </w:p>
    <w:p w:rsidR="003A3135" w:rsidRPr="001D485F" w:rsidRDefault="003A3135">
      <w:pPr>
        <w:ind w:left="1440"/>
        <w:rPr>
          <w:rFonts w:ascii="Arial" w:hAnsi="Arial"/>
          <w:sz w:val="24"/>
          <w:lang w:val="fr-CA"/>
        </w:rPr>
      </w:pPr>
    </w:p>
    <w:p w:rsidR="003A3135" w:rsidRPr="001D485F" w:rsidRDefault="00C72D17">
      <w:pPr>
        <w:numPr>
          <w:ilvl w:val="2"/>
          <w:numId w:val="2"/>
        </w:numPr>
        <w:rPr>
          <w:rFonts w:ascii="Arial" w:hAnsi="Arial"/>
          <w:sz w:val="24"/>
          <w:lang w:val="fr-CA"/>
        </w:rPr>
      </w:pPr>
      <w:r w:rsidRPr="001D485F">
        <w:rPr>
          <w:rFonts w:ascii="Arial" w:hAnsi="Arial"/>
          <w:sz w:val="24"/>
          <w:lang w:val="fr-CA"/>
        </w:rPr>
        <w:t>Si le dépistage d'anticorps initial est négatif, il n'est pas nécessaire de faire d'autres épreuves de compatibilité durant les 4 premiers mois de vie en cas de transfusions de petits volumes</w:t>
      </w:r>
      <w:r w:rsidR="003A3135" w:rsidRPr="001D485F">
        <w:rPr>
          <w:rFonts w:ascii="Arial" w:hAnsi="Arial"/>
          <w:sz w:val="24"/>
          <w:vertAlign w:val="superscript"/>
          <w:lang w:val="fr-CA"/>
        </w:rPr>
        <w:t>9.1</w:t>
      </w:r>
      <w:r w:rsidRPr="001D485F">
        <w:rPr>
          <w:rFonts w:ascii="Arial" w:hAnsi="Arial"/>
          <w:sz w:val="24"/>
          <w:lang w:val="fr-CA"/>
        </w:rPr>
        <w:t>.</w:t>
      </w:r>
    </w:p>
    <w:p w:rsidR="003A3135" w:rsidRPr="001D485F" w:rsidRDefault="003A3135">
      <w:pPr>
        <w:ind w:left="1440"/>
        <w:rPr>
          <w:rFonts w:ascii="Arial" w:hAnsi="Arial"/>
          <w:sz w:val="24"/>
          <w:lang w:val="fr-CA"/>
        </w:rPr>
      </w:pPr>
    </w:p>
    <w:p w:rsidR="003A3135" w:rsidRPr="001D485F" w:rsidRDefault="00C72D17">
      <w:pPr>
        <w:numPr>
          <w:ilvl w:val="2"/>
          <w:numId w:val="2"/>
        </w:numPr>
        <w:rPr>
          <w:rFonts w:ascii="Arial" w:hAnsi="Arial"/>
          <w:sz w:val="24"/>
          <w:lang w:val="fr-CA"/>
        </w:rPr>
      </w:pPr>
      <w:r w:rsidRPr="001D485F">
        <w:rPr>
          <w:rFonts w:ascii="Arial" w:hAnsi="Arial"/>
          <w:sz w:val="24"/>
          <w:lang w:val="fr-CA"/>
        </w:rPr>
        <w:t>Pour les critères propres aux exsanguinotransfusions, voir AR</w:t>
      </w:r>
      <w:r w:rsidR="003A3135" w:rsidRPr="001D485F">
        <w:rPr>
          <w:rFonts w:ascii="Arial" w:hAnsi="Arial"/>
          <w:sz w:val="24"/>
          <w:lang w:val="fr-CA"/>
        </w:rPr>
        <w:t xml:space="preserve">.011 – </w:t>
      </w:r>
      <w:r w:rsidR="001D485F" w:rsidRPr="001D485F">
        <w:rPr>
          <w:rFonts w:ascii="Arial" w:hAnsi="Arial"/>
          <w:sz w:val="24"/>
          <w:lang w:val="fr-CA"/>
        </w:rPr>
        <w:t>Épreuve de compatibilité avec antiglobuline – Solution saline, SFCI, PEG</w:t>
      </w:r>
      <w:r w:rsidR="003A3135" w:rsidRPr="001D485F">
        <w:rPr>
          <w:rFonts w:ascii="Arial" w:hAnsi="Arial"/>
          <w:sz w:val="24"/>
          <w:lang w:val="fr-CA"/>
        </w:rPr>
        <w:t>.</w:t>
      </w:r>
    </w:p>
    <w:p w:rsidR="00972024" w:rsidRPr="00DD244C" w:rsidRDefault="00972024" w:rsidP="00972024">
      <w:pPr>
        <w:rPr>
          <w:rFonts w:ascii="Arial" w:hAnsi="Arial"/>
          <w:sz w:val="24"/>
          <w:lang w:val="fr-FR"/>
        </w:rPr>
      </w:pPr>
    </w:p>
    <w:p w:rsidR="00972024" w:rsidRPr="00227B87" w:rsidRDefault="00972024" w:rsidP="00972024">
      <w:pPr>
        <w:numPr>
          <w:ilvl w:val="1"/>
          <w:numId w:val="2"/>
        </w:numPr>
        <w:rPr>
          <w:rFonts w:ascii="Arial" w:hAnsi="Arial"/>
          <w:sz w:val="24"/>
          <w:lang w:val="fr-CA"/>
        </w:rPr>
      </w:pPr>
      <w:r w:rsidRPr="00227B87">
        <w:rPr>
          <w:rFonts w:ascii="Arial" w:hAnsi="Arial"/>
          <w:sz w:val="24"/>
          <w:lang w:val="fr-CA"/>
        </w:rPr>
        <w:t>L’échantillon de sang du receveur doit être gardé à une temp</w:t>
      </w:r>
      <w:r w:rsidR="00227B87">
        <w:rPr>
          <w:rFonts w:ascii="Arial" w:hAnsi="Arial"/>
          <w:sz w:val="24"/>
          <w:lang w:val="fr-CA"/>
        </w:rPr>
        <w:t>é</w:t>
      </w:r>
      <w:r w:rsidRPr="00227B87">
        <w:rPr>
          <w:rFonts w:ascii="Arial" w:hAnsi="Arial"/>
          <w:sz w:val="24"/>
          <w:lang w:val="fr-CA"/>
        </w:rPr>
        <w:t xml:space="preserve">rature variant entre 1 et 6 </w:t>
      </w:r>
      <w:r w:rsidRPr="00227B87">
        <w:rPr>
          <w:rFonts w:ascii="Arial" w:hAnsi="Arial" w:cs="Arial"/>
          <w:sz w:val="24"/>
          <w:lang w:val="fr-CA"/>
        </w:rPr>
        <w:t>°</w:t>
      </w:r>
      <w:r w:rsidRPr="00227B87">
        <w:rPr>
          <w:rFonts w:ascii="Arial" w:hAnsi="Arial"/>
          <w:sz w:val="24"/>
          <w:lang w:val="fr-CA"/>
        </w:rPr>
        <w:t xml:space="preserve">C pendant au moins </w:t>
      </w:r>
      <w:r w:rsidR="00227B87">
        <w:rPr>
          <w:rFonts w:ascii="Arial" w:hAnsi="Arial"/>
          <w:sz w:val="24"/>
          <w:lang w:val="fr-CA"/>
        </w:rPr>
        <w:t>7</w:t>
      </w:r>
      <w:r w:rsidRPr="00227B87">
        <w:rPr>
          <w:rFonts w:ascii="Arial" w:hAnsi="Arial"/>
          <w:sz w:val="24"/>
          <w:lang w:val="fr-CA"/>
        </w:rPr>
        <w:t xml:space="preserve"> jours après la transfusion de l’unité</w:t>
      </w:r>
      <w:r w:rsidRPr="00227B87">
        <w:rPr>
          <w:rFonts w:ascii="Arial" w:hAnsi="Arial"/>
          <w:sz w:val="24"/>
          <w:szCs w:val="24"/>
          <w:vertAlign w:val="superscript"/>
          <w:lang w:val="fr-CA"/>
        </w:rPr>
        <w:t>9.1</w:t>
      </w:r>
      <w:r w:rsidRPr="00227B87">
        <w:rPr>
          <w:rFonts w:ascii="Arial" w:hAnsi="Arial"/>
          <w:sz w:val="24"/>
          <w:szCs w:val="24"/>
          <w:lang w:val="fr-CA"/>
        </w:rPr>
        <w:t>.</w:t>
      </w:r>
    </w:p>
    <w:p w:rsidR="00972024" w:rsidRPr="00227B87" w:rsidRDefault="00972024" w:rsidP="00972024">
      <w:pPr>
        <w:ind w:left="720"/>
        <w:rPr>
          <w:rFonts w:ascii="Arial" w:hAnsi="Arial"/>
          <w:sz w:val="24"/>
          <w:lang w:val="fr-CA"/>
        </w:rPr>
      </w:pPr>
    </w:p>
    <w:p w:rsidR="00972024" w:rsidRPr="00227B87" w:rsidRDefault="00227B87" w:rsidP="00972024">
      <w:pPr>
        <w:numPr>
          <w:ilvl w:val="1"/>
          <w:numId w:val="2"/>
        </w:numPr>
        <w:rPr>
          <w:rFonts w:ascii="Arial" w:hAnsi="Arial"/>
          <w:sz w:val="24"/>
          <w:lang w:val="fr-CA"/>
        </w:rPr>
      </w:pPr>
      <w:r>
        <w:rPr>
          <w:rFonts w:ascii="Arial" w:hAnsi="Arial"/>
          <w:sz w:val="24"/>
          <w:lang w:val="fr-CA"/>
        </w:rPr>
        <w:t xml:space="preserve">Un segment identifiable de toutes les unités de globules rouges de donneurs </w:t>
      </w:r>
      <w:r w:rsidRPr="00227B87">
        <w:rPr>
          <w:rFonts w:ascii="Arial" w:hAnsi="Arial"/>
          <w:sz w:val="24"/>
          <w:lang w:val="fr-CA"/>
        </w:rPr>
        <w:t>doit être gardé à une temp</w:t>
      </w:r>
      <w:r>
        <w:rPr>
          <w:rFonts w:ascii="Arial" w:hAnsi="Arial"/>
          <w:sz w:val="24"/>
          <w:lang w:val="fr-CA"/>
        </w:rPr>
        <w:t>é</w:t>
      </w:r>
      <w:r w:rsidRPr="00227B87">
        <w:rPr>
          <w:rFonts w:ascii="Arial" w:hAnsi="Arial"/>
          <w:sz w:val="24"/>
          <w:lang w:val="fr-CA"/>
        </w:rPr>
        <w:t xml:space="preserve">rature variant entre 1 et 6 </w:t>
      </w:r>
      <w:r w:rsidRPr="00227B87">
        <w:rPr>
          <w:rFonts w:ascii="Arial" w:hAnsi="Arial" w:cs="Arial"/>
          <w:sz w:val="24"/>
          <w:lang w:val="fr-CA"/>
        </w:rPr>
        <w:t>°</w:t>
      </w:r>
      <w:r w:rsidRPr="00227B87">
        <w:rPr>
          <w:rFonts w:ascii="Arial" w:hAnsi="Arial"/>
          <w:sz w:val="24"/>
          <w:lang w:val="fr-CA"/>
        </w:rPr>
        <w:t xml:space="preserve">C pendant au moins </w:t>
      </w:r>
      <w:r>
        <w:rPr>
          <w:rFonts w:ascii="Arial" w:hAnsi="Arial"/>
          <w:sz w:val="24"/>
          <w:lang w:val="fr-CA"/>
        </w:rPr>
        <w:t>7</w:t>
      </w:r>
      <w:r w:rsidRPr="00227B87">
        <w:rPr>
          <w:rFonts w:ascii="Arial" w:hAnsi="Arial"/>
          <w:sz w:val="24"/>
          <w:lang w:val="fr-CA"/>
        </w:rPr>
        <w:t xml:space="preserve"> jours après la transfusion de l’unité</w:t>
      </w:r>
      <w:r w:rsidRPr="00227B87">
        <w:rPr>
          <w:rFonts w:ascii="Arial" w:hAnsi="Arial"/>
          <w:sz w:val="24"/>
          <w:szCs w:val="24"/>
          <w:vertAlign w:val="superscript"/>
          <w:lang w:val="fr-CA"/>
        </w:rPr>
        <w:t>9.1</w:t>
      </w:r>
      <w:r w:rsidRPr="00227B87">
        <w:rPr>
          <w:rFonts w:ascii="Arial" w:hAnsi="Arial"/>
          <w:sz w:val="24"/>
          <w:szCs w:val="24"/>
          <w:lang w:val="fr-CA"/>
        </w:rPr>
        <w:t>.</w:t>
      </w:r>
    </w:p>
    <w:p w:rsidR="003A3135" w:rsidRPr="003A3135" w:rsidRDefault="003A3135">
      <w:pPr>
        <w:ind w:left="1440"/>
        <w:rPr>
          <w:rFonts w:ascii="Arial" w:hAnsi="Arial"/>
          <w:sz w:val="24"/>
          <w:lang w:val="fr-CA"/>
        </w:rPr>
      </w:pPr>
    </w:p>
    <w:p w:rsidR="003A3135" w:rsidRPr="003A3135" w:rsidRDefault="003A3135">
      <w:pPr>
        <w:numPr>
          <w:ilvl w:val="0"/>
          <w:numId w:val="2"/>
        </w:numPr>
        <w:rPr>
          <w:rFonts w:ascii="Arial" w:hAnsi="Arial"/>
          <w:b/>
          <w:sz w:val="28"/>
          <w:lang w:val="fr-CA"/>
        </w:rPr>
      </w:pPr>
      <w:r>
        <w:rPr>
          <w:rFonts w:ascii="Arial" w:hAnsi="Arial"/>
          <w:b/>
          <w:color w:val="000000"/>
          <w:sz w:val="28"/>
          <w:lang w:val="fr-CA"/>
        </w:rPr>
        <w:t>É</w:t>
      </w:r>
      <w:r w:rsidR="00E10E1E" w:rsidRPr="003A3135">
        <w:rPr>
          <w:rFonts w:ascii="Arial" w:hAnsi="Arial"/>
          <w:b/>
          <w:color w:val="000000"/>
          <w:sz w:val="28"/>
          <w:lang w:val="fr-CA"/>
        </w:rPr>
        <w:t>chantillons</w:t>
      </w:r>
    </w:p>
    <w:p w:rsidR="003A3135" w:rsidRPr="003A3135" w:rsidRDefault="003A3135">
      <w:pPr>
        <w:rPr>
          <w:rFonts w:ascii="Arial" w:hAnsi="Arial"/>
          <w:sz w:val="24"/>
          <w:lang w:val="fr-CA"/>
        </w:rPr>
      </w:pPr>
    </w:p>
    <w:p w:rsidR="003A3135" w:rsidRPr="00C179BC" w:rsidRDefault="00E10E1E">
      <w:pPr>
        <w:ind w:left="720"/>
        <w:rPr>
          <w:rFonts w:ascii="Arial" w:hAnsi="Arial"/>
          <w:sz w:val="24"/>
          <w:lang w:val="fr-CA"/>
        </w:rPr>
      </w:pPr>
      <w:r w:rsidRPr="00C179BC">
        <w:rPr>
          <w:rFonts w:ascii="Arial" w:hAnsi="Arial"/>
          <w:sz w:val="24"/>
          <w:lang w:val="fr-CA"/>
        </w:rPr>
        <w:t xml:space="preserve">Sang total anticoagulé </w:t>
      </w:r>
      <w:r w:rsidR="003A3135" w:rsidRPr="00C179BC">
        <w:rPr>
          <w:rFonts w:ascii="Arial" w:hAnsi="Arial"/>
          <w:sz w:val="24"/>
          <w:lang w:val="fr-CA"/>
        </w:rPr>
        <w:t xml:space="preserve">– tube </w:t>
      </w:r>
      <w:r w:rsidRPr="00C179BC">
        <w:rPr>
          <w:rFonts w:ascii="Arial" w:hAnsi="Arial"/>
          <w:sz w:val="24"/>
          <w:lang w:val="fr-CA"/>
        </w:rPr>
        <w:t>EDTA</w:t>
      </w:r>
    </w:p>
    <w:p w:rsidR="003A3135" w:rsidRPr="00C179BC" w:rsidRDefault="003A3135">
      <w:pPr>
        <w:ind w:left="720"/>
        <w:rPr>
          <w:rFonts w:ascii="Arial" w:hAnsi="Arial"/>
          <w:sz w:val="24"/>
          <w:lang w:val="fr-CA"/>
        </w:rPr>
      </w:pPr>
    </w:p>
    <w:p w:rsidR="003A3135" w:rsidRPr="00C179BC" w:rsidRDefault="00E10E1E">
      <w:pPr>
        <w:numPr>
          <w:ilvl w:val="0"/>
          <w:numId w:val="2"/>
        </w:numPr>
        <w:rPr>
          <w:rFonts w:ascii="Arial" w:hAnsi="Arial"/>
          <w:b/>
          <w:sz w:val="28"/>
          <w:lang w:val="fr-CA"/>
        </w:rPr>
      </w:pPr>
      <w:r w:rsidRPr="00C179BC">
        <w:rPr>
          <w:rFonts w:ascii="Arial" w:hAnsi="Arial"/>
          <w:b/>
          <w:sz w:val="28"/>
          <w:lang w:val="fr-CA"/>
        </w:rPr>
        <w:t>Matériel</w:t>
      </w:r>
    </w:p>
    <w:p w:rsidR="003A3135" w:rsidRPr="00C179BC" w:rsidRDefault="003A3135">
      <w:pPr>
        <w:rPr>
          <w:rFonts w:ascii="Arial" w:hAnsi="Arial"/>
          <w:sz w:val="24"/>
          <w:lang w:val="fr-CA"/>
        </w:rPr>
      </w:pPr>
    </w:p>
    <w:p w:rsidR="003A3135" w:rsidRPr="00C179BC" w:rsidRDefault="00E10E1E">
      <w:pPr>
        <w:ind w:left="720"/>
        <w:rPr>
          <w:rFonts w:ascii="Arial" w:hAnsi="Arial"/>
          <w:sz w:val="24"/>
          <w:lang w:val="fr-CA"/>
        </w:rPr>
      </w:pPr>
      <w:r w:rsidRPr="00C179BC">
        <w:rPr>
          <w:rFonts w:ascii="Arial" w:hAnsi="Arial"/>
          <w:sz w:val="24"/>
          <w:lang w:val="fr-CA"/>
        </w:rPr>
        <w:t>Équipement :</w:t>
      </w:r>
      <w:r w:rsidRPr="00C179BC">
        <w:rPr>
          <w:rFonts w:ascii="Arial" w:hAnsi="Arial"/>
          <w:sz w:val="24"/>
          <w:lang w:val="fr-CA"/>
        </w:rPr>
        <w:tab/>
      </w:r>
      <w:r w:rsidR="003A3135" w:rsidRPr="00C179BC">
        <w:rPr>
          <w:rFonts w:ascii="Arial" w:hAnsi="Arial"/>
          <w:sz w:val="24"/>
          <w:lang w:val="fr-CA"/>
        </w:rPr>
        <w:tab/>
      </w:r>
      <w:r w:rsidRPr="00C179BC">
        <w:rPr>
          <w:rFonts w:ascii="Arial" w:hAnsi="Arial"/>
          <w:sz w:val="24"/>
          <w:lang w:val="fr-CA"/>
        </w:rPr>
        <w:t>centrifugeuse sérologique</w:t>
      </w:r>
    </w:p>
    <w:p w:rsidR="003A3135" w:rsidRPr="00C179BC" w:rsidRDefault="003A3135">
      <w:pPr>
        <w:ind w:left="720"/>
        <w:rPr>
          <w:rFonts w:ascii="Arial" w:hAnsi="Arial"/>
          <w:sz w:val="24"/>
          <w:lang w:val="fr-CA"/>
        </w:rPr>
      </w:pPr>
      <w:r w:rsidRPr="00C179BC">
        <w:rPr>
          <w:rFonts w:ascii="Arial" w:hAnsi="Arial"/>
          <w:sz w:val="24"/>
          <w:lang w:val="fr-CA"/>
        </w:rPr>
        <w:tab/>
      </w:r>
      <w:r w:rsidRPr="00C179BC">
        <w:rPr>
          <w:rFonts w:ascii="Arial" w:hAnsi="Arial"/>
          <w:sz w:val="24"/>
          <w:lang w:val="fr-CA"/>
        </w:rPr>
        <w:tab/>
      </w:r>
      <w:r w:rsidRPr="00C179BC">
        <w:rPr>
          <w:rFonts w:ascii="Arial" w:hAnsi="Arial"/>
          <w:sz w:val="24"/>
          <w:lang w:val="fr-CA"/>
        </w:rPr>
        <w:tab/>
        <w:t>s</w:t>
      </w:r>
      <w:r w:rsidR="00E10E1E" w:rsidRPr="00C179BC">
        <w:rPr>
          <w:rFonts w:ascii="Arial" w:hAnsi="Arial"/>
          <w:sz w:val="24"/>
          <w:lang w:val="fr-CA"/>
        </w:rPr>
        <w:t>upport à tubes</w:t>
      </w:r>
    </w:p>
    <w:p w:rsidR="003A3135" w:rsidRPr="00C179BC" w:rsidRDefault="003A3135">
      <w:pPr>
        <w:ind w:left="720"/>
        <w:rPr>
          <w:rFonts w:ascii="Arial" w:hAnsi="Arial"/>
          <w:sz w:val="24"/>
          <w:lang w:val="fr-CA"/>
        </w:rPr>
      </w:pPr>
      <w:r w:rsidRPr="00C179BC">
        <w:rPr>
          <w:rFonts w:ascii="Arial" w:hAnsi="Arial"/>
          <w:sz w:val="24"/>
          <w:lang w:val="fr-CA"/>
        </w:rPr>
        <w:tab/>
      </w:r>
      <w:r w:rsidRPr="00C179BC">
        <w:rPr>
          <w:rFonts w:ascii="Arial" w:hAnsi="Arial"/>
          <w:sz w:val="24"/>
          <w:lang w:val="fr-CA"/>
        </w:rPr>
        <w:tab/>
      </w:r>
      <w:r w:rsidRPr="00C179BC">
        <w:rPr>
          <w:rFonts w:ascii="Arial" w:hAnsi="Arial"/>
          <w:sz w:val="24"/>
          <w:lang w:val="fr-CA"/>
        </w:rPr>
        <w:tab/>
      </w:r>
      <w:r w:rsidR="00E10E1E" w:rsidRPr="00C179BC">
        <w:rPr>
          <w:rFonts w:ascii="Arial" w:hAnsi="Arial"/>
          <w:sz w:val="24"/>
          <w:lang w:val="fr-CA"/>
        </w:rPr>
        <w:t>microscope</w:t>
      </w:r>
      <w:r w:rsidR="00227B87">
        <w:rPr>
          <w:rFonts w:ascii="Arial" w:hAnsi="Arial"/>
          <w:sz w:val="24"/>
          <w:lang w:val="fr-CA"/>
        </w:rPr>
        <w:br/>
      </w:r>
      <w:r w:rsidR="00227B87">
        <w:rPr>
          <w:rFonts w:ascii="Arial" w:hAnsi="Arial"/>
          <w:sz w:val="24"/>
          <w:lang w:val="fr-CA"/>
        </w:rPr>
        <w:tab/>
      </w:r>
      <w:r w:rsidR="00227B87">
        <w:rPr>
          <w:rFonts w:ascii="Arial" w:hAnsi="Arial"/>
          <w:sz w:val="24"/>
          <w:lang w:val="fr-CA"/>
        </w:rPr>
        <w:tab/>
      </w:r>
      <w:r w:rsidR="00227B87">
        <w:rPr>
          <w:rFonts w:ascii="Arial" w:hAnsi="Arial"/>
          <w:sz w:val="24"/>
          <w:lang w:val="fr-CA"/>
        </w:rPr>
        <w:tab/>
        <w:t>dispositif pour segment</w:t>
      </w:r>
    </w:p>
    <w:p w:rsidR="003A3135" w:rsidRPr="00C179BC" w:rsidRDefault="003A3135">
      <w:pPr>
        <w:ind w:left="720"/>
        <w:rPr>
          <w:rFonts w:ascii="Arial" w:hAnsi="Arial"/>
          <w:sz w:val="24"/>
          <w:lang w:val="fr-CA"/>
        </w:rPr>
      </w:pPr>
    </w:p>
    <w:p w:rsidR="003A3135" w:rsidRPr="00C179BC" w:rsidRDefault="00E10E1E">
      <w:pPr>
        <w:ind w:left="720"/>
        <w:rPr>
          <w:rFonts w:ascii="Arial" w:hAnsi="Arial"/>
          <w:sz w:val="24"/>
          <w:lang w:val="fr-CA"/>
        </w:rPr>
      </w:pPr>
      <w:r w:rsidRPr="00C179BC">
        <w:rPr>
          <w:rFonts w:ascii="Arial" w:hAnsi="Arial"/>
          <w:sz w:val="24"/>
          <w:lang w:val="fr-CA"/>
        </w:rPr>
        <w:t xml:space="preserve">Fournitures : </w:t>
      </w:r>
      <w:r w:rsidR="003A3135" w:rsidRPr="00C179BC">
        <w:rPr>
          <w:rFonts w:ascii="Arial" w:hAnsi="Arial"/>
          <w:sz w:val="24"/>
          <w:lang w:val="fr-CA"/>
        </w:rPr>
        <w:tab/>
      </w:r>
      <w:r w:rsidR="003A3135" w:rsidRPr="00C179BC">
        <w:rPr>
          <w:rFonts w:ascii="Arial" w:hAnsi="Arial"/>
          <w:sz w:val="24"/>
          <w:lang w:val="fr-CA"/>
        </w:rPr>
        <w:tab/>
      </w:r>
      <w:r w:rsidRPr="00C179BC">
        <w:rPr>
          <w:rFonts w:ascii="Arial" w:hAnsi="Arial"/>
          <w:sz w:val="24"/>
          <w:lang w:val="fr-CA"/>
        </w:rPr>
        <w:t>tubes 10 x 75 mm</w:t>
      </w:r>
    </w:p>
    <w:p w:rsidR="003A3135" w:rsidRPr="00C179BC" w:rsidRDefault="003A3135">
      <w:pPr>
        <w:ind w:left="720"/>
        <w:rPr>
          <w:rFonts w:ascii="Arial" w:hAnsi="Arial"/>
          <w:sz w:val="24"/>
          <w:lang w:val="fr-CA"/>
        </w:rPr>
      </w:pPr>
      <w:r w:rsidRPr="00C179BC">
        <w:rPr>
          <w:rFonts w:ascii="Arial" w:hAnsi="Arial"/>
          <w:sz w:val="24"/>
          <w:lang w:val="fr-CA"/>
        </w:rPr>
        <w:tab/>
      </w:r>
      <w:r w:rsidRPr="00C179BC">
        <w:rPr>
          <w:rFonts w:ascii="Arial" w:hAnsi="Arial"/>
          <w:sz w:val="24"/>
          <w:lang w:val="fr-CA"/>
        </w:rPr>
        <w:tab/>
      </w:r>
      <w:r w:rsidRPr="00C179BC">
        <w:rPr>
          <w:rFonts w:ascii="Arial" w:hAnsi="Arial"/>
          <w:sz w:val="24"/>
          <w:lang w:val="fr-CA"/>
        </w:rPr>
        <w:tab/>
        <w:t>p</w:t>
      </w:r>
      <w:r w:rsidR="00E10E1E" w:rsidRPr="00C179BC">
        <w:rPr>
          <w:rFonts w:ascii="Arial" w:hAnsi="Arial"/>
          <w:sz w:val="24"/>
          <w:lang w:val="fr-CA"/>
        </w:rPr>
        <w:t>ipettes sérologiques</w:t>
      </w:r>
    </w:p>
    <w:p w:rsidR="003A3135" w:rsidRPr="00C179BC" w:rsidRDefault="003A3135">
      <w:pPr>
        <w:ind w:left="720"/>
        <w:rPr>
          <w:rFonts w:ascii="Arial" w:hAnsi="Arial"/>
          <w:sz w:val="24"/>
          <w:lang w:val="fr-CA"/>
        </w:rPr>
      </w:pPr>
      <w:r w:rsidRPr="00C179BC">
        <w:rPr>
          <w:rFonts w:ascii="Arial" w:hAnsi="Arial"/>
          <w:sz w:val="24"/>
          <w:lang w:val="fr-CA"/>
        </w:rPr>
        <w:tab/>
      </w:r>
      <w:r w:rsidRPr="00C179BC">
        <w:rPr>
          <w:rFonts w:ascii="Arial" w:hAnsi="Arial"/>
          <w:sz w:val="24"/>
          <w:lang w:val="fr-CA"/>
        </w:rPr>
        <w:tab/>
      </w:r>
      <w:r w:rsidRPr="00C179BC">
        <w:rPr>
          <w:rFonts w:ascii="Arial" w:hAnsi="Arial"/>
          <w:sz w:val="24"/>
          <w:lang w:val="fr-CA"/>
        </w:rPr>
        <w:tab/>
      </w:r>
      <w:r w:rsidR="00E747C5" w:rsidRPr="005F4F30">
        <w:rPr>
          <w:rFonts w:ascii="Arial" w:hAnsi="Arial"/>
          <w:sz w:val="24"/>
          <w:lang w:val="fr-CA"/>
        </w:rPr>
        <w:t>étiquette de compatibilité</w:t>
      </w:r>
      <w:r w:rsidR="00227B87">
        <w:rPr>
          <w:rFonts w:ascii="Arial" w:hAnsi="Arial"/>
          <w:sz w:val="24"/>
          <w:lang w:val="fr-CA"/>
        </w:rPr>
        <w:br/>
      </w:r>
      <w:r w:rsidR="00227B87">
        <w:rPr>
          <w:rFonts w:ascii="Arial" w:hAnsi="Arial"/>
          <w:sz w:val="24"/>
          <w:lang w:val="fr-CA"/>
        </w:rPr>
        <w:tab/>
      </w:r>
      <w:r w:rsidR="00227B87">
        <w:rPr>
          <w:rFonts w:ascii="Arial" w:hAnsi="Arial"/>
          <w:sz w:val="24"/>
          <w:lang w:val="fr-CA"/>
        </w:rPr>
        <w:tab/>
      </w:r>
      <w:r w:rsidR="00227B87">
        <w:rPr>
          <w:rFonts w:ascii="Arial" w:hAnsi="Arial"/>
          <w:sz w:val="24"/>
          <w:lang w:val="fr-CA"/>
        </w:rPr>
        <w:tab/>
        <w:t>unités de donneurs</w:t>
      </w:r>
    </w:p>
    <w:p w:rsidR="003A3135" w:rsidRPr="00C179BC" w:rsidRDefault="003A3135">
      <w:pPr>
        <w:ind w:left="720"/>
        <w:rPr>
          <w:rFonts w:ascii="Arial" w:hAnsi="Arial"/>
          <w:sz w:val="24"/>
          <w:lang w:val="fr-CA"/>
        </w:rPr>
      </w:pPr>
    </w:p>
    <w:p w:rsidR="003A3135" w:rsidRPr="00C179BC" w:rsidRDefault="008564FC">
      <w:pPr>
        <w:ind w:left="720"/>
        <w:rPr>
          <w:rFonts w:ascii="Arial" w:hAnsi="Arial"/>
          <w:sz w:val="24"/>
          <w:lang w:val="fr-CA"/>
        </w:rPr>
      </w:pPr>
      <w:r>
        <w:rPr>
          <w:rFonts w:ascii="Arial" w:hAnsi="Arial"/>
          <w:sz w:val="24"/>
          <w:lang w:val="fr-CA"/>
        </w:rPr>
        <w:t>Réactifs </w:t>
      </w:r>
      <w:r w:rsidR="00E10E1E" w:rsidRPr="00C179BC">
        <w:rPr>
          <w:rFonts w:ascii="Arial" w:hAnsi="Arial"/>
          <w:sz w:val="24"/>
          <w:lang w:val="fr-CA"/>
        </w:rPr>
        <w:t>:</w:t>
      </w:r>
      <w:r w:rsidR="00E10E1E" w:rsidRPr="00C179BC">
        <w:rPr>
          <w:rFonts w:ascii="Arial" w:hAnsi="Arial"/>
          <w:sz w:val="24"/>
          <w:lang w:val="fr-CA"/>
        </w:rPr>
        <w:tab/>
      </w:r>
      <w:r w:rsidR="003A3135" w:rsidRPr="00C179BC">
        <w:rPr>
          <w:rFonts w:ascii="Arial" w:hAnsi="Arial"/>
          <w:sz w:val="24"/>
          <w:lang w:val="fr-CA"/>
        </w:rPr>
        <w:tab/>
      </w:r>
      <w:r w:rsidR="00E10E1E" w:rsidRPr="00C179BC">
        <w:rPr>
          <w:rFonts w:ascii="Arial" w:hAnsi="Arial"/>
          <w:sz w:val="24"/>
          <w:lang w:val="fr-CA"/>
        </w:rPr>
        <w:t>solution saline</w:t>
      </w:r>
      <w:r w:rsidR="00227B87">
        <w:rPr>
          <w:rFonts w:ascii="Arial" w:hAnsi="Arial"/>
          <w:sz w:val="24"/>
          <w:lang w:val="fr-CA"/>
        </w:rPr>
        <w:t xml:space="preserve"> normale</w:t>
      </w:r>
    </w:p>
    <w:p w:rsidR="003A3135" w:rsidRPr="00C179BC" w:rsidRDefault="003A3135">
      <w:pPr>
        <w:ind w:left="720"/>
        <w:rPr>
          <w:rFonts w:ascii="Arial" w:hAnsi="Arial"/>
          <w:sz w:val="24"/>
          <w:lang w:val="fr-CA"/>
        </w:rPr>
      </w:pPr>
    </w:p>
    <w:p w:rsidR="003A3135" w:rsidRPr="00C179BC" w:rsidRDefault="00E10E1E">
      <w:pPr>
        <w:ind w:left="2880" w:hanging="2160"/>
        <w:rPr>
          <w:rFonts w:ascii="Arial" w:hAnsi="Arial"/>
          <w:sz w:val="24"/>
          <w:lang w:val="fr-CA"/>
        </w:rPr>
      </w:pPr>
      <w:r w:rsidRPr="00C179BC">
        <w:rPr>
          <w:rFonts w:ascii="Arial" w:hAnsi="Arial"/>
          <w:sz w:val="24"/>
          <w:lang w:val="fr-CA"/>
        </w:rPr>
        <w:t>Unités de donneurs : Voir CCP.001 - Choix des composants sanguins à transfuser.</w:t>
      </w:r>
    </w:p>
    <w:p w:rsidR="003A3135" w:rsidRPr="00C179BC" w:rsidRDefault="003A3135">
      <w:pPr>
        <w:ind w:left="2880" w:hanging="2160"/>
        <w:rPr>
          <w:rFonts w:ascii="Arial" w:hAnsi="Arial"/>
          <w:sz w:val="24"/>
          <w:lang w:val="fr-CA"/>
        </w:rPr>
      </w:pPr>
    </w:p>
    <w:p w:rsidR="003A3135" w:rsidRPr="00C179BC" w:rsidRDefault="00E10E1E">
      <w:pPr>
        <w:numPr>
          <w:ilvl w:val="0"/>
          <w:numId w:val="2"/>
        </w:numPr>
        <w:rPr>
          <w:rFonts w:ascii="Arial" w:hAnsi="Arial"/>
          <w:b/>
          <w:sz w:val="28"/>
          <w:lang w:val="fr-CA"/>
        </w:rPr>
      </w:pPr>
      <w:r w:rsidRPr="00C179BC">
        <w:rPr>
          <w:rFonts w:ascii="Arial" w:hAnsi="Arial"/>
          <w:b/>
          <w:sz w:val="28"/>
          <w:lang w:val="fr-CA"/>
        </w:rPr>
        <w:t xml:space="preserve">Contrôle de la qualité </w:t>
      </w:r>
      <w:r w:rsidRPr="00C179BC">
        <w:rPr>
          <w:rFonts w:ascii="Arial" w:hAnsi="Arial"/>
          <w:sz w:val="28"/>
          <w:lang w:val="fr-CA"/>
        </w:rPr>
        <w:t>- S.O.</w:t>
      </w:r>
    </w:p>
    <w:p w:rsidR="003A3135" w:rsidRPr="00C179BC" w:rsidRDefault="003A3135">
      <w:pPr>
        <w:ind w:left="720"/>
        <w:rPr>
          <w:rFonts w:ascii="Arial" w:hAnsi="Arial"/>
          <w:sz w:val="24"/>
          <w:lang w:val="fr-CA"/>
        </w:rPr>
      </w:pPr>
    </w:p>
    <w:p w:rsidR="003A3135" w:rsidRPr="001D485F" w:rsidRDefault="00E10E1E">
      <w:pPr>
        <w:numPr>
          <w:ilvl w:val="0"/>
          <w:numId w:val="2"/>
        </w:numPr>
        <w:rPr>
          <w:rFonts w:ascii="Arial" w:hAnsi="Arial"/>
          <w:b/>
          <w:sz w:val="28"/>
          <w:lang w:val="fr-CA"/>
        </w:rPr>
      </w:pPr>
      <w:r w:rsidRPr="00C179BC">
        <w:rPr>
          <w:rFonts w:ascii="Arial" w:hAnsi="Arial"/>
          <w:b/>
          <w:sz w:val="28"/>
          <w:lang w:val="fr-CA"/>
        </w:rPr>
        <w:t>Proc</w:t>
      </w:r>
      <w:r w:rsidRPr="001D485F">
        <w:rPr>
          <w:rFonts w:ascii="Arial" w:hAnsi="Arial"/>
          <w:b/>
          <w:sz w:val="28"/>
          <w:lang w:val="fr-CA"/>
        </w:rPr>
        <w:t>édure</w:t>
      </w:r>
    </w:p>
    <w:p w:rsidR="003A3135" w:rsidRPr="001D485F" w:rsidRDefault="003A3135">
      <w:pPr>
        <w:rPr>
          <w:rFonts w:ascii="Arial" w:hAnsi="Arial"/>
          <w:sz w:val="24"/>
          <w:lang w:val="fr-CA"/>
        </w:rPr>
      </w:pPr>
    </w:p>
    <w:p w:rsidR="003A3135" w:rsidRPr="00907AA7" w:rsidRDefault="001416A4">
      <w:pPr>
        <w:numPr>
          <w:ilvl w:val="1"/>
          <w:numId w:val="2"/>
        </w:numPr>
        <w:rPr>
          <w:rFonts w:ascii="Arial" w:hAnsi="Arial"/>
          <w:sz w:val="24"/>
          <w:lang w:val="fr-CA"/>
        </w:rPr>
      </w:pPr>
      <w:r w:rsidRPr="001D485F">
        <w:rPr>
          <w:rFonts w:ascii="Arial" w:hAnsi="Arial"/>
          <w:sz w:val="24"/>
          <w:lang w:val="fr-CA"/>
        </w:rPr>
        <w:t xml:space="preserve">Vérifier les antécédents du patient et les résultats d'un dépistage </w:t>
      </w:r>
      <w:r w:rsidRPr="00907AA7">
        <w:rPr>
          <w:rFonts w:ascii="Arial" w:hAnsi="Arial"/>
          <w:sz w:val="24"/>
          <w:lang w:val="fr-CA"/>
        </w:rPr>
        <w:t>d'anticorps courant.</w:t>
      </w:r>
      <w:r w:rsidR="003A3135" w:rsidRPr="00907AA7">
        <w:rPr>
          <w:rFonts w:ascii="Arial" w:hAnsi="Arial"/>
          <w:sz w:val="24"/>
          <w:lang w:val="fr-CA"/>
        </w:rPr>
        <w:t xml:space="preserve">  </w:t>
      </w:r>
      <w:r w:rsidRPr="00907AA7">
        <w:rPr>
          <w:rFonts w:ascii="Arial" w:hAnsi="Arial"/>
          <w:sz w:val="24"/>
          <w:lang w:val="fr-CA"/>
        </w:rPr>
        <w:t>Voir PA.003 – Vérification des antécédents du patient.</w:t>
      </w:r>
    </w:p>
    <w:p w:rsidR="003A3135" w:rsidRPr="00907AA7" w:rsidRDefault="003A3135">
      <w:pPr>
        <w:ind w:left="720"/>
        <w:rPr>
          <w:rFonts w:ascii="Arial" w:hAnsi="Arial"/>
          <w:sz w:val="24"/>
          <w:lang w:val="fr-CA"/>
        </w:rPr>
      </w:pPr>
    </w:p>
    <w:p w:rsidR="003A3135" w:rsidRPr="00907AA7" w:rsidRDefault="001D485F">
      <w:pPr>
        <w:numPr>
          <w:ilvl w:val="2"/>
          <w:numId w:val="2"/>
        </w:numPr>
        <w:rPr>
          <w:rFonts w:ascii="Arial" w:hAnsi="Arial"/>
          <w:sz w:val="24"/>
          <w:lang w:val="fr-CA"/>
        </w:rPr>
      </w:pPr>
      <w:r w:rsidRPr="00907AA7">
        <w:rPr>
          <w:rFonts w:ascii="Arial" w:hAnsi="Arial"/>
          <w:sz w:val="24"/>
          <w:lang w:val="fr-CA"/>
        </w:rPr>
        <w:t>Ne pas effectuer d’épreuve de compatibilité informatisée ni d’épreuve de comptabilité avec centrifugation immédiate si le patient a des anticorps cliniquement significatifs ou des antécédents d’anticorps cliniquement significatifs</w:t>
      </w:r>
      <w:r w:rsidR="003A3135" w:rsidRPr="00907AA7">
        <w:rPr>
          <w:rFonts w:ascii="Arial" w:hAnsi="Arial"/>
          <w:sz w:val="24"/>
          <w:lang w:val="fr-CA"/>
        </w:rPr>
        <w:t xml:space="preserve">. </w:t>
      </w:r>
      <w:r w:rsidR="001416A4" w:rsidRPr="00907AA7">
        <w:rPr>
          <w:rFonts w:ascii="Arial" w:hAnsi="Arial"/>
          <w:sz w:val="24"/>
          <w:lang w:val="fr-CA"/>
        </w:rPr>
        <w:t>Voir AR.011 - Épreuve de compatibilité avec antiglobuline – Solution saline, SFCI, PEG.</w:t>
      </w:r>
    </w:p>
    <w:p w:rsidR="003A3135" w:rsidRPr="00907AA7" w:rsidRDefault="003A3135">
      <w:pPr>
        <w:ind w:left="1440"/>
        <w:rPr>
          <w:rFonts w:ascii="Arial" w:hAnsi="Arial"/>
          <w:sz w:val="24"/>
          <w:lang w:val="fr-CA"/>
        </w:rPr>
      </w:pPr>
    </w:p>
    <w:p w:rsidR="003A3135" w:rsidRPr="00907AA7" w:rsidRDefault="001416A4">
      <w:pPr>
        <w:numPr>
          <w:ilvl w:val="1"/>
          <w:numId w:val="2"/>
        </w:numPr>
        <w:rPr>
          <w:rFonts w:ascii="Arial" w:hAnsi="Arial"/>
          <w:sz w:val="24"/>
          <w:lang w:val="fr-CA"/>
        </w:rPr>
      </w:pPr>
      <w:r w:rsidRPr="00907AA7">
        <w:rPr>
          <w:rFonts w:ascii="Arial" w:hAnsi="Arial"/>
          <w:sz w:val="24"/>
          <w:lang w:val="fr-CA"/>
        </w:rPr>
        <w:t>Vérifier l'acceptabilité des échantillons pour s'assurer que les renseignements qui s'y rapportent correspondent au formulaire de demande.</w:t>
      </w:r>
      <w:r w:rsidR="003A3135" w:rsidRPr="00907AA7">
        <w:rPr>
          <w:rFonts w:ascii="Arial" w:hAnsi="Arial"/>
          <w:sz w:val="24"/>
          <w:lang w:val="fr-CA"/>
        </w:rPr>
        <w:t xml:space="preserve">  </w:t>
      </w:r>
      <w:r w:rsidRPr="00907AA7">
        <w:rPr>
          <w:rFonts w:ascii="Arial" w:hAnsi="Arial"/>
          <w:sz w:val="24"/>
          <w:lang w:val="fr-CA"/>
        </w:rPr>
        <w:t>Voir PA.002 – Acceptation ou rejet des échantillons, étapes 6.1 à 6.4.</w:t>
      </w:r>
    </w:p>
    <w:p w:rsidR="003A3135" w:rsidRPr="00907AA7" w:rsidRDefault="003A3135">
      <w:pPr>
        <w:ind w:left="720"/>
        <w:rPr>
          <w:rFonts w:ascii="Arial" w:hAnsi="Arial"/>
          <w:sz w:val="24"/>
          <w:lang w:val="fr-CA"/>
        </w:rPr>
      </w:pPr>
    </w:p>
    <w:p w:rsidR="003A3135" w:rsidRPr="00907AA7" w:rsidRDefault="001416A4">
      <w:pPr>
        <w:numPr>
          <w:ilvl w:val="1"/>
          <w:numId w:val="2"/>
        </w:numPr>
        <w:rPr>
          <w:rFonts w:ascii="Arial" w:hAnsi="Arial"/>
          <w:sz w:val="24"/>
          <w:lang w:val="fr-CA"/>
        </w:rPr>
      </w:pPr>
      <w:r w:rsidRPr="00907AA7">
        <w:rPr>
          <w:rFonts w:ascii="Arial" w:hAnsi="Arial"/>
          <w:sz w:val="24"/>
          <w:lang w:val="fr-CA"/>
        </w:rPr>
        <w:t xml:space="preserve">Centrifuger l'échantillon pendant </w:t>
      </w:r>
      <w:r w:rsidR="00E747C5">
        <w:rPr>
          <w:rFonts w:ascii="Arial" w:hAnsi="Arial"/>
          <w:sz w:val="24"/>
          <w:lang w:val="fr-CA"/>
        </w:rPr>
        <w:t>5</w:t>
      </w:r>
      <w:r w:rsidR="00E747C5" w:rsidRPr="00907AA7">
        <w:rPr>
          <w:rFonts w:ascii="Arial" w:hAnsi="Arial"/>
          <w:sz w:val="24"/>
          <w:lang w:val="fr-CA"/>
        </w:rPr>
        <w:t xml:space="preserve"> </w:t>
      </w:r>
      <w:r w:rsidRPr="00907AA7">
        <w:rPr>
          <w:rFonts w:ascii="Arial" w:hAnsi="Arial"/>
          <w:sz w:val="24"/>
          <w:lang w:val="fr-CA"/>
        </w:rPr>
        <w:t>minutes à 3500 rpm ou l'équivalent, au besoin.</w:t>
      </w:r>
    </w:p>
    <w:p w:rsidR="003A3135" w:rsidRPr="00907AA7" w:rsidRDefault="003A3135">
      <w:pPr>
        <w:ind w:left="720"/>
        <w:rPr>
          <w:rFonts w:ascii="Arial" w:hAnsi="Arial"/>
          <w:sz w:val="24"/>
          <w:lang w:val="fr-CA"/>
        </w:rPr>
      </w:pPr>
    </w:p>
    <w:p w:rsidR="003A3135" w:rsidRPr="00907AA7" w:rsidRDefault="001416A4">
      <w:pPr>
        <w:numPr>
          <w:ilvl w:val="1"/>
          <w:numId w:val="2"/>
        </w:numPr>
        <w:rPr>
          <w:rFonts w:ascii="Arial" w:hAnsi="Arial"/>
          <w:sz w:val="24"/>
          <w:lang w:val="fr-CA"/>
        </w:rPr>
      </w:pPr>
      <w:r w:rsidRPr="00907AA7">
        <w:rPr>
          <w:rFonts w:ascii="Arial" w:hAnsi="Arial"/>
          <w:sz w:val="24"/>
          <w:lang w:val="fr-CA"/>
        </w:rPr>
        <w:t xml:space="preserve">Après la centrifugation, </w:t>
      </w:r>
      <w:r w:rsidR="00E747C5">
        <w:rPr>
          <w:rFonts w:ascii="Arial" w:hAnsi="Arial"/>
          <w:sz w:val="24"/>
          <w:lang w:val="fr-CA"/>
        </w:rPr>
        <w:t>v</w:t>
      </w:r>
      <w:r w:rsidR="00E747C5" w:rsidRPr="00087B6C">
        <w:rPr>
          <w:rFonts w:ascii="Arial" w:hAnsi="Arial"/>
          <w:sz w:val="24"/>
          <w:lang w:val="fr-CA"/>
        </w:rPr>
        <w:t>érifier l’aspect du ou des échantillons du patient</w:t>
      </w:r>
      <w:r w:rsidR="00A771A5">
        <w:rPr>
          <w:rFonts w:ascii="Arial" w:hAnsi="Arial"/>
          <w:sz w:val="24"/>
          <w:lang w:val="fr-CA"/>
        </w:rPr>
        <w:t xml:space="preserve"> pour y dépister toute anomalie. Voir</w:t>
      </w:r>
      <w:r w:rsidRPr="00907AA7">
        <w:rPr>
          <w:rFonts w:ascii="Arial" w:hAnsi="Arial"/>
          <w:sz w:val="24"/>
          <w:lang w:val="fr-CA"/>
        </w:rPr>
        <w:t xml:space="preserve"> PA.002 – Acceptation ou rejet des échantillons, étape 6.5.</w:t>
      </w:r>
    </w:p>
    <w:p w:rsidR="003A3135" w:rsidRPr="00907AA7" w:rsidRDefault="003A3135">
      <w:pPr>
        <w:ind w:left="720"/>
        <w:rPr>
          <w:rFonts w:ascii="Arial" w:hAnsi="Arial"/>
          <w:sz w:val="24"/>
          <w:lang w:val="fr-CA"/>
        </w:rPr>
      </w:pPr>
    </w:p>
    <w:p w:rsidR="003A3135" w:rsidRPr="00907AA7" w:rsidRDefault="001D485F">
      <w:pPr>
        <w:numPr>
          <w:ilvl w:val="1"/>
          <w:numId w:val="2"/>
        </w:numPr>
        <w:rPr>
          <w:rFonts w:ascii="Arial" w:hAnsi="Arial"/>
          <w:sz w:val="24"/>
          <w:lang w:val="fr-CA"/>
        </w:rPr>
      </w:pPr>
      <w:r w:rsidRPr="00907AA7">
        <w:rPr>
          <w:rFonts w:ascii="Arial" w:hAnsi="Arial"/>
          <w:sz w:val="24"/>
          <w:lang w:val="fr-CA"/>
        </w:rPr>
        <w:t>Choisir les unités du donneur appropriées dans le réfrigérateur</w:t>
      </w:r>
      <w:r w:rsidR="003A3135" w:rsidRPr="00907AA7">
        <w:rPr>
          <w:rFonts w:ascii="Arial" w:hAnsi="Arial"/>
          <w:sz w:val="24"/>
          <w:lang w:val="fr-CA"/>
        </w:rPr>
        <w:t xml:space="preserve">.  </w:t>
      </w:r>
      <w:r w:rsidR="001416A4" w:rsidRPr="00907AA7">
        <w:rPr>
          <w:rFonts w:ascii="Arial" w:hAnsi="Arial"/>
          <w:sz w:val="24"/>
          <w:lang w:val="fr-CA"/>
        </w:rPr>
        <w:t xml:space="preserve">Voir CCP.001 - Choix des composants sanguins à transfuser.  </w:t>
      </w:r>
      <w:r w:rsidR="004E39BE">
        <w:rPr>
          <w:rFonts w:ascii="Arial" w:hAnsi="Arial"/>
          <w:sz w:val="24"/>
          <w:lang w:val="fr-CA"/>
        </w:rPr>
        <w:t>Choisir d</w:t>
      </w:r>
      <w:r w:rsidR="001416A4" w:rsidRPr="00907AA7">
        <w:rPr>
          <w:rFonts w:ascii="Arial" w:hAnsi="Arial"/>
          <w:sz w:val="24"/>
          <w:lang w:val="fr-CA"/>
        </w:rPr>
        <w:t>es unités qui n</w:t>
      </w:r>
      <w:r w:rsidR="004E39BE">
        <w:rPr>
          <w:rFonts w:ascii="Arial" w:hAnsi="Arial"/>
          <w:sz w:val="24"/>
          <w:lang w:val="fr-CA"/>
        </w:rPr>
        <w:t>e seront pas périmées le</w:t>
      </w:r>
      <w:r w:rsidR="001416A4" w:rsidRPr="00907AA7">
        <w:rPr>
          <w:rFonts w:ascii="Arial" w:hAnsi="Arial"/>
          <w:sz w:val="24"/>
          <w:lang w:val="fr-CA"/>
        </w:rPr>
        <w:t xml:space="preserve"> jour </w:t>
      </w:r>
      <w:r w:rsidRPr="00907AA7">
        <w:rPr>
          <w:rFonts w:ascii="Arial" w:hAnsi="Arial"/>
          <w:sz w:val="24"/>
          <w:lang w:val="fr-CA"/>
        </w:rPr>
        <w:t xml:space="preserve">prévu pour la </w:t>
      </w:r>
      <w:r w:rsidR="001416A4" w:rsidRPr="00907AA7">
        <w:rPr>
          <w:rFonts w:ascii="Arial" w:hAnsi="Arial"/>
          <w:sz w:val="24"/>
          <w:lang w:val="fr-CA"/>
        </w:rPr>
        <w:t>chirurgie ou la transfusion.</w:t>
      </w:r>
    </w:p>
    <w:p w:rsidR="003A3135" w:rsidRPr="00907AA7" w:rsidRDefault="001D485F">
      <w:pPr>
        <w:numPr>
          <w:ilvl w:val="1"/>
          <w:numId w:val="2"/>
        </w:numPr>
        <w:rPr>
          <w:rFonts w:ascii="Arial" w:hAnsi="Arial"/>
          <w:sz w:val="24"/>
          <w:lang w:val="fr-CA"/>
        </w:rPr>
      </w:pPr>
      <w:r w:rsidRPr="00907AA7">
        <w:rPr>
          <w:rFonts w:ascii="Arial" w:hAnsi="Arial"/>
          <w:sz w:val="24"/>
          <w:lang w:val="fr-CA"/>
        </w:rPr>
        <w:t>Inspecter visuellement chaque unité de donneur</w:t>
      </w:r>
      <w:r w:rsidR="003A3135" w:rsidRPr="00907AA7">
        <w:rPr>
          <w:rFonts w:ascii="Arial" w:hAnsi="Arial"/>
          <w:sz w:val="24"/>
          <w:lang w:val="fr-CA"/>
        </w:rPr>
        <w:t xml:space="preserve">.  </w:t>
      </w:r>
      <w:r w:rsidR="001416A4" w:rsidRPr="00907AA7">
        <w:rPr>
          <w:rFonts w:ascii="Arial" w:hAnsi="Arial"/>
          <w:sz w:val="24"/>
          <w:lang w:val="fr-CA"/>
        </w:rPr>
        <w:t>Voir GI.003 - Inspection visuelle du sang, des composants sanguins et des produits de fractionnement.</w:t>
      </w:r>
    </w:p>
    <w:p w:rsidR="003A3135" w:rsidRPr="00907AA7" w:rsidRDefault="003A3135">
      <w:pPr>
        <w:ind w:left="720"/>
        <w:rPr>
          <w:rFonts w:ascii="Arial" w:hAnsi="Arial"/>
          <w:sz w:val="24"/>
          <w:lang w:val="fr-CA"/>
        </w:rPr>
      </w:pPr>
    </w:p>
    <w:p w:rsidR="003A3135" w:rsidRPr="00907AA7" w:rsidRDefault="001416A4">
      <w:pPr>
        <w:numPr>
          <w:ilvl w:val="1"/>
          <w:numId w:val="2"/>
        </w:numPr>
        <w:rPr>
          <w:rFonts w:ascii="Arial" w:hAnsi="Arial"/>
          <w:sz w:val="24"/>
          <w:lang w:val="fr-CA"/>
        </w:rPr>
      </w:pPr>
      <w:r w:rsidRPr="00907AA7">
        <w:rPr>
          <w:rFonts w:ascii="Arial" w:hAnsi="Arial"/>
          <w:sz w:val="24"/>
          <w:lang w:val="fr-CA"/>
        </w:rPr>
        <w:t>Organiser les unités d</w:t>
      </w:r>
      <w:r w:rsidR="00227B87">
        <w:rPr>
          <w:rFonts w:ascii="Arial" w:hAnsi="Arial"/>
          <w:sz w:val="24"/>
          <w:lang w:val="fr-CA"/>
        </w:rPr>
        <w:t>e</w:t>
      </w:r>
      <w:r w:rsidRPr="00907AA7">
        <w:rPr>
          <w:rFonts w:ascii="Arial" w:hAnsi="Arial"/>
          <w:sz w:val="24"/>
          <w:lang w:val="fr-CA"/>
        </w:rPr>
        <w:t xml:space="preserve"> donneur</w:t>
      </w:r>
      <w:r w:rsidR="00227B87">
        <w:rPr>
          <w:rFonts w:ascii="Arial" w:hAnsi="Arial"/>
          <w:sz w:val="24"/>
          <w:lang w:val="fr-CA"/>
        </w:rPr>
        <w:t>s</w:t>
      </w:r>
      <w:r w:rsidRPr="00907AA7">
        <w:rPr>
          <w:rFonts w:ascii="Arial" w:hAnsi="Arial"/>
          <w:sz w:val="24"/>
          <w:lang w:val="fr-CA"/>
        </w:rPr>
        <w:t xml:space="preserve"> par ordre chronologique, la plus vieille en avant.</w:t>
      </w:r>
    </w:p>
    <w:p w:rsidR="003A3135" w:rsidRPr="00907AA7" w:rsidRDefault="003A3135">
      <w:pPr>
        <w:ind w:left="720"/>
        <w:rPr>
          <w:rFonts w:ascii="Arial" w:hAnsi="Arial"/>
          <w:sz w:val="24"/>
          <w:lang w:val="fr-CA"/>
        </w:rPr>
      </w:pPr>
    </w:p>
    <w:p w:rsidR="003A3135" w:rsidRPr="00907AA7" w:rsidRDefault="001D485F">
      <w:pPr>
        <w:numPr>
          <w:ilvl w:val="1"/>
          <w:numId w:val="2"/>
        </w:numPr>
        <w:rPr>
          <w:rFonts w:ascii="Arial" w:hAnsi="Arial"/>
          <w:sz w:val="24"/>
          <w:lang w:val="fr-CA"/>
        </w:rPr>
      </w:pPr>
      <w:r w:rsidRPr="00907AA7">
        <w:rPr>
          <w:rFonts w:ascii="Arial" w:hAnsi="Arial"/>
          <w:sz w:val="24"/>
          <w:lang w:val="fr-CA"/>
        </w:rPr>
        <w:t>Inscrire le numéro de l’unité du donneur, incluant le code de contrôle et le code de l’établissement de collecte, la date de collecte, la date de péremption ainsi que le groupe ABO et le facteur Rh</w:t>
      </w:r>
      <w:r w:rsidR="003A3135" w:rsidRPr="00907AA7">
        <w:rPr>
          <w:rFonts w:ascii="Arial" w:hAnsi="Arial"/>
          <w:sz w:val="24"/>
          <w:lang w:val="fr-CA"/>
        </w:rPr>
        <w:t xml:space="preserve">, </w:t>
      </w:r>
      <w:r w:rsidRPr="00907AA7">
        <w:rPr>
          <w:rFonts w:ascii="Arial" w:hAnsi="Arial"/>
          <w:sz w:val="24"/>
          <w:lang w:val="fr-CA"/>
        </w:rPr>
        <w:t>à partir de l’unité sur le formulaire de demande ou numériser l’information dans l’ordinateur à l’aide d’un lecteur de code</w:t>
      </w:r>
      <w:r w:rsidR="00907AA7">
        <w:rPr>
          <w:rFonts w:ascii="Arial" w:hAnsi="Arial"/>
          <w:sz w:val="24"/>
          <w:lang w:val="fr-CA"/>
        </w:rPr>
        <w:t xml:space="preserve"> à </w:t>
      </w:r>
      <w:r w:rsidRPr="00907AA7">
        <w:rPr>
          <w:rFonts w:ascii="Arial" w:hAnsi="Arial"/>
          <w:sz w:val="24"/>
          <w:lang w:val="fr-CA"/>
        </w:rPr>
        <w:t>barre</w:t>
      </w:r>
      <w:r w:rsidR="00907AA7">
        <w:rPr>
          <w:rFonts w:ascii="Arial" w:hAnsi="Arial"/>
          <w:sz w:val="24"/>
          <w:lang w:val="fr-CA"/>
        </w:rPr>
        <w:t>s</w:t>
      </w:r>
      <w:r w:rsidR="003A3135" w:rsidRPr="00907AA7">
        <w:rPr>
          <w:rFonts w:ascii="Arial" w:hAnsi="Arial"/>
          <w:sz w:val="24"/>
          <w:lang w:val="fr-CA"/>
        </w:rPr>
        <w:t>.</w:t>
      </w:r>
    </w:p>
    <w:p w:rsidR="003A3135" w:rsidRPr="003A3135" w:rsidRDefault="003A3135">
      <w:pPr>
        <w:ind w:left="720"/>
        <w:rPr>
          <w:rFonts w:ascii="Arial" w:hAnsi="Arial"/>
          <w:sz w:val="24"/>
          <w:lang w:val="fr-CA"/>
        </w:rPr>
      </w:pPr>
    </w:p>
    <w:p w:rsidR="003A3135" w:rsidRPr="003A3135" w:rsidRDefault="0029476F">
      <w:pPr>
        <w:numPr>
          <w:ilvl w:val="1"/>
          <w:numId w:val="2"/>
        </w:numPr>
        <w:rPr>
          <w:rFonts w:ascii="Arial" w:hAnsi="Arial"/>
          <w:sz w:val="24"/>
          <w:lang w:val="fr-CA"/>
        </w:rPr>
      </w:pPr>
      <w:r>
        <w:rPr>
          <w:rFonts w:ascii="Arial" w:hAnsi="Arial"/>
          <w:sz w:val="24"/>
          <w:lang w:val="fr-CA"/>
        </w:rPr>
        <w:t xml:space="preserve">Ôter deux collants de l’unité et en attacher un sur chacun des 2 tubes à essai. S’il n’y a pas de collant, copier le numéro complet du donneur sur le premier tube et les 4 derniers chiffres du numéro de donneur sur le </w:t>
      </w:r>
      <w:r w:rsidR="00E747C5">
        <w:rPr>
          <w:rFonts w:ascii="Arial" w:hAnsi="Arial"/>
          <w:sz w:val="24"/>
          <w:lang w:val="fr-CA"/>
        </w:rPr>
        <w:t xml:space="preserve">deuxième </w:t>
      </w:r>
      <w:r>
        <w:rPr>
          <w:rFonts w:ascii="Arial" w:hAnsi="Arial"/>
          <w:sz w:val="24"/>
          <w:lang w:val="fr-CA"/>
        </w:rPr>
        <w:t>tube</w:t>
      </w:r>
      <w:r w:rsidR="003A3135" w:rsidRPr="003A3135">
        <w:rPr>
          <w:rFonts w:ascii="Arial" w:hAnsi="Arial"/>
          <w:sz w:val="24"/>
          <w:lang w:val="fr-CA"/>
        </w:rPr>
        <w:t>.</w:t>
      </w:r>
    </w:p>
    <w:p w:rsidR="003A3135" w:rsidRPr="003A3135" w:rsidRDefault="003A3135">
      <w:pPr>
        <w:rPr>
          <w:rFonts w:ascii="Arial" w:hAnsi="Arial"/>
          <w:sz w:val="24"/>
          <w:lang w:val="fr-CA"/>
        </w:rPr>
      </w:pPr>
    </w:p>
    <w:p w:rsidR="003A3135" w:rsidRPr="003A3135" w:rsidRDefault="003A3135">
      <w:pPr>
        <w:numPr>
          <w:ilvl w:val="1"/>
          <w:numId w:val="2"/>
        </w:numPr>
        <w:rPr>
          <w:rFonts w:ascii="Arial" w:hAnsi="Arial"/>
          <w:sz w:val="24"/>
          <w:lang w:val="fr-CA"/>
        </w:rPr>
      </w:pPr>
      <w:r w:rsidRPr="003A3135">
        <w:rPr>
          <w:rFonts w:ascii="Arial" w:hAnsi="Arial"/>
          <w:sz w:val="24"/>
          <w:lang w:val="fr-CA"/>
        </w:rPr>
        <w:t>D</w:t>
      </w:r>
      <w:r w:rsidR="009D0594">
        <w:rPr>
          <w:rFonts w:ascii="Arial" w:hAnsi="Arial"/>
          <w:sz w:val="24"/>
          <w:lang w:val="fr-CA"/>
        </w:rPr>
        <w:t>étacher un segment de l’unité et le placer dans un des tubes étiquetés</w:t>
      </w:r>
      <w:r w:rsidRPr="003A3135">
        <w:rPr>
          <w:rFonts w:ascii="Arial" w:hAnsi="Arial"/>
          <w:sz w:val="24"/>
          <w:lang w:val="fr-CA"/>
        </w:rPr>
        <w:t>.</w:t>
      </w:r>
    </w:p>
    <w:p w:rsidR="003A3135" w:rsidRPr="003A3135" w:rsidRDefault="003A3135">
      <w:pPr>
        <w:ind w:left="720"/>
        <w:rPr>
          <w:rFonts w:ascii="Arial" w:hAnsi="Arial"/>
          <w:sz w:val="24"/>
          <w:lang w:val="fr-CA"/>
        </w:rPr>
      </w:pPr>
    </w:p>
    <w:p w:rsidR="003A3135" w:rsidRPr="009D0594" w:rsidRDefault="009D0594">
      <w:pPr>
        <w:numPr>
          <w:ilvl w:val="1"/>
          <w:numId w:val="2"/>
        </w:numPr>
        <w:rPr>
          <w:rFonts w:ascii="Arial" w:hAnsi="Arial"/>
          <w:sz w:val="24"/>
          <w:lang w:val="fr-CA"/>
        </w:rPr>
      </w:pPr>
      <w:r w:rsidRPr="009D0594">
        <w:rPr>
          <w:rFonts w:ascii="Arial" w:hAnsi="Arial"/>
          <w:sz w:val="24"/>
          <w:lang w:val="fr-CA"/>
        </w:rPr>
        <w:t xml:space="preserve">Reprendre les étapes </w:t>
      </w:r>
      <w:r w:rsidR="003A3135" w:rsidRPr="009D0594">
        <w:rPr>
          <w:rFonts w:ascii="Arial" w:hAnsi="Arial"/>
          <w:sz w:val="24"/>
          <w:lang w:val="fr-CA"/>
        </w:rPr>
        <w:t xml:space="preserve">6.8 </w:t>
      </w:r>
      <w:r w:rsidRPr="009D0594">
        <w:rPr>
          <w:rFonts w:ascii="Arial" w:hAnsi="Arial"/>
          <w:sz w:val="24"/>
          <w:lang w:val="fr-CA"/>
        </w:rPr>
        <w:t>et</w:t>
      </w:r>
      <w:r w:rsidR="003A3135" w:rsidRPr="009D0594">
        <w:rPr>
          <w:rFonts w:ascii="Arial" w:hAnsi="Arial"/>
          <w:sz w:val="24"/>
          <w:lang w:val="fr-CA"/>
        </w:rPr>
        <w:t xml:space="preserve"> 6.9 </w:t>
      </w:r>
      <w:r w:rsidRPr="009D0594">
        <w:rPr>
          <w:rFonts w:ascii="Arial" w:hAnsi="Arial"/>
          <w:sz w:val="24"/>
          <w:lang w:val="fr-CA"/>
        </w:rPr>
        <w:t xml:space="preserve">pour chaque autre unité faisant l’objet d’une </w:t>
      </w:r>
      <w:r w:rsidR="004E39BE">
        <w:rPr>
          <w:rFonts w:ascii="Arial" w:hAnsi="Arial"/>
          <w:sz w:val="24"/>
          <w:lang w:val="fr-CA"/>
        </w:rPr>
        <w:t xml:space="preserve">épreuve </w:t>
      </w:r>
      <w:r w:rsidRPr="009D0594">
        <w:rPr>
          <w:rFonts w:ascii="Arial" w:hAnsi="Arial"/>
          <w:sz w:val="24"/>
          <w:lang w:val="fr-CA"/>
        </w:rPr>
        <w:t>de comptabilité</w:t>
      </w:r>
      <w:r w:rsidR="003A3135" w:rsidRPr="009D0594">
        <w:rPr>
          <w:rFonts w:ascii="Arial" w:hAnsi="Arial"/>
          <w:sz w:val="24"/>
          <w:lang w:val="fr-CA"/>
        </w:rPr>
        <w:t>.</w:t>
      </w:r>
    </w:p>
    <w:p w:rsidR="003A3135" w:rsidRPr="009D0594" w:rsidRDefault="003A3135">
      <w:pPr>
        <w:ind w:left="720"/>
        <w:rPr>
          <w:rFonts w:ascii="Arial" w:hAnsi="Arial"/>
          <w:sz w:val="24"/>
          <w:lang w:val="fr-CA"/>
        </w:rPr>
      </w:pPr>
    </w:p>
    <w:p w:rsidR="003A3135" w:rsidRPr="009D0594" w:rsidRDefault="003A3135">
      <w:pPr>
        <w:numPr>
          <w:ilvl w:val="1"/>
          <w:numId w:val="2"/>
        </w:numPr>
        <w:rPr>
          <w:rFonts w:ascii="Arial" w:hAnsi="Arial"/>
          <w:sz w:val="24"/>
          <w:lang w:val="fr-CA"/>
        </w:rPr>
      </w:pPr>
      <w:r w:rsidRPr="009D0594">
        <w:rPr>
          <w:rFonts w:ascii="Arial" w:hAnsi="Arial"/>
          <w:sz w:val="24"/>
          <w:lang w:val="fr-CA"/>
        </w:rPr>
        <w:t>Re</w:t>
      </w:r>
      <w:r w:rsidR="009D0594" w:rsidRPr="009D0594">
        <w:rPr>
          <w:rFonts w:ascii="Arial" w:hAnsi="Arial"/>
          <w:sz w:val="24"/>
          <w:lang w:val="fr-CA"/>
        </w:rPr>
        <w:t>mettre la ou les unités de donne</w:t>
      </w:r>
      <w:r w:rsidR="00E32929">
        <w:rPr>
          <w:rFonts w:ascii="Arial" w:hAnsi="Arial"/>
          <w:sz w:val="24"/>
          <w:lang w:val="fr-CA"/>
        </w:rPr>
        <w:t>u</w:t>
      </w:r>
      <w:r w:rsidR="009D0594" w:rsidRPr="009D0594">
        <w:rPr>
          <w:rFonts w:ascii="Arial" w:hAnsi="Arial"/>
          <w:sz w:val="24"/>
          <w:lang w:val="fr-CA"/>
        </w:rPr>
        <w:t>r dans le réfrigérateur d’entreposage des produits sanguins</w:t>
      </w:r>
      <w:r w:rsidRPr="009D0594">
        <w:rPr>
          <w:rFonts w:ascii="Arial" w:hAnsi="Arial"/>
          <w:sz w:val="24"/>
          <w:lang w:val="fr-CA"/>
        </w:rPr>
        <w:t>.</w:t>
      </w:r>
    </w:p>
    <w:p w:rsidR="003A3135" w:rsidRPr="003A3135" w:rsidRDefault="003A3135">
      <w:pPr>
        <w:ind w:left="720"/>
        <w:rPr>
          <w:rFonts w:ascii="Arial" w:hAnsi="Arial"/>
          <w:sz w:val="24"/>
          <w:lang w:val="fr-CA"/>
        </w:rPr>
      </w:pPr>
    </w:p>
    <w:p w:rsidR="003A3135" w:rsidRPr="003A3135" w:rsidRDefault="009D0594">
      <w:pPr>
        <w:numPr>
          <w:ilvl w:val="1"/>
          <w:numId w:val="2"/>
        </w:numPr>
        <w:rPr>
          <w:rFonts w:ascii="Arial" w:hAnsi="Arial"/>
          <w:sz w:val="24"/>
          <w:lang w:val="fr-CA"/>
        </w:rPr>
      </w:pPr>
      <w:r>
        <w:rPr>
          <w:rFonts w:ascii="Arial" w:hAnsi="Arial"/>
          <w:sz w:val="24"/>
          <w:lang w:val="fr-CA"/>
        </w:rPr>
        <w:t>P</w:t>
      </w:r>
      <w:r w:rsidRPr="009D0594">
        <w:rPr>
          <w:rFonts w:ascii="Arial" w:hAnsi="Arial"/>
          <w:sz w:val="24"/>
          <w:lang w:val="fr-CA"/>
        </w:rPr>
        <w:t>réparer une suspension cellulaire à 3 %</w:t>
      </w:r>
      <w:r>
        <w:rPr>
          <w:rFonts w:ascii="Arial" w:hAnsi="Arial"/>
          <w:sz w:val="24"/>
          <w:lang w:val="fr-CA"/>
        </w:rPr>
        <w:t xml:space="preserve"> de chaque segment d’unité</w:t>
      </w:r>
      <w:r w:rsidR="003A3135" w:rsidRPr="003A3135">
        <w:rPr>
          <w:rFonts w:ascii="Arial" w:hAnsi="Arial"/>
          <w:sz w:val="24"/>
          <w:lang w:val="fr-CA"/>
        </w:rPr>
        <w:t>.</w:t>
      </w:r>
    </w:p>
    <w:p w:rsidR="003A3135" w:rsidRPr="003A3135" w:rsidRDefault="003A3135">
      <w:pPr>
        <w:ind w:left="720"/>
        <w:rPr>
          <w:rFonts w:ascii="Arial" w:hAnsi="Arial"/>
          <w:sz w:val="24"/>
          <w:lang w:val="fr-CA"/>
        </w:rPr>
      </w:pPr>
    </w:p>
    <w:p w:rsidR="003A3135" w:rsidRPr="003A3135" w:rsidRDefault="009D0594">
      <w:pPr>
        <w:numPr>
          <w:ilvl w:val="2"/>
          <w:numId w:val="2"/>
        </w:numPr>
        <w:rPr>
          <w:rFonts w:ascii="Arial" w:hAnsi="Arial"/>
          <w:sz w:val="24"/>
          <w:lang w:val="fr-CA"/>
        </w:rPr>
      </w:pPr>
      <w:r>
        <w:rPr>
          <w:rFonts w:ascii="Arial" w:hAnsi="Arial"/>
          <w:sz w:val="24"/>
          <w:lang w:val="fr-CA"/>
        </w:rPr>
        <w:t xml:space="preserve">Récolter des cellules du segment à l’aide du </w:t>
      </w:r>
      <w:r w:rsidR="00E747C5">
        <w:rPr>
          <w:rFonts w:ascii="Arial" w:hAnsi="Arial"/>
          <w:sz w:val="24"/>
          <w:lang w:val="fr-CA"/>
        </w:rPr>
        <w:t>dispositif à segment</w:t>
      </w:r>
      <w:r w:rsidR="003A3135" w:rsidRPr="003A3135">
        <w:rPr>
          <w:rFonts w:ascii="Arial" w:hAnsi="Arial"/>
          <w:sz w:val="24"/>
          <w:lang w:val="fr-CA"/>
        </w:rPr>
        <w:t xml:space="preserve">. </w:t>
      </w:r>
      <w:r w:rsidR="001416A4" w:rsidRPr="00C179BC">
        <w:rPr>
          <w:rFonts w:ascii="Arial" w:hAnsi="Arial"/>
          <w:sz w:val="24"/>
          <w:lang w:val="fr-CA"/>
        </w:rPr>
        <w:t xml:space="preserve">Voir </w:t>
      </w:r>
      <w:r>
        <w:rPr>
          <w:rFonts w:ascii="Arial" w:hAnsi="Arial"/>
          <w:sz w:val="24"/>
          <w:lang w:val="fr-CA"/>
        </w:rPr>
        <w:t>R</w:t>
      </w:r>
      <w:r w:rsidR="001416A4" w:rsidRPr="00C179BC">
        <w:rPr>
          <w:rFonts w:ascii="Arial" w:hAnsi="Arial"/>
          <w:sz w:val="24"/>
          <w:lang w:val="fr-CA"/>
        </w:rPr>
        <w:t>emarques 8.1 et 8.2.</w:t>
      </w:r>
    </w:p>
    <w:p w:rsidR="003A3135" w:rsidRPr="003A3135" w:rsidRDefault="003A3135">
      <w:pPr>
        <w:ind w:left="1440"/>
        <w:rPr>
          <w:rFonts w:ascii="Arial" w:hAnsi="Arial"/>
          <w:sz w:val="24"/>
          <w:lang w:val="fr-CA"/>
        </w:rPr>
      </w:pPr>
    </w:p>
    <w:p w:rsidR="003A3135" w:rsidRPr="009D0594" w:rsidRDefault="009D0594">
      <w:pPr>
        <w:numPr>
          <w:ilvl w:val="2"/>
          <w:numId w:val="2"/>
        </w:numPr>
        <w:rPr>
          <w:rFonts w:ascii="Arial" w:hAnsi="Arial"/>
          <w:sz w:val="24"/>
          <w:lang w:val="fr-CA"/>
        </w:rPr>
      </w:pPr>
      <w:r w:rsidRPr="009D0594">
        <w:rPr>
          <w:rFonts w:ascii="Arial" w:hAnsi="Arial"/>
          <w:sz w:val="24"/>
          <w:lang w:val="fr-CA"/>
        </w:rPr>
        <w:t xml:space="preserve">Ajouter de </w:t>
      </w:r>
      <w:r w:rsidR="003A3135" w:rsidRPr="009D0594">
        <w:rPr>
          <w:rFonts w:ascii="Arial" w:hAnsi="Arial"/>
          <w:sz w:val="24"/>
          <w:lang w:val="fr-CA"/>
        </w:rPr>
        <w:t>0</w:t>
      </w:r>
      <w:r w:rsidRPr="009D0594">
        <w:rPr>
          <w:rFonts w:ascii="Arial" w:hAnsi="Arial"/>
          <w:sz w:val="24"/>
          <w:lang w:val="fr-CA"/>
        </w:rPr>
        <w:t>,</w:t>
      </w:r>
      <w:r w:rsidR="003A3135" w:rsidRPr="009D0594">
        <w:rPr>
          <w:rFonts w:ascii="Arial" w:hAnsi="Arial"/>
          <w:sz w:val="24"/>
          <w:lang w:val="fr-CA"/>
        </w:rPr>
        <w:t xml:space="preserve">5 </w:t>
      </w:r>
      <w:r w:rsidRPr="009D0594">
        <w:rPr>
          <w:rFonts w:ascii="Arial" w:hAnsi="Arial"/>
          <w:sz w:val="24"/>
          <w:lang w:val="fr-CA"/>
        </w:rPr>
        <w:t xml:space="preserve">à </w:t>
      </w:r>
      <w:r w:rsidR="003A3135" w:rsidRPr="009D0594">
        <w:rPr>
          <w:rFonts w:ascii="Arial" w:hAnsi="Arial"/>
          <w:sz w:val="24"/>
          <w:lang w:val="fr-CA"/>
        </w:rPr>
        <w:t>1</w:t>
      </w:r>
      <w:r w:rsidRPr="009D0594">
        <w:rPr>
          <w:rFonts w:ascii="Arial" w:hAnsi="Arial"/>
          <w:sz w:val="24"/>
          <w:lang w:val="fr-CA"/>
        </w:rPr>
        <w:t>,</w:t>
      </w:r>
      <w:r w:rsidR="003A3135" w:rsidRPr="009D0594">
        <w:rPr>
          <w:rFonts w:ascii="Arial" w:hAnsi="Arial"/>
          <w:sz w:val="24"/>
          <w:lang w:val="fr-CA"/>
        </w:rPr>
        <w:t xml:space="preserve">0mL </w:t>
      </w:r>
      <w:r w:rsidRPr="009D0594">
        <w:rPr>
          <w:rFonts w:ascii="Arial" w:hAnsi="Arial"/>
          <w:sz w:val="24"/>
          <w:lang w:val="fr-CA"/>
        </w:rPr>
        <w:t>de solution s</w:t>
      </w:r>
      <w:r w:rsidR="003A3135" w:rsidRPr="009D0594">
        <w:rPr>
          <w:rFonts w:ascii="Arial" w:hAnsi="Arial"/>
          <w:sz w:val="24"/>
          <w:lang w:val="fr-CA"/>
        </w:rPr>
        <w:t xml:space="preserve">aline </w:t>
      </w:r>
      <w:r w:rsidRPr="009D0594">
        <w:rPr>
          <w:rFonts w:ascii="Arial" w:hAnsi="Arial"/>
          <w:sz w:val="24"/>
          <w:lang w:val="fr-CA"/>
        </w:rPr>
        <w:t xml:space="preserve">pour remettre en suspension à </w:t>
      </w:r>
      <w:r w:rsidR="008564FC">
        <w:rPr>
          <w:rFonts w:ascii="Arial" w:hAnsi="Arial"/>
          <w:sz w:val="24"/>
          <w:lang w:val="fr-CA"/>
        </w:rPr>
        <w:t>3 </w:t>
      </w:r>
      <w:r w:rsidR="003A3135" w:rsidRPr="009D0594">
        <w:rPr>
          <w:rFonts w:ascii="Arial" w:hAnsi="Arial"/>
          <w:sz w:val="24"/>
          <w:lang w:val="fr-CA"/>
        </w:rPr>
        <w:t>%.</w:t>
      </w:r>
    </w:p>
    <w:p w:rsidR="003A3135" w:rsidRPr="003A3135" w:rsidRDefault="003A3135">
      <w:pPr>
        <w:ind w:left="1440"/>
        <w:rPr>
          <w:rFonts w:ascii="Arial" w:hAnsi="Arial"/>
          <w:sz w:val="24"/>
          <w:lang w:val="fr-CA"/>
        </w:rPr>
      </w:pPr>
    </w:p>
    <w:p w:rsidR="003A3135" w:rsidRPr="009D0594" w:rsidRDefault="009D0594">
      <w:pPr>
        <w:numPr>
          <w:ilvl w:val="2"/>
          <w:numId w:val="2"/>
        </w:numPr>
        <w:rPr>
          <w:rFonts w:ascii="Arial" w:hAnsi="Arial"/>
          <w:sz w:val="24"/>
          <w:lang w:val="fr-CA"/>
        </w:rPr>
      </w:pPr>
      <w:r w:rsidRPr="009D0594">
        <w:rPr>
          <w:rFonts w:ascii="Arial" w:hAnsi="Arial"/>
          <w:sz w:val="24"/>
          <w:lang w:val="fr-CA"/>
        </w:rPr>
        <w:t>Comparer la suspension finale à une suspension cellulaire commerciale à 3 % et ajuster au besoin la concentration de la suspension.</w:t>
      </w:r>
      <w:r w:rsidR="003A3135" w:rsidRPr="009D0594">
        <w:rPr>
          <w:rFonts w:ascii="Arial" w:hAnsi="Arial"/>
          <w:sz w:val="24"/>
          <w:lang w:val="fr-CA"/>
        </w:rPr>
        <w:t xml:space="preserve"> </w:t>
      </w:r>
    </w:p>
    <w:p w:rsidR="003A3135" w:rsidRPr="009D0594" w:rsidRDefault="003A3135">
      <w:pPr>
        <w:ind w:left="1440"/>
        <w:rPr>
          <w:rFonts w:ascii="Arial" w:hAnsi="Arial"/>
          <w:sz w:val="24"/>
          <w:lang w:val="fr-CA"/>
        </w:rPr>
      </w:pPr>
    </w:p>
    <w:p w:rsidR="003A3135" w:rsidRPr="003A3135" w:rsidRDefault="003A3135">
      <w:pPr>
        <w:numPr>
          <w:ilvl w:val="2"/>
          <w:numId w:val="2"/>
        </w:numPr>
        <w:rPr>
          <w:rFonts w:ascii="Arial" w:hAnsi="Arial"/>
          <w:sz w:val="24"/>
          <w:lang w:val="fr-CA"/>
        </w:rPr>
      </w:pPr>
      <w:r w:rsidRPr="009D0594">
        <w:rPr>
          <w:rFonts w:ascii="Arial" w:hAnsi="Arial"/>
          <w:sz w:val="24"/>
          <w:lang w:val="fr-CA"/>
        </w:rPr>
        <w:t>Place</w:t>
      </w:r>
      <w:r w:rsidR="009D0594" w:rsidRPr="009D0594">
        <w:rPr>
          <w:rFonts w:ascii="Arial" w:hAnsi="Arial"/>
          <w:sz w:val="24"/>
          <w:lang w:val="fr-CA"/>
        </w:rPr>
        <w:t>r les tubes à essai dans le support à côté des tubes étiquetés de la même façon et dans le même ordre, conformément à ce qui est inscrit sur l</w:t>
      </w:r>
      <w:r w:rsidR="004D4329">
        <w:rPr>
          <w:rFonts w:ascii="Arial" w:hAnsi="Arial"/>
          <w:sz w:val="24"/>
          <w:lang w:val="fr-CA"/>
        </w:rPr>
        <w:t>e formulaire de d</w:t>
      </w:r>
      <w:r w:rsidR="001416A4" w:rsidRPr="009D0594">
        <w:rPr>
          <w:rFonts w:ascii="Arial" w:hAnsi="Arial"/>
          <w:color w:val="000000"/>
          <w:sz w:val="24"/>
          <w:lang w:val="fr-CA"/>
        </w:rPr>
        <w:t>emande</w:t>
      </w:r>
      <w:r w:rsidR="001416A4" w:rsidRPr="00C179BC">
        <w:rPr>
          <w:rFonts w:ascii="Arial" w:hAnsi="Arial"/>
          <w:color w:val="000000"/>
          <w:sz w:val="24"/>
          <w:lang w:val="fr-CA"/>
        </w:rPr>
        <w:t>.</w:t>
      </w:r>
    </w:p>
    <w:p w:rsidR="003A3135" w:rsidRPr="003A3135" w:rsidRDefault="00C103F9">
      <w:pPr>
        <w:numPr>
          <w:ilvl w:val="1"/>
          <w:numId w:val="2"/>
        </w:numPr>
        <w:rPr>
          <w:rFonts w:ascii="Arial" w:hAnsi="Arial"/>
          <w:sz w:val="24"/>
          <w:lang w:val="fr-CA"/>
        </w:rPr>
      </w:pPr>
      <w:r w:rsidRPr="00C103F9">
        <w:rPr>
          <w:rFonts w:ascii="Arial" w:hAnsi="Arial"/>
          <w:sz w:val="24"/>
          <w:lang w:val="fr-CA"/>
        </w:rPr>
        <w:t>Comparer le nom et le numéro d’identification du patient sur tous les échantillons avec les renseignements correspondants du formulaire de demande ou à l’écran de l’ordinateur.</w:t>
      </w:r>
      <w:r w:rsidRPr="00C103F9">
        <w:rPr>
          <w:rFonts w:ascii="Arial" w:hAnsi="Arial"/>
          <w:sz w:val="24"/>
          <w:highlight w:val="yellow"/>
          <w:lang w:val="fr-CA"/>
        </w:rPr>
        <w:t xml:space="preserve"> </w:t>
      </w:r>
    </w:p>
    <w:p w:rsidR="003A3135" w:rsidRPr="003A3135" w:rsidRDefault="003A3135">
      <w:pPr>
        <w:ind w:left="720"/>
        <w:rPr>
          <w:rFonts w:ascii="Arial" w:hAnsi="Arial"/>
          <w:sz w:val="24"/>
          <w:lang w:val="fr-CA"/>
        </w:rPr>
      </w:pPr>
    </w:p>
    <w:p w:rsidR="003A3135" w:rsidRPr="00DB7755" w:rsidRDefault="009D0594">
      <w:pPr>
        <w:numPr>
          <w:ilvl w:val="1"/>
          <w:numId w:val="2"/>
        </w:numPr>
        <w:rPr>
          <w:rFonts w:ascii="Arial" w:hAnsi="Arial"/>
          <w:sz w:val="24"/>
          <w:lang w:val="fr-CA"/>
        </w:rPr>
      </w:pPr>
      <w:r w:rsidRPr="00DB7755">
        <w:rPr>
          <w:rFonts w:ascii="Arial" w:hAnsi="Arial"/>
          <w:sz w:val="24"/>
          <w:lang w:val="fr-CA"/>
        </w:rPr>
        <w:t xml:space="preserve">À chaque tube étiqueté à tester, </w:t>
      </w:r>
      <w:r w:rsidR="008564FC">
        <w:rPr>
          <w:rFonts w:ascii="Arial" w:hAnsi="Arial"/>
          <w:sz w:val="24"/>
          <w:lang w:val="fr-CA"/>
        </w:rPr>
        <w:t>ajouter </w:t>
      </w:r>
      <w:r w:rsidR="003A3135" w:rsidRPr="00DB7755">
        <w:rPr>
          <w:rFonts w:ascii="Arial" w:hAnsi="Arial"/>
          <w:sz w:val="24"/>
          <w:lang w:val="fr-CA"/>
        </w:rPr>
        <w:t>:</w:t>
      </w:r>
    </w:p>
    <w:p w:rsidR="003A3135" w:rsidRPr="00DB7755" w:rsidRDefault="003A3135">
      <w:pPr>
        <w:ind w:left="720"/>
        <w:rPr>
          <w:rFonts w:ascii="Arial" w:hAnsi="Arial"/>
          <w:sz w:val="24"/>
          <w:lang w:val="fr-CA"/>
        </w:rPr>
      </w:pPr>
    </w:p>
    <w:p w:rsidR="003A3135" w:rsidRPr="00DB7755" w:rsidRDefault="004D4329">
      <w:pPr>
        <w:numPr>
          <w:ilvl w:val="2"/>
          <w:numId w:val="2"/>
        </w:numPr>
        <w:rPr>
          <w:rFonts w:ascii="Arial" w:hAnsi="Arial"/>
          <w:sz w:val="24"/>
          <w:lang w:val="fr-CA"/>
        </w:rPr>
      </w:pPr>
      <w:r>
        <w:rPr>
          <w:rFonts w:ascii="Arial" w:hAnsi="Arial"/>
          <w:sz w:val="24"/>
          <w:lang w:val="fr-CA"/>
        </w:rPr>
        <w:t xml:space="preserve">Deux (2) </w:t>
      </w:r>
      <w:r w:rsidR="009D0594" w:rsidRPr="00DB7755">
        <w:rPr>
          <w:rFonts w:ascii="Arial" w:hAnsi="Arial"/>
          <w:sz w:val="24"/>
          <w:lang w:val="fr-CA"/>
        </w:rPr>
        <w:t xml:space="preserve">gouttes de </w:t>
      </w:r>
      <w:r w:rsidR="003A3135" w:rsidRPr="00DB7755">
        <w:rPr>
          <w:rFonts w:ascii="Arial" w:hAnsi="Arial"/>
          <w:sz w:val="24"/>
          <w:lang w:val="fr-CA"/>
        </w:rPr>
        <w:t xml:space="preserve">plasma.  </w:t>
      </w:r>
      <w:r w:rsidR="001416A4" w:rsidRPr="00DB7755">
        <w:rPr>
          <w:rFonts w:ascii="Arial" w:hAnsi="Arial"/>
          <w:sz w:val="24"/>
          <w:lang w:val="fr-CA"/>
        </w:rPr>
        <w:t>Voir Remarque 8.3.</w:t>
      </w:r>
    </w:p>
    <w:p w:rsidR="003A3135" w:rsidRPr="00DB7755" w:rsidRDefault="003A3135">
      <w:pPr>
        <w:ind w:left="1440"/>
        <w:rPr>
          <w:rFonts w:ascii="Arial" w:hAnsi="Arial"/>
          <w:sz w:val="24"/>
          <w:lang w:val="fr-CA"/>
        </w:rPr>
      </w:pPr>
    </w:p>
    <w:p w:rsidR="003A3135" w:rsidRPr="00DB7755" w:rsidRDefault="004D4329">
      <w:pPr>
        <w:numPr>
          <w:ilvl w:val="2"/>
          <w:numId w:val="2"/>
        </w:numPr>
        <w:rPr>
          <w:rFonts w:ascii="Arial" w:hAnsi="Arial"/>
          <w:sz w:val="24"/>
          <w:lang w:val="fr-CA"/>
        </w:rPr>
      </w:pPr>
      <w:r>
        <w:rPr>
          <w:rFonts w:ascii="Arial" w:hAnsi="Arial"/>
          <w:sz w:val="24"/>
          <w:lang w:val="fr-CA"/>
        </w:rPr>
        <w:t>Une (</w:t>
      </w:r>
      <w:r w:rsidR="003A3135" w:rsidRPr="00DB7755">
        <w:rPr>
          <w:rFonts w:ascii="Arial" w:hAnsi="Arial"/>
          <w:sz w:val="24"/>
          <w:lang w:val="fr-CA"/>
        </w:rPr>
        <w:t>1</w:t>
      </w:r>
      <w:r>
        <w:rPr>
          <w:rFonts w:ascii="Arial" w:hAnsi="Arial"/>
          <w:sz w:val="24"/>
          <w:lang w:val="fr-CA"/>
        </w:rPr>
        <w:t>)</w:t>
      </w:r>
      <w:r w:rsidR="003A3135" w:rsidRPr="00DB7755">
        <w:rPr>
          <w:rFonts w:ascii="Arial" w:hAnsi="Arial"/>
          <w:sz w:val="24"/>
          <w:lang w:val="fr-CA"/>
        </w:rPr>
        <w:t xml:space="preserve"> </w:t>
      </w:r>
      <w:r w:rsidR="009D0594" w:rsidRPr="00DB7755">
        <w:rPr>
          <w:rFonts w:ascii="Arial" w:hAnsi="Arial"/>
          <w:sz w:val="24"/>
          <w:lang w:val="fr-CA"/>
        </w:rPr>
        <w:t>goutte de la suspension cellulaire 3 % de l’unité de donneur appropriée</w:t>
      </w:r>
      <w:r w:rsidR="003A3135" w:rsidRPr="00DB7755">
        <w:rPr>
          <w:rFonts w:ascii="Arial" w:hAnsi="Arial"/>
          <w:sz w:val="24"/>
          <w:lang w:val="fr-CA"/>
        </w:rPr>
        <w:t>.</w:t>
      </w:r>
    </w:p>
    <w:p w:rsidR="003A3135" w:rsidRPr="00DB7755" w:rsidRDefault="003A3135">
      <w:pPr>
        <w:ind w:left="1440"/>
        <w:rPr>
          <w:rFonts w:ascii="Arial" w:hAnsi="Arial"/>
          <w:sz w:val="24"/>
          <w:lang w:val="fr-CA"/>
        </w:rPr>
      </w:pPr>
    </w:p>
    <w:p w:rsidR="003A3135" w:rsidRPr="00DB7755" w:rsidRDefault="003A3135">
      <w:pPr>
        <w:numPr>
          <w:ilvl w:val="1"/>
          <w:numId w:val="2"/>
        </w:numPr>
        <w:rPr>
          <w:rFonts w:ascii="Arial" w:hAnsi="Arial"/>
          <w:sz w:val="24"/>
          <w:lang w:val="fr-CA"/>
        </w:rPr>
      </w:pPr>
      <w:r w:rsidRPr="00DB7755">
        <w:rPr>
          <w:rFonts w:ascii="Arial" w:hAnsi="Arial"/>
          <w:sz w:val="24"/>
          <w:lang w:val="fr-CA"/>
        </w:rPr>
        <w:t>M</w:t>
      </w:r>
      <w:r w:rsidR="00C103F9" w:rsidRPr="00DB7755">
        <w:rPr>
          <w:rFonts w:ascii="Arial" w:hAnsi="Arial"/>
          <w:sz w:val="24"/>
          <w:lang w:val="fr-CA"/>
        </w:rPr>
        <w:t>élanger, puis comparer le volume et l’aspect de chaque tube</w:t>
      </w:r>
      <w:r w:rsidRPr="00DB7755">
        <w:rPr>
          <w:rFonts w:ascii="Arial" w:hAnsi="Arial"/>
          <w:sz w:val="24"/>
          <w:lang w:val="fr-CA"/>
        </w:rPr>
        <w:t>.</w:t>
      </w:r>
    </w:p>
    <w:p w:rsidR="003A3135" w:rsidRPr="00DB7755" w:rsidRDefault="003A3135">
      <w:pPr>
        <w:ind w:left="720"/>
        <w:rPr>
          <w:rFonts w:ascii="Arial" w:hAnsi="Arial"/>
          <w:sz w:val="24"/>
          <w:lang w:val="fr-CA"/>
        </w:rPr>
      </w:pPr>
    </w:p>
    <w:p w:rsidR="003A3135" w:rsidRPr="00DB7755" w:rsidRDefault="001416A4">
      <w:pPr>
        <w:numPr>
          <w:ilvl w:val="1"/>
          <w:numId w:val="2"/>
        </w:numPr>
        <w:rPr>
          <w:rFonts w:ascii="Arial" w:hAnsi="Arial"/>
          <w:sz w:val="24"/>
          <w:lang w:val="fr-CA"/>
        </w:rPr>
      </w:pPr>
      <w:r w:rsidRPr="00DB7755">
        <w:rPr>
          <w:rFonts w:ascii="Arial" w:hAnsi="Arial"/>
          <w:sz w:val="24"/>
          <w:lang w:val="fr-CA"/>
        </w:rPr>
        <w:t>Centrifuger les tubes à 3400 rpm pendant 10 à 15 secondes.</w:t>
      </w:r>
    </w:p>
    <w:p w:rsidR="003A3135" w:rsidRPr="00DB7755" w:rsidRDefault="003A3135">
      <w:pPr>
        <w:ind w:left="720"/>
        <w:rPr>
          <w:rFonts w:ascii="Arial" w:hAnsi="Arial"/>
          <w:sz w:val="24"/>
          <w:lang w:val="fr-CA"/>
        </w:rPr>
      </w:pPr>
    </w:p>
    <w:p w:rsidR="003A3135" w:rsidRPr="00DB7755" w:rsidRDefault="00DB7755">
      <w:pPr>
        <w:numPr>
          <w:ilvl w:val="1"/>
          <w:numId w:val="2"/>
        </w:numPr>
        <w:rPr>
          <w:rFonts w:ascii="Arial" w:hAnsi="Arial"/>
          <w:sz w:val="24"/>
          <w:lang w:val="fr-CA"/>
        </w:rPr>
      </w:pPr>
      <w:r w:rsidRPr="00DB7755">
        <w:rPr>
          <w:rFonts w:ascii="Arial" w:hAnsi="Arial"/>
          <w:sz w:val="24"/>
          <w:lang w:val="fr-CA"/>
        </w:rPr>
        <w:t>Vérifier la présence d'hémolyse. Le cas échéant, inscrire le résultat.</w:t>
      </w:r>
      <w:r w:rsidR="003A3135" w:rsidRPr="00DB7755">
        <w:rPr>
          <w:rFonts w:ascii="Arial" w:hAnsi="Arial"/>
          <w:sz w:val="24"/>
          <w:lang w:val="fr-CA"/>
        </w:rPr>
        <w:t xml:space="preserve">  </w:t>
      </w:r>
      <w:r w:rsidR="001416A4" w:rsidRPr="00DB7755">
        <w:rPr>
          <w:rFonts w:ascii="Arial" w:hAnsi="Arial"/>
          <w:sz w:val="24"/>
          <w:lang w:val="fr-CA"/>
        </w:rPr>
        <w:t>Voir 7.0 – Documentation.</w:t>
      </w:r>
    </w:p>
    <w:p w:rsidR="003A3135" w:rsidRPr="00DB7755" w:rsidRDefault="003A3135">
      <w:pPr>
        <w:ind w:left="720"/>
        <w:rPr>
          <w:rFonts w:ascii="Arial" w:hAnsi="Arial"/>
          <w:sz w:val="24"/>
          <w:lang w:val="fr-CA"/>
        </w:rPr>
      </w:pPr>
    </w:p>
    <w:p w:rsidR="003A3135" w:rsidRPr="00DB7755" w:rsidRDefault="00DB7755">
      <w:pPr>
        <w:numPr>
          <w:ilvl w:val="1"/>
          <w:numId w:val="2"/>
        </w:numPr>
        <w:rPr>
          <w:rFonts w:ascii="Arial" w:hAnsi="Arial"/>
          <w:sz w:val="24"/>
          <w:lang w:val="fr-CA"/>
        </w:rPr>
      </w:pPr>
      <w:r w:rsidRPr="00DB7755">
        <w:rPr>
          <w:rFonts w:ascii="Arial" w:hAnsi="Arial"/>
          <w:sz w:val="24"/>
          <w:lang w:val="fr-CA"/>
        </w:rPr>
        <w:t>Remettre en suspension et faire une lecture macroscopique à la recherche d’agglutinats</w:t>
      </w:r>
      <w:r w:rsidR="003A3135" w:rsidRPr="00DB7755">
        <w:rPr>
          <w:rFonts w:ascii="Arial" w:hAnsi="Arial"/>
          <w:sz w:val="24"/>
          <w:lang w:val="fr-CA"/>
        </w:rPr>
        <w:t>.</w:t>
      </w:r>
    </w:p>
    <w:p w:rsidR="003A3135" w:rsidRPr="00DB7755" w:rsidRDefault="003A3135">
      <w:pPr>
        <w:ind w:left="720"/>
        <w:rPr>
          <w:rFonts w:ascii="Arial" w:hAnsi="Arial"/>
          <w:sz w:val="24"/>
          <w:lang w:val="fr-CA"/>
        </w:rPr>
      </w:pPr>
    </w:p>
    <w:p w:rsidR="00DB7755" w:rsidRPr="00DB7755" w:rsidRDefault="001416A4">
      <w:pPr>
        <w:numPr>
          <w:ilvl w:val="1"/>
          <w:numId w:val="2"/>
        </w:numPr>
        <w:rPr>
          <w:rFonts w:ascii="Arial" w:hAnsi="Arial"/>
          <w:sz w:val="24"/>
          <w:lang w:val="fr-CA"/>
        </w:rPr>
      </w:pPr>
      <w:r w:rsidRPr="00DB7755">
        <w:rPr>
          <w:rFonts w:ascii="Arial" w:hAnsi="Arial"/>
          <w:sz w:val="24"/>
          <w:lang w:val="fr-CA"/>
        </w:rPr>
        <w:t>Interpréter et inscrire immédiatement les résultats.</w:t>
      </w:r>
      <w:r w:rsidR="003A3135" w:rsidRPr="00DB7755">
        <w:rPr>
          <w:rFonts w:ascii="Arial" w:hAnsi="Arial"/>
          <w:sz w:val="24"/>
          <w:lang w:val="fr-CA"/>
        </w:rPr>
        <w:t xml:space="preserve">  </w:t>
      </w:r>
      <w:r w:rsidR="00DB7755" w:rsidRPr="00DB7755">
        <w:rPr>
          <w:rFonts w:ascii="Arial" w:hAnsi="Arial"/>
          <w:sz w:val="24"/>
          <w:lang w:val="fr-CA"/>
        </w:rPr>
        <w:t>Voir</w:t>
      </w:r>
      <w:r w:rsidR="003A3135" w:rsidRPr="00DB7755">
        <w:rPr>
          <w:rFonts w:ascii="Arial" w:hAnsi="Arial"/>
          <w:sz w:val="24"/>
          <w:lang w:val="fr-CA"/>
        </w:rPr>
        <w:t xml:space="preserve"> 7.0 – </w:t>
      </w:r>
      <w:r w:rsidR="00DB7755" w:rsidRPr="00DB7755">
        <w:rPr>
          <w:rFonts w:ascii="Arial" w:hAnsi="Arial"/>
          <w:sz w:val="24"/>
          <w:lang w:val="fr-CA"/>
        </w:rPr>
        <w:t xml:space="preserve">Documentation et </w:t>
      </w:r>
      <w:r w:rsidR="003A3135" w:rsidRPr="00DB7755">
        <w:rPr>
          <w:rFonts w:ascii="Arial" w:hAnsi="Arial"/>
          <w:sz w:val="24"/>
          <w:lang w:val="fr-CA"/>
        </w:rPr>
        <w:t xml:space="preserve">PA.006 – </w:t>
      </w:r>
      <w:r w:rsidR="00DB7755" w:rsidRPr="00DB7755">
        <w:rPr>
          <w:rFonts w:ascii="Arial" w:hAnsi="Arial"/>
          <w:sz w:val="24"/>
          <w:lang w:val="fr-CA"/>
        </w:rPr>
        <w:t>Lecture et inscription des réactions d’hémagglutination.</w:t>
      </w:r>
    </w:p>
    <w:p w:rsidR="003A3135" w:rsidRPr="00DB7755" w:rsidRDefault="00DB7755" w:rsidP="00DB7755">
      <w:pPr>
        <w:ind w:left="720"/>
        <w:rPr>
          <w:rFonts w:ascii="Arial" w:hAnsi="Arial"/>
          <w:sz w:val="24"/>
          <w:lang w:val="fr-CA"/>
        </w:rPr>
      </w:pPr>
      <w:r w:rsidRPr="00DB7755">
        <w:rPr>
          <w:rFonts w:ascii="Arial" w:hAnsi="Arial"/>
          <w:sz w:val="24"/>
          <w:lang w:val="fr-CA"/>
        </w:rPr>
        <w:tab/>
      </w:r>
    </w:p>
    <w:p w:rsidR="003A3135" w:rsidRPr="00DB7755" w:rsidRDefault="003A3135">
      <w:pPr>
        <w:numPr>
          <w:ilvl w:val="1"/>
          <w:numId w:val="2"/>
        </w:numPr>
        <w:rPr>
          <w:rFonts w:ascii="Arial" w:hAnsi="Arial"/>
          <w:sz w:val="24"/>
          <w:lang w:val="fr-CA"/>
        </w:rPr>
      </w:pPr>
      <w:r w:rsidRPr="00DB7755">
        <w:rPr>
          <w:rFonts w:ascii="Arial" w:hAnsi="Arial"/>
          <w:sz w:val="24"/>
          <w:lang w:val="fr-CA"/>
        </w:rPr>
        <w:t>Interpr</w:t>
      </w:r>
      <w:r w:rsidR="00DB7755" w:rsidRPr="00DB7755">
        <w:rPr>
          <w:rFonts w:ascii="Arial" w:hAnsi="Arial"/>
          <w:sz w:val="24"/>
          <w:lang w:val="fr-CA"/>
        </w:rPr>
        <w:t>éter et inscrire les résultats de l’épreuve de compatib</w:t>
      </w:r>
      <w:r w:rsidR="009A621D">
        <w:rPr>
          <w:rFonts w:ascii="Arial" w:hAnsi="Arial"/>
          <w:sz w:val="24"/>
          <w:lang w:val="fr-CA"/>
        </w:rPr>
        <w:t>i</w:t>
      </w:r>
      <w:r w:rsidR="00DB7755" w:rsidRPr="00DB7755">
        <w:rPr>
          <w:rFonts w:ascii="Arial" w:hAnsi="Arial"/>
          <w:sz w:val="24"/>
          <w:lang w:val="fr-CA"/>
        </w:rPr>
        <w:t>lité</w:t>
      </w:r>
      <w:r w:rsidRPr="00DB7755">
        <w:rPr>
          <w:rFonts w:ascii="Arial" w:hAnsi="Arial"/>
          <w:sz w:val="24"/>
          <w:lang w:val="fr-CA"/>
        </w:rPr>
        <w:t xml:space="preserve">.  </w:t>
      </w:r>
      <w:r w:rsidR="001416A4" w:rsidRPr="00DB7755">
        <w:rPr>
          <w:rFonts w:ascii="Arial" w:hAnsi="Arial"/>
          <w:sz w:val="24"/>
          <w:lang w:val="fr-CA"/>
        </w:rPr>
        <w:t>Voir 7.0 – Documentation.</w:t>
      </w:r>
    </w:p>
    <w:p w:rsidR="003A3135" w:rsidRPr="00DB7755" w:rsidRDefault="003A3135">
      <w:pPr>
        <w:rPr>
          <w:rFonts w:ascii="Arial" w:hAnsi="Arial"/>
          <w:sz w:val="24"/>
          <w:lang w:val="fr-CA"/>
        </w:rPr>
      </w:pPr>
    </w:p>
    <w:p w:rsidR="003A3135" w:rsidRDefault="00DB7755" w:rsidP="00020AC7">
      <w:pPr>
        <w:numPr>
          <w:ilvl w:val="1"/>
          <w:numId w:val="2"/>
        </w:numPr>
        <w:rPr>
          <w:rFonts w:ascii="Arial" w:hAnsi="Arial"/>
          <w:sz w:val="24"/>
          <w:lang w:val="fr-CA"/>
        </w:rPr>
      </w:pPr>
      <w:r w:rsidRPr="00DB7755">
        <w:rPr>
          <w:rFonts w:ascii="Arial" w:hAnsi="Arial"/>
          <w:sz w:val="24"/>
          <w:lang w:val="fr-CA"/>
        </w:rPr>
        <w:t>Si l’émission de composants sanguins n’est pas informatisée, s’assurer d’inscrire les données relatives au patient et aux unités sur le formulaire du registre de mise en circulation /de transfusion.</w:t>
      </w:r>
      <w:r w:rsidR="003A3135" w:rsidRPr="00DB7755">
        <w:rPr>
          <w:rFonts w:ascii="Arial" w:hAnsi="Arial"/>
          <w:sz w:val="24"/>
          <w:lang w:val="fr-CA"/>
        </w:rPr>
        <w:t xml:space="preserve"> </w:t>
      </w:r>
    </w:p>
    <w:p w:rsidR="00020AC7" w:rsidRPr="003A3135" w:rsidRDefault="00020AC7" w:rsidP="00020AC7">
      <w:pPr>
        <w:ind w:left="720"/>
        <w:rPr>
          <w:rFonts w:ascii="Arial" w:hAnsi="Arial"/>
          <w:sz w:val="24"/>
          <w:lang w:val="fr-CA"/>
        </w:rPr>
      </w:pPr>
    </w:p>
    <w:p w:rsidR="003A3135" w:rsidRPr="00DB7755" w:rsidRDefault="00DB7755" w:rsidP="00DB7755">
      <w:pPr>
        <w:numPr>
          <w:ilvl w:val="2"/>
          <w:numId w:val="2"/>
        </w:numPr>
        <w:rPr>
          <w:rFonts w:ascii="Arial" w:hAnsi="Arial"/>
          <w:sz w:val="24"/>
          <w:lang w:val="fr-CA"/>
        </w:rPr>
      </w:pPr>
      <w:r w:rsidRPr="00DB7755">
        <w:rPr>
          <w:rFonts w:ascii="Arial" w:hAnsi="Arial"/>
          <w:sz w:val="24"/>
          <w:lang w:val="fr-CA"/>
        </w:rPr>
        <w:t>Pour obtenir des renseignements complémentaires, voir GI.</w:t>
      </w:r>
      <w:r w:rsidR="003A3135" w:rsidRPr="00DB7755">
        <w:rPr>
          <w:rFonts w:ascii="Arial" w:hAnsi="Arial"/>
          <w:sz w:val="24"/>
          <w:lang w:val="fr-CA"/>
        </w:rPr>
        <w:t xml:space="preserve">004 – </w:t>
      </w:r>
      <w:r w:rsidRPr="00DB7755">
        <w:rPr>
          <w:rFonts w:ascii="Arial" w:hAnsi="Arial"/>
          <w:sz w:val="24"/>
          <w:lang w:val="fr-CA"/>
        </w:rPr>
        <w:t>Mise en circulation manuelle de sang, de composants sanguins et d’autres produits connexes en se servant du registre de mise en circulation /de transfusion de produit</w:t>
      </w:r>
      <w:r w:rsidR="008564FC">
        <w:rPr>
          <w:rFonts w:ascii="Arial" w:hAnsi="Arial"/>
          <w:sz w:val="24"/>
          <w:lang w:val="fr-CA"/>
        </w:rPr>
        <w:t>s</w:t>
      </w:r>
      <w:r w:rsidRPr="00DB7755">
        <w:rPr>
          <w:rFonts w:ascii="Arial" w:hAnsi="Arial"/>
          <w:sz w:val="24"/>
          <w:lang w:val="fr-CA"/>
        </w:rPr>
        <w:t xml:space="preserve"> sanguins. </w:t>
      </w:r>
      <w:r w:rsidR="003A3135" w:rsidRPr="00DB7755">
        <w:rPr>
          <w:rFonts w:ascii="Arial" w:hAnsi="Arial"/>
          <w:sz w:val="24"/>
          <w:lang w:val="fr-CA"/>
        </w:rPr>
        <w:t xml:space="preserve">  </w:t>
      </w:r>
    </w:p>
    <w:p w:rsidR="003A3135" w:rsidRPr="003A3135" w:rsidRDefault="003A3135">
      <w:pPr>
        <w:ind w:left="1440"/>
        <w:rPr>
          <w:rFonts w:ascii="Arial" w:hAnsi="Arial"/>
          <w:sz w:val="24"/>
          <w:lang w:val="fr-CA"/>
        </w:rPr>
      </w:pPr>
    </w:p>
    <w:p w:rsidR="003A3135" w:rsidRPr="003A3135" w:rsidRDefault="00020AC7">
      <w:pPr>
        <w:numPr>
          <w:ilvl w:val="1"/>
          <w:numId w:val="2"/>
        </w:numPr>
        <w:rPr>
          <w:rFonts w:ascii="Arial" w:hAnsi="Arial"/>
          <w:sz w:val="24"/>
          <w:lang w:val="fr-CA"/>
        </w:rPr>
      </w:pPr>
      <w:r w:rsidRPr="00020AC7">
        <w:rPr>
          <w:rFonts w:ascii="Arial" w:hAnsi="Arial"/>
          <w:sz w:val="24"/>
          <w:lang w:val="fr-CA"/>
        </w:rPr>
        <w:t>Préparer une étiquette de compatibilité pour chaque unité de donneur</w:t>
      </w:r>
      <w:r>
        <w:rPr>
          <w:rFonts w:ascii="Arial" w:hAnsi="Arial"/>
          <w:sz w:val="24"/>
          <w:lang w:val="fr-CA"/>
        </w:rPr>
        <w:t>,</w:t>
      </w:r>
      <w:r w:rsidRPr="00DB7755" w:rsidDel="00020AC7">
        <w:rPr>
          <w:rFonts w:ascii="Arial" w:hAnsi="Arial"/>
          <w:sz w:val="24"/>
          <w:lang w:val="fr-CA"/>
        </w:rPr>
        <w:t xml:space="preserve"> </w:t>
      </w:r>
      <w:r w:rsidR="00DB7755" w:rsidRPr="00DB7755">
        <w:rPr>
          <w:rFonts w:ascii="Arial" w:hAnsi="Arial"/>
          <w:sz w:val="24"/>
          <w:lang w:val="fr-CA"/>
        </w:rPr>
        <w:t xml:space="preserve">où figureront </w:t>
      </w:r>
      <w:r w:rsidR="009A621D">
        <w:rPr>
          <w:rFonts w:ascii="Arial" w:hAnsi="Arial"/>
          <w:sz w:val="24"/>
          <w:lang w:val="fr-CA"/>
        </w:rPr>
        <w:t>l</w:t>
      </w:r>
      <w:r w:rsidR="00DB7755" w:rsidRPr="00DB7755">
        <w:rPr>
          <w:rFonts w:ascii="Arial" w:hAnsi="Arial"/>
          <w:sz w:val="24"/>
          <w:lang w:val="fr-CA"/>
        </w:rPr>
        <w:t>es données suivantes :</w:t>
      </w:r>
      <w:r w:rsidR="003A3135" w:rsidRPr="003A3135">
        <w:rPr>
          <w:rFonts w:ascii="Arial" w:hAnsi="Arial"/>
          <w:sz w:val="24"/>
          <w:lang w:val="fr-CA"/>
        </w:rPr>
        <w:t xml:space="preserve"> </w:t>
      </w:r>
    </w:p>
    <w:p w:rsidR="003A3135" w:rsidRPr="000E3D9C" w:rsidRDefault="003A3135">
      <w:pPr>
        <w:ind w:left="720"/>
        <w:rPr>
          <w:rFonts w:ascii="Arial" w:hAnsi="Arial"/>
          <w:sz w:val="24"/>
          <w:lang w:val="fr-CA"/>
        </w:rPr>
      </w:pPr>
    </w:p>
    <w:p w:rsidR="003A3135" w:rsidRPr="000E3D9C" w:rsidRDefault="003A3135">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 xml:space="preserve">le </w:t>
      </w:r>
      <w:r w:rsidR="001416A4" w:rsidRPr="000E3D9C">
        <w:rPr>
          <w:rFonts w:ascii="Arial" w:hAnsi="Arial"/>
          <w:sz w:val="24"/>
          <w:lang w:val="fr-CA"/>
        </w:rPr>
        <w:t>nom de famille et prénom du patient</w:t>
      </w:r>
    </w:p>
    <w:p w:rsidR="003A3135" w:rsidRPr="000E3D9C" w:rsidRDefault="003A3135">
      <w:pPr>
        <w:ind w:left="1440"/>
        <w:rPr>
          <w:rFonts w:ascii="Arial" w:hAnsi="Arial"/>
          <w:sz w:val="24"/>
          <w:lang w:val="fr-CA"/>
        </w:rPr>
      </w:pPr>
    </w:p>
    <w:p w:rsidR="003A3135" w:rsidRPr="000E3D9C" w:rsidRDefault="001416A4">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le numéro d'identification du patient</w:t>
      </w:r>
    </w:p>
    <w:p w:rsidR="003A3135" w:rsidRPr="000E3D9C" w:rsidRDefault="003A3135">
      <w:pPr>
        <w:ind w:left="1440"/>
        <w:rPr>
          <w:rFonts w:ascii="Arial" w:hAnsi="Arial"/>
          <w:sz w:val="24"/>
          <w:lang w:val="fr-CA"/>
        </w:rPr>
      </w:pPr>
    </w:p>
    <w:p w:rsidR="003A3135" w:rsidRPr="000E3D9C" w:rsidRDefault="001416A4">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le groupe ABO et le facteur Rh du patient</w:t>
      </w:r>
    </w:p>
    <w:p w:rsidR="003A3135" w:rsidRPr="000E3D9C" w:rsidRDefault="003A3135">
      <w:pPr>
        <w:ind w:left="1440"/>
        <w:rPr>
          <w:rFonts w:ascii="Arial" w:hAnsi="Arial"/>
          <w:sz w:val="24"/>
          <w:lang w:val="fr-CA"/>
        </w:rPr>
      </w:pPr>
    </w:p>
    <w:p w:rsidR="003A3135" w:rsidRPr="000E3D9C" w:rsidRDefault="001416A4">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 xml:space="preserve">le nom du produit, p. ex. </w:t>
      </w:r>
      <w:r w:rsidR="00020AC7">
        <w:rPr>
          <w:rFonts w:ascii="Arial" w:hAnsi="Arial"/>
          <w:sz w:val="24"/>
          <w:lang w:val="fr-CA"/>
        </w:rPr>
        <w:t>GR</w:t>
      </w:r>
      <w:r w:rsidRPr="000E3D9C">
        <w:rPr>
          <w:rFonts w:ascii="Arial" w:hAnsi="Arial"/>
          <w:sz w:val="24"/>
          <w:lang w:val="fr-CA"/>
        </w:rPr>
        <w:t xml:space="preserve">, déleucocytés </w:t>
      </w:r>
    </w:p>
    <w:p w:rsidR="003A3135" w:rsidRPr="000E3D9C" w:rsidRDefault="003A3135">
      <w:pPr>
        <w:ind w:left="1440"/>
        <w:rPr>
          <w:rFonts w:ascii="Arial" w:hAnsi="Arial"/>
          <w:sz w:val="24"/>
          <w:lang w:val="fr-CA"/>
        </w:rPr>
      </w:pPr>
    </w:p>
    <w:p w:rsidR="003A3135" w:rsidRPr="000E3D9C" w:rsidRDefault="001416A4">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le groupe ABO et le facteur Rh d</w:t>
      </w:r>
      <w:r w:rsidR="00F7250E">
        <w:rPr>
          <w:rFonts w:ascii="Arial" w:hAnsi="Arial"/>
          <w:sz w:val="24"/>
          <w:lang w:val="fr-CA"/>
        </w:rPr>
        <w:t xml:space="preserve">e l’unité de </w:t>
      </w:r>
      <w:r w:rsidRPr="000E3D9C">
        <w:rPr>
          <w:rFonts w:ascii="Arial" w:hAnsi="Arial"/>
          <w:sz w:val="24"/>
          <w:lang w:val="fr-CA"/>
        </w:rPr>
        <w:t>donneur</w:t>
      </w:r>
      <w:r w:rsidR="003A3135" w:rsidRPr="000E3D9C">
        <w:rPr>
          <w:rFonts w:ascii="Arial" w:hAnsi="Arial"/>
          <w:sz w:val="24"/>
          <w:lang w:val="fr-CA"/>
        </w:rPr>
        <w:t xml:space="preserve"> </w:t>
      </w:r>
    </w:p>
    <w:p w:rsidR="003A3135" w:rsidRPr="000E3D9C" w:rsidRDefault="003A3135">
      <w:pPr>
        <w:ind w:left="1440"/>
        <w:rPr>
          <w:rFonts w:ascii="Arial" w:hAnsi="Arial"/>
          <w:sz w:val="24"/>
          <w:lang w:val="fr-CA"/>
        </w:rPr>
      </w:pPr>
    </w:p>
    <w:p w:rsidR="003A3135" w:rsidRPr="000E3D9C" w:rsidRDefault="001416A4">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le numéro de série d</w:t>
      </w:r>
      <w:r w:rsidR="00F7250E">
        <w:rPr>
          <w:rFonts w:ascii="Arial" w:hAnsi="Arial"/>
          <w:sz w:val="24"/>
          <w:lang w:val="fr-CA"/>
        </w:rPr>
        <w:t xml:space="preserve">e l’unité de </w:t>
      </w:r>
      <w:r w:rsidRPr="000E3D9C">
        <w:rPr>
          <w:rFonts w:ascii="Arial" w:hAnsi="Arial"/>
          <w:sz w:val="24"/>
          <w:lang w:val="fr-CA"/>
        </w:rPr>
        <w:t>donneur (incluant le code de contrôle et le code de l'établissement de collecte)</w:t>
      </w:r>
    </w:p>
    <w:p w:rsidR="003A3135" w:rsidRPr="000E3D9C" w:rsidRDefault="003A3135">
      <w:pPr>
        <w:ind w:left="1440"/>
        <w:rPr>
          <w:rFonts w:ascii="Arial" w:hAnsi="Arial"/>
          <w:sz w:val="24"/>
          <w:lang w:val="fr-CA"/>
        </w:rPr>
      </w:pPr>
    </w:p>
    <w:p w:rsidR="003A3135" w:rsidRPr="000E3D9C" w:rsidRDefault="001416A4">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la compatibilité de l'unité</w:t>
      </w:r>
    </w:p>
    <w:p w:rsidR="003A3135" w:rsidRPr="000E3D9C" w:rsidRDefault="003A3135">
      <w:pPr>
        <w:ind w:left="1440"/>
        <w:rPr>
          <w:rFonts w:ascii="Arial" w:hAnsi="Arial"/>
          <w:sz w:val="24"/>
          <w:lang w:val="fr-CA"/>
        </w:rPr>
      </w:pPr>
    </w:p>
    <w:p w:rsidR="003A3135" w:rsidRPr="000E3D9C" w:rsidRDefault="001416A4">
      <w:pPr>
        <w:numPr>
          <w:ilvl w:val="0"/>
          <w:numId w:val="6"/>
        </w:numPr>
        <w:tabs>
          <w:tab w:val="clear" w:pos="360"/>
          <w:tab w:val="num" w:pos="1800"/>
        </w:tabs>
        <w:ind w:left="1800"/>
        <w:rPr>
          <w:rFonts w:ascii="Arial" w:hAnsi="Arial"/>
          <w:sz w:val="24"/>
          <w:lang w:val="fr-CA"/>
        </w:rPr>
      </w:pPr>
      <w:r w:rsidRPr="000E3D9C">
        <w:rPr>
          <w:rFonts w:ascii="Arial" w:hAnsi="Arial"/>
          <w:sz w:val="24"/>
          <w:lang w:val="fr-CA"/>
        </w:rPr>
        <w:t>la date et l'heure de l'é</w:t>
      </w:r>
      <w:r w:rsidR="00227B87">
        <w:rPr>
          <w:rFonts w:ascii="Arial" w:hAnsi="Arial"/>
          <w:sz w:val="24"/>
          <w:lang w:val="fr-CA"/>
        </w:rPr>
        <w:t>mission</w:t>
      </w:r>
    </w:p>
    <w:p w:rsidR="003A3135" w:rsidRPr="003A3135" w:rsidRDefault="003A3135">
      <w:pPr>
        <w:ind w:left="1440"/>
        <w:rPr>
          <w:rFonts w:ascii="Arial" w:hAnsi="Arial"/>
          <w:sz w:val="24"/>
          <w:lang w:val="fr-CA"/>
        </w:rPr>
      </w:pPr>
    </w:p>
    <w:p w:rsidR="003A3135" w:rsidRPr="00DB7755" w:rsidRDefault="00DB7755">
      <w:pPr>
        <w:numPr>
          <w:ilvl w:val="1"/>
          <w:numId w:val="2"/>
        </w:numPr>
        <w:rPr>
          <w:rFonts w:ascii="Arial" w:hAnsi="Arial"/>
          <w:sz w:val="24"/>
          <w:lang w:val="fr-CA"/>
        </w:rPr>
      </w:pPr>
      <w:r w:rsidRPr="00DB7755">
        <w:rPr>
          <w:rFonts w:ascii="Arial" w:hAnsi="Arial"/>
          <w:sz w:val="24"/>
          <w:lang w:val="fr-CA"/>
        </w:rPr>
        <w:t>Si le groupe ABO des unités de donneur n’a pas été confirmé dès leur réception, s’assurer que les réactions attendues lors de l’épreuve sér</w:t>
      </w:r>
      <w:r w:rsidR="004E39BE">
        <w:rPr>
          <w:rFonts w:ascii="Arial" w:hAnsi="Arial"/>
          <w:sz w:val="24"/>
          <w:lang w:val="fr-CA"/>
        </w:rPr>
        <w:t>ique</w:t>
      </w:r>
      <w:r w:rsidRPr="00DB7755">
        <w:rPr>
          <w:rFonts w:ascii="Arial" w:hAnsi="Arial"/>
          <w:sz w:val="24"/>
          <w:lang w:val="fr-CA"/>
        </w:rPr>
        <w:t xml:space="preserve"> de groupage ABO sont de niveau 2 ou plus. Si les réactions prévues sont inférieures </w:t>
      </w:r>
      <w:r w:rsidR="00F7250E">
        <w:rPr>
          <w:rFonts w:ascii="Arial" w:hAnsi="Arial"/>
          <w:sz w:val="24"/>
          <w:lang w:val="fr-CA"/>
        </w:rPr>
        <w:t>à</w:t>
      </w:r>
      <w:r w:rsidRPr="00DB7755">
        <w:rPr>
          <w:rFonts w:ascii="Arial" w:hAnsi="Arial"/>
          <w:sz w:val="24"/>
          <w:lang w:val="fr-CA"/>
        </w:rPr>
        <w:t xml:space="preserve"> 2, confirmer le groupe ABO de toutes les unités de donneur soumises à une épreuve de compatibilité</w:t>
      </w:r>
      <w:r w:rsidR="003A3135" w:rsidRPr="00DB7755">
        <w:rPr>
          <w:rFonts w:ascii="Arial" w:hAnsi="Arial"/>
          <w:sz w:val="24"/>
          <w:lang w:val="fr-CA"/>
        </w:rPr>
        <w:t xml:space="preserve">.  </w:t>
      </w:r>
      <w:r w:rsidR="001416A4" w:rsidRPr="00DB7755">
        <w:rPr>
          <w:rFonts w:ascii="Arial" w:hAnsi="Arial"/>
          <w:sz w:val="24"/>
          <w:lang w:val="fr-CA"/>
        </w:rPr>
        <w:t>Voir Remarque 8.4.</w:t>
      </w:r>
    </w:p>
    <w:p w:rsidR="003A3135" w:rsidRPr="003A3135" w:rsidRDefault="003A3135">
      <w:pPr>
        <w:ind w:left="720"/>
        <w:rPr>
          <w:rFonts w:ascii="Arial" w:hAnsi="Arial"/>
          <w:sz w:val="24"/>
          <w:lang w:val="fr-CA"/>
        </w:rPr>
      </w:pPr>
    </w:p>
    <w:p w:rsidR="003A3135" w:rsidRPr="00C103F9" w:rsidRDefault="00C103F9">
      <w:pPr>
        <w:numPr>
          <w:ilvl w:val="1"/>
          <w:numId w:val="2"/>
        </w:numPr>
        <w:rPr>
          <w:rFonts w:ascii="Arial" w:hAnsi="Arial"/>
          <w:sz w:val="24"/>
          <w:lang w:val="fr-CA"/>
        </w:rPr>
      </w:pPr>
      <w:r w:rsidRPr="00C103F9">
        <w:rPr>
          <w:rFonts w:ascii="Arial" w:hAnsi="Arial"/>
          <w:sz w:val="24"/>
          <w:lang w:val="fr-CA"/>
        </w:rPr>
        <w:t xml:space="preserve">Si toutes les unités sont </w:t>
      </w:r>
      <w:r w:rsidR="003A3135" w:rsidRPr="00C103F9">
        <w:rPr>
          <w:rFonts w:ascii="Arial" w:hAnsi="Arial"/>
          <w:sz w:val="24"/>
          <w:lang w:val="fr-CA"/>
        </w:rPr>
        <w:t>compatible</w:t>
      </w:r>
      <w:r w:rsidRPr="00C103F9">
        <w:rPr>
          <w:rFonts w:ascii="Arial" w:hAnsi="Arial"/>
          <w:sz w:val="24"/>
          <w:lang w:val="fr-CA"/>
        </w:rPr>
        <w:t>s, passer à l’étape</w:t>
      </w:r>
      <w:r w:rsidR="003A3135" w:rsidRPr="00C103F9">
        <w:rPr>
          <w:rFonts w:ascii="Arial" w:hAnsi="Arial"/>
          <w:sz w:val="24"/>
          <w:lang w:val="fr-CA"/>
        </w:rPr>
        <w:t xml:space="preserve"> 6.26.  </w:t>
      </w:r>
      <w:r w:rsidRPr="00C103F9">
        <w:rPr>
          <w:rFonts w:ascii="Arial" w:hAnsi="Arial"/>
          <w:sz w:val="24"/>
          <w:lang w:val="fr-CA"/>
        </w:rPr>
        <w:t xml:space="preserve">Si certaines unités sont </w:t>
      </w:r>
      <w:r w:rsidR="003A3135" w:rsidRPr="00C103F9">
        <w:rPr>
          <w:rFonts w:ascii="Arial" w:hAnsi="Arial"/>
          <w:sz w:val="24"/>
          <w:lang w:val="fr-CA"/>
        </w:rPr>
        <w:t>incompatible</w:t>
      </w:r>
      <w:r w:rsidRPr="00C103F9">
        <w:rPr>
          <w:rFonts w:ascii="Arial" w:hAnsi="Arial"/>
          <w:sz w:val="24"/>
          <w:lang w:val="fr-CA"/>
        </w:rPr>
        <w:t xml:space="preserve">s, les étapes à suivre sont les suivantes : </w:t>
      </w:r>
    </w:p>
    <w:p w:rsidR="003A3135" w:rsidRPr="00C103F9" w:rsidRDefault="003A3135">
      <w:pPr>
        <w:ind w:left="720"/>
        <w:rPr>
          <w:rFonts w:ascii="Arial" w:hAnsi="Arial"/>
          <w:sz w:val="24"/>
          <w:lang w:val="fr-CA"/>
        </w:rPr>
      </w:pPr>
    </w:p>
    <w:p w:rsidR="003A3135" w:rsidRPr="00C103F9" w:rsidRDefault="00C103F9">
      <w:pPr>
        <w:numPr>
          <w:ilvl w:val="2"/>
          <w:numId w:val="2"/>
        </w:numPr>
        <w:rPr>
          <w:rFonts w:ascii="Arial" w:hAnsi="Arial"/>
          <w:sz w:val="24"/>
          <w:lang w:val="fr-CA"/>
        </w:rPr>
      </w:pPr>
      <w:r w:rsidRPr="00C103F9">
        <w:rPr>
          <w:rFonts w:ascii="Arial" w:hAnsi="Arial"/>
          <w:sz w:val="24"/>
          <w:lang w:val="fr-CA"/>
        </w:rPr>
        <w:t xml:space="preserve">Si toutes les unités de donneur sont </w:t>
      </w:r>
      <w:r w:rsidR="003A3135" w:rsidRPr="00C103F9">
        <w:rPr>
          <w:rFonts w:ascii="Arial" w:hAnsi="Arial"/>
          <w:sz w:val="24"/>
          <w:lang w:val="fr-CA"/>
        </w:rPr>
        <w:t>incompatible</w:t>
      </w:r>
      <w:r w:rsidRPr="00C103F9">
        <w:rPr>
          <w:rFonts w:ascii="Arial" w:hAnsi="Arial"/>
          <w:sz w:val="24"/>
          <w:lang w:val="fr-CA"/>
        </w:rPr>
        <w:t>s, reprendre le groupage ABO sur les unités de donneur et l’échantillon du patient</w:t>
      </w:r>
      <w:r w:rsidR="003A3135" w:rsidRPr="00C103F9">
        <w:rPr>
          <w:rFonts w:ascii="Arial" w:hAnsi="Arial"/>
          <w:sz w:val="24"/>
          <w:lang w:val="fr-CA"/>
        </w:rPr>
        <w:t>.</w:t>
      </w:r>
    </w:p>
    <w:p w:rsidR="003A3135" w:rsidRPr="00C103F9" w:rsidRDefault="003A3135">
      <w:pPr>
        <w:ind w:left="1440"/>
        <w:rPr>
          <w:rFonts w:ascii="Arial" w:hAnsi="Arial"/>
          <w:sz w:val="24"/>
          <w:lang w:val="fr-CA"/>
        </w:rPr>
      </w:pPr>
    </w:p>
    <w:p w:rsidR="003A3135" w:rsidRPr="00C103F9" w:rsidRDefault="00C103F9">
      <w:pPr>
        <w:numPr>
          <w:ilvl w:val="2"/>
          <w:numId w:val="2"/>
        </w:numPr>
        <w:rPr>
          <w:rFonts w:ascii="Arial" w:hAnsi="Arial"/>
          <w:sz w:val="24"/>
          <w:lang w:val="fr-CA"/>
        </w:rPr>
      </w:pPr>
      <w:r w:rsidRPr="00C103F9">
        <w:rPr>
          <w:rFonts w:ascii="Arial" w:hAnsi="Arial"/>
          <w:sz w:val="24"/>
          <w:lang w:val="fr-CA"/>
        </w:rPr>
        <w:t xml:space="preserve">Si certaines unités de donneur sont incompatibles, reprendre le groupage </w:t>
      </w:r>
      <w:r w:rsidR="003A3135" w:rsidRPr="00C103F9">
        <w:rPr>
          <w:rFonts w:ascii="Arial" w:hAnsi="Arial"/>
          <w:sz w:val="24"/>
          <w:lang w:val="fr-CA"/>
        </w:rPr>
        <w:t xml:space="preserve">ABO </w:t>
      </w:r>
      <w:r w:rsidRPr="00C103F9">
        <w:rPr>
          <w:rFonts w:ascii="Arial" w:hAnsi="Arial"/>
          <w:sz w:val="24"/>
          <w:lang w:val="fr-CA"/>
        </w:rPr>
        <w:t xml:space="preserve">sur les unités </w:t>
      </w:r>
      <w:r w:rsidR="003A3135" w:rsidRPr="00C103F9">
        <w:rPr>
          <w:rFonts w:ascii="Arial" w:hAnsi="Arial"/>
          <w:sz w:val="24"/>
          <w:lang w:val="fr-CA"/>
        </w:rPr>
        <w:t>incompatibles.</w:t>
      </w:r>
    </w:p>
    <w:p w:rsidR="003A3135" w:rsidRPr="00C103F9" w:rsidRDefault="003A3135">
      <w:pPr>
        <w:ind w:left="1440"/>
        <w:rPr>
          <w:rFonts w:ascii="Arial" w:hAnsi="Arial"/>
          <w:sz w:val="24"/>
          <w:lang w:val="fr-CA"/>
        </w:rPr>
      </w:pPr>
    </w:p>
    <w:p w:rsidR="003A3135" w:rsidRPr="00C103F9" w:rsidRDefault="00FE30B3">
      <w:pPr>
        <w:numPr>
          <w:ilvl w:val="2"/>
          <w:numId w:val="2"/>
        </w:numPr>
        <w:rPr>
          <w:rFonts w:ascii="Arial" w:hAnsi="Arial"/>
          <w:sz w:val="24"/>
          <w:lang w:val="fr-CA"/>
        </w:rPr>
      </w:pPr>
      <w:r w:rsidRPr="00C103F9">
        <w:rPr>
          <w:rFonts w:ascii="Arial" w:hAnsi="Arial"/>
          <w:sz w:val="24"/>
          <w:lang w:val="fr-CA"/>
        </w:rPr>
        <w:t>Revérifier les résultats du dépistage d’anticorps et les résultats antérieurs du patient notés à son dossier</w:t>
      </w:r>
      <w:r w:rsidR="003A3135" w:rsidRPr="00C103F9">
        <w:rPr>
          <w:rFonts w:ascii="Arial" w:hAnsi="Arial"/>
          <w:sz w:val="24"/>
          <w:lang w:val="fr-CA"/>
        </w:rPr>
        <w:t>.</w:t>
      </w:r>
    </w:p>
    <w:p w:rsidR="003A3135" w:rsidRPr="00C103F9" w:rsidRDefault="003A3135">
      <w:pPr>
        <w:ind w:left="1440" w:firstLine="720"/>
        <w:rPr>
          <w:rFonts w:ascii="Arial" w:hAnsi="Arial"/>
          <w:sz w:val="24"/>
          <w:lang w:val="fr-CA"/>
        </w:rPr>
      </w:pPr>
    </w:p>
    <w:p w:rsidR="003A3135" w:rsidRPr="00C103F9" w:rsidRDefault="00625E19">
      <w:pPr>
        <w:numPr>
          <w:ilvl w:val="0"/>
          <w:numId w:val="11"/>
        </w:numPr>
        <w:rPr>
          <w:rFonts w:ascii="Arial" w:hAnsi="Arial"/>
          <w:sz w:val="24"/>
          <w:lang w:val="fr-CA"/>
        </w:rPr>
      </w:pPr>
      <w:r w:rsidRPr="00C103F9">
        <w:rPr>
          <w:rFonts w:ascii="Arial" w:hAnsi="Arial"/>
          <w:sz w:val="24"/>
          <w:lang w:val="fr-CA"/>
        </w:rPr>
        <w:t xml:space="preserve">Si le dépistage d’anticorps est positif, </w:t>
      </w:r>
      <w:r w:rsidR="003A3135" w:rsidRPr="00C103F9">
        <w:rPr>
          <w:rFonts w:ascii="Arial" w:hAnsi="Arial"/>
          <w:sz w:val="24"/>
          <w:lang w:val="fr-CA"/>
        </w:rPr>
        <w:t>p</w:t>
      </w:r>
      <w:r w:rsidRPr="00C103F9">
        <w:rPr>
          <w:rFonts w:ascii="Arial" w:hAnsi="Arial"/>
          <w:sz w:val="24"/>
          <w:lang w:val="fr-CA"/>
        </w:rPr>
        <w:t>rocéder à un panel d’identification des anticorps réactifs chauds</w:t>
      </w:r>
      <w:r w:rsidR="003A3135" w:rsidRPr="00C103F9">
        <w:rPr>
          <w:rFonts w:ascii="Arial" w:hAnsi="Arial"/>
          <w:sz w:val="24"/>
          <w:lang w:val="fr-CA"/>
        </w:rPr>
        <w:t xml:space="preserve">.  </w:t>
      </w:r>
      <w:r w:rsidR="001416A4" w:rsidRPr="00C103F9">
        <w:rPr>
          <w:rFonts w:ascii="Arial" w:hAnsi="Arial"/>
          <w:sz w:val="24"/>
          <w:lang w:val="fr-CA"/>
        </w:rPr>
        <w:t>Voir EC.007- Identification d’anticorps réactifs chauds.</w:t>
      </w:r>
    </w:p>
    <w:p w:rsidR="003A3135" w:rsidRPr="00C103F9" w:rsidRDefault="003A3135">
      <w:pPr>
        <w:ind w:left="2160"/>
        <w:rPr>
          <w:rFonts w:ascii="Arial" w:hAnsi="Arial"/>
          <w:sz w:val="24"/>
          <w:lang w:val="fr-CA"/>
        </w:rPr>
      </w:pPr>
    </w:p>
    <w:p w:rsidR="003A3135" w:rsidRPr="003A3135" w:rsidRDefault="00FE30B3">
      <w:pPr>
        <w:numPr>
          <w:ilvl w:val="2"/>
          <w:numId w:val="2"/>
        </w:numPr>
        <w:rPr>
          <w:rFonts w:ascii="Arial" w:hAnsi="Arial"/>
          <w:sz w:val="24"/>
          <w:lang w:val="fr-CA"/>
        </w:rPr>
      </w:pPr>
      <w:r>
        <w:rPr>
          <w:rFonts w:ascii="Arial" w:hAnsi="Arial"/>
          <w:sz w:val="24"/>
          <w:lang w:val="fr-CA"/>
        </w:rPr>
        <w:t>Si le dépistage des anticorps est négatif</w:t>
      </w:r>
      <w:r w:rsidR="00620CBD">
        <w:rPr>
          <w:rFonts w:ascii="Arial" w:hAnsi="Arial"/>
          <w:sz w:val="24"/>
          <w:lang w:val="fr-CA"/>
        </w:rPr>
        <w:t>,</w:t>
      </w:r>
      <w:r>
        <w:rPr>
          <w:rFonts w:ascii="Arial" w:hAnsi="Arial"/>
          <w:sz w:val="24"/>
          <w:lang w:val="fr-CA"/>
        </w:rPr>
        <w:t xml:space="preserve"> qu’il n’y a aucun antécédent d’anticorps cliniquement significatif et que le groupe ABO est correct</w:t>
      </w:r>
      <w:r w:rsidR="003A3135" w:rsidRPr="003A3135">
        <w:rPr>
          <w:rFonts w:ascii="Arial" w:hAnsi="Arial"/>
          <w:sz w:val="24"/>
          <w:lang w:val="fr-CA"/>
        </w:rPr>
        <w:t xml:space="preserve">, </w:t>
      </w:r>
      <w:r>
        <w:rPr>
          <w:rFonts w:ascii="Arial" w:hAnsi="Arial"/>
          <w:sz w:val="24"/>
          <w:lang w:val="fr-CA"/>
        </w:rPr>
        <w:t>l’</w:t>
      </w:r>
      <w:r w:rsidR="003A3135" w:rsidRPr="003A3135">
        <w:rPr>
          <w:rFonts w:ascii="Arial" w:hAnsi="Arial"/>
          <w:sz w:val="24"/>
          <w:lang w:val="fr-CA"/>
        </w:rPr>
        <w:t>incompatibilit</w:t>
      </w:r>
      <w:r>
        <w:rPr>
          <w:rFonts w:ascii="Arial" w:hAnsi="Arial"/>
          <w:sz w:val="24"/>
          <w:lang w:val="fr-CA"/>
        </w:rPr>
        <w:t xml:space="preserve">é est probablement due à un anticorps </w:t>
      </w:r>
      <w:r w:rsidR="003A3135" w:rsidRPr="003A3135">
        <w:rPr>
          <w:rFonts w:ascii="Arial" w:hAnsi="Arial"/>
          <w:sz w:val="24"/>
          <w:lang w:val="fr-CA"/>
        </w:rPr>
        <w:t xml:space="preserve">IgM </w:t>
      </w:r>
      <w:r>
        <w:rPr>
          <w:rFonts w:ascii="Arial" w:hAnsi="Arial"/>
          <w:sz w:val="24"/>
          <w:lang w:val="fr-CA"/>
        </w:rPr>
        <w:t xml:space="preserve">réactif froid. </w:t>
      </w:r>
    </w:p>
    <w:p w:rsidR="003A3135" w:rsidRPr="003A3135" w:rsidRDefault="003A3135">
      <w:pPr>
        <w:ind w:left="1440"/>
        <w:rPr>
          <w:rFonts w:ascii="Arial" w:hAnsi="Arial"/>
          <w:sz w:val="24"/>
          <w:lang w:val="fr-CA"/>
        </w:rPr>
      </w:pPr>
    </w:p>
    <w:p w:rsidR="003A3135" w:rsidRPr="00FE30B3" w:rsidRDefault="00FE30B3">
      <w:pPr>
        <w:numPr>
          <w:ilvl w:val="3"/>
          <w:numId w:val="2"/>
        </w:numPr>
        <w:rPr>
          <w:rFonts w:ascii="Arial" w:hAnsi="Arial"/>
          <w:sz w:val="24"/>
          <w:lang w:val="fr-CA"/>
        </w:rPr>
      </w:pPr>
      <w:r w:rsidRPr="00FE30B3">
        <w:rPr>
          <w:rFonts w:ascii="Arial" w:hAnsi="Arial"/>
          <w:sz w:val="24"/>
          <w:lang w:val="fr-CA"/>
        </w:rPr>
        <w:t xml:space="preserve">Faire une épreuve de compatibilité avec </w:t>
      </w:r>
      <w:r w:rsidR="003A3135" w:rsidRPr="00FE30B3">
        <w:rPr>
          <w:rFonts w:ascii="Arial" w:hAnsi="Arial"/>
          <w:sz w:val="24"/>
          <w:lang w:val="fr-CA"/>
        </w:rPr>
        <w:t>antiglobulin</w:t>
      </w:r>
      <w:r w:rsidRPr="00FE30B3">
        <w:rPr>
          <w:rFonts w:ascii="Arial" w:hAnsi="Arial"/>
          <w:sz w:val="24"/>
          <w:lang w:val="fr-CA"/>
        </w:rPr>
        <w:t>e</w:t>
      </w:r>
      <w:r w:rsidR="003A3135" w:rsidRPr="00FE30B3">
        <w:rPr>
          <w:rFonts w:ascii="Arial" w:hAnsi="Arial"/>
          <w:sz w:val="24"/>
          <w:lang w:val="fr-CA"/>
        </w:rPr>
        <w:t xml:space="preserve">.  </w:t>
      </w:r>
      <w:r w:rsidRPr="00FE30B3">
        <w:rPr>
          <w:rFonts w:ascii="Arial" w:hAnsi="Arial"/>
          <w:sz w:val="24"/>
          <w:lang w:val="fr-CA"/>
        </w:rPr>
        <w:t>La technique de pré-réchauffement pourrait être utile. Voir AR</w:t>
      </w:r>
      <w:r w:rsidR="003A3135" w:rsidRPr="00FE30B3">
        <w:rPr>
          <w:rFonts w:ascii="Arial" w:hAnsi="Arial"/>
          <w:sz w:val="24"/>
          <w:lang w:val="fr-CA"/>
        </w:rPr>
        <w:t xml:space="preserve">.011 – </w:t>
      </w:r>
      <w:r w:rsidRPr="00FE30B3">
        <w:rPr>
          <w:rFonts w:ascii="Arial" w:hAnsi="Arial"/>
          <w:sz w:val="24"/>
          <w:lang w:val="fr-CA"/>
        </w:rPr>
        <w:t>Épreuve de compatibilité avec antiglobuline – Solution saline, SFCI, PEG et EC</w:t>
      </w:r>
      <w:r w:rsidR="003A3135" w:rsidRPr="00FE30B3">
        <w:rPr>
          <w:rFonts w:ascii="Arial" w:hAnsi="Arial"/>
          <w:sz w:val="24"/>
          <w:lang w:val="fr-CA"/>
        </w:rPr>
        <w:t xml:space="preserve">.001 – </w:t>
      </w:r>
      <w:r w:rsidRPr="00FE30B3">
        <w:rPr>
          <w:rFonts w:ascii="Arial" w:hAnsi="Arial"/>
          <w:sz w:val="24"/>
          <w:lang w:val="fr-CA"/>
        </w:rPr>
        <w:t>Technique de pré-réchauffement.</w:t>
      </w:r>
      <w:r w:rsidRPr="00FE30B3">
        <w:rPr>
          <w:rFonts w:ascii="Arial" w:hAnsi="Arial"/>
          <w:sz w:val="24"/>
          <w:lang w:val="fr-CA"/>
        </w:rPr>
        <w:br/>
      </w:r>
      <w:r w:rsidRPr="00FE30B3">
        <w:rPr>
          <w:rFonts w:ascii="Arial" w:hAnsi="Arial"/>
          <w:sz w:val="24"/>
          <w:highlight w:val="cyan"/>
          <w:lang w:val="fr-CA"/>
        </w:rPr>
        <w:t xml:space="preserve"> </w:t>
      </w:r>
    </w:p>
    <w:p w:rsidR="003A3135" w:rsidRPr="00866D93" w:rsidRDefault="00FE30B3">
      <w:pPr>
        <w:numPr>
          <w:ilvl w:val="3"/>
          <w:numId w:val="2"/>
        </w:numPr>
        <w:rPr>
          <w:rFonts w:ascii="Arial" w:hAnsi="Arial"/>
          <w:sz w:val="24"/>
          <w:lang w:val="fr-CA"/>
        </w:rPr>
      </w:pPr>
      <w:r>
        <w:rPr>
          <w:rFonts w:ascii="Arial" w:hAnsi="Arial"/>
          <w:sz w:val="24"/>
          <w:lang w:val="fr-CA"/>
        </w:rPr>
        <w:t xml:space="preserve">Procéder à </w:t>
      </w:r>
      <w:r w:rsidR="00866D93" w:rsidRPr="00866D93">
        <w:rPr>
          <w:rFonts w:ascii="Arial" w:hAnsi="Arial"/>
          <w:sz w:val="24"/>
          <w:lang w:val="fr-CA"/>
        </w:rPr>
        <w:t xml:space="preserve">un panel </w:t>
      </w:r>
      <w:r>
        <w:rPr>
          <w:rFonts w:ascii="Arial" w:hAnsi="Arial"/>
          <w:sz w:val="24"/>
          <w:lang w:val="fr-CA"/>
        </w:rPr>
        <w:t xml:space="preserve">d’identification des </w:t>
      </w:r>
      <w:r w:rsidR="00866D93" w:rsidRPr="00866D93">
        <w:rPr>
          <w:rFonts w:ascii="Arial" w:hAnsi="Arial"/>
          <w:sz w:val="24"/>
          <w:lang w:val="fr-CA"/>
        </w:rPr>
        <w:t xml:space="preserve">anticorps </w:t>
      </w:r>
      <w:r>
        <w:rPr>
          <w:rFonts w:ascii="Arial" w:hAnsi="Arial"/>
          <w:sz w:val="24"/>
          <w:lang w:val="fr-CA"/>
        </w:rPr>
        <w:t xml:space="preserve">réactifs </w:t>
      </w:r>
      <w:r w:rsidR="00866D93" w:rsidRPr="00866D93">
        <w:rPr>
          <w:rFonts w:ascii="Arial" w:hAnsi="Arial"/>
          <w:sz w:val="24"/>
          <w:lang w:val="fr-CA"/>
        </w:rPr>
        <w:t>froids</w:t>
      </w:r>
      <w:r w:rsidR="003A3135" w:rsidRPr="00866D93">
        <w:rPr>
          <w:rFonts w:ascii="Arial" w:hAnsi="Arial"/>
          <w:sz w:val="24"/>
          <w:lang w:val="fr-CA"/>
        </w:rPr>
        <w:t xml:space="preserve">.  </w:t>
      </w:r>
      <w:r w:rsidR="001416A4" w:rsidRPr="00866D93">
        <w:rPr>
          <w:rFonts w:ascii="Arial" w:hAnsi="Arial"/>
          <w:sz w:val="24"/>
          <w:lang w:val="fr-CA"/>
        </w:rPr>
        <w:t>Voir EC.006 - Identification d'anticorps réactifs froids.</w:t>
      </w:r>
    </w:p>
    <w:p w:rsidR="003A3135" w:rsidRPr="003A3135" w:rsidRDefault="003A3135">
      <w:pPr>
        <w:ind w:left="2160"/>
        <w:rPr>
          <w:rFonts w:ascii="Arial" w:hAnsi="Arial"/>
          <w:sz w:val="24"/>
          <w:lang w:val="fr-CA"/>
        </w:rPr>
      </w:pPr>
    </w:p>
    <w:p w:rsidR="003A3135" w:rsidRPr="003A3135" w:rsidRDefault="003A3135">
      <w:pPr>
        <w:numPr>
          <w:ilvl w:val="2"/>
          <w:numId w:val="2"/>
        </w:numPr>
        <w:rPr>
          <w:rFonts w:ascii="Arial" w:hAnsi="Arial"/>
          <w:sz w:val="24"/>
          <w:lang w:val="fr-CA"/>
        </w:rPr>
      </w:pPr>
      <w:r w:rsidRPr="003A3135">
        <w:rPr>
          <w:rFonts w:ascii="Arial" w:hAnsi="Arial"/>
          <w:sz w:val="24"/>
          <w:lang w:val="fr-CA"/>
        </w:rPr>
        <w:t>In</w:t>
      </w:r>
      <w:r w:rsidR="00866D93">
        <w:rPr>
          <w:rFonts w:ascii="Arial" w:hAnsi="Arial"/>
          <w:sz w:val="24"/>
          <w:lang w:val="fr-CA"/>
        </w:rPr>
        <w:t xml:space="preserve">scrire sur le formulaire de demande que la ou les unités de donneur sont </w:t>
      </w:r>
      <w:r w:rsidRPr="003A3135">
        <w:rPr>
          <w:rFonts w:ascii="Arial" w:hAnsi="Arial"/>
          <w:sz w:val="24"/>
          <w:lang w:val="fr-CA"/>
        </w:rPr>
        <w:t>incompatible</w:t>
      </w:r>
      <w:r w:rsidR="00866D93">
        <w:rPr>
          <w:rFonts w:ascii="Arial" w:hAnsi="Arial"/>
          <w:sz w:val="24"/>
          <w:lang w:val="fr-CA"/>
        </w:rPr>
        <w:t>s</w:t>
      </w:r>
      <w:r w:rsidRPr="003A3135">
        <w:rPr>
          <w:rFonts w:ascii="Arial" w:hAnsi="Arial"/>
          <w:sz w:val="24"/>
          <w:lang w:val="fr-CA"/>
        </w:rPr>
        <w:t>.</w:t>
      </w:r>
    </w:p>
    <w:p w:rsidR="003A3135" w:rsidRPr="003A3135" w:rsidRDefault="003A3135">
      <w:pPr>
        <w:ind w:left="1440"/>
        <w:rPr>
          <w:rFonts w:ascii="Arial" w:hAnsi="Arial"/>
          <w:sz w:val="24"/>
          <w:lang w:val="fr-CA"/>
        </w:rPr>
      </w:pPr>
    </w:p>
    <w:p w:rsidR="003A3135" w:rsidRPr="003A3135" w:rsidRDefault="00866D93">
      <w:pPr>
        <w:numPr>
          <w:ilvl w:val="1"/>
          <w:numId w:val="2"/>
        </w:numPr>
        <w:rPr>
          <w:rFonts w:ascii="Arial" w:hAnsi="Arial"/>
          <w:sz w:val="24"/>
          <w:lang w:val="fr-CA"/>
        </w:rPr>
      </w:pPr>
      <w:r>
        <w:rPr>
          <w:rFonts w:ascii="Arial" w:hAnsi="Arial"/>
          <w:sz w:val="24"/>
          <w:lang w:val="fr-CA"/>
        </w:rPr>
        <w:t xml:space="preserve">Si toutes les unités de donneur sont </w:t>
      </w:r>
      <w:r w:rsidR="008564FC">
        <w:rPr>
          <w:rFonts w:ascii="Arial" w:hAnsi="Arial"/>
          <w:sz w:val="24"/>
          <w:lang w:val="fr-CA"/>
        </w:rPr>
        <w:t>compatibles </w:t>
      </w:r>
      <w:r w:rsidR="003A3135" w:rsidRPr="003A3135">
        <w:rPr>
          <w:rFonts w:ascii="Arial" w:hAnsi="Arial"/>
          <w:sz w:val="24"/>
          <w:lang w:val="fr-CA"/>
        </w:rPr>
        <w:t>:</w:t>
      </w:r>
    </w:p>
    <w:p w:rsidR="003A3135" w:rsidRPr="003A3135" w:rsidRDefault="003A3135">
      <w:pPr>
        <w:ind w:left="720"/>
        <w:rPr>
          <w:rFonts w:ascii="Arial" w:hAnsi="Arial"/>
          <w:sz w:val="24"/>
          <w:lang w:val="fr-CA"/>
        </w:rPr>
      </w:pPr>
    </w:p>
    <w:p w:rsidR="003A3135" w:rsidRPr="00866D93" w:rsidRDefault="003A3135">
      <w:pPr>
        <w:numPr>
          <w:ilvl w:val="2"/>
          <w:numId w:val="2"/>
        </w:numPr>
        <w:rPr>
          <w:rFonts w:ascii="Arial" w:hAnsi="Arial"/>
          <w:sz w:val="24"/>
          <w:lang w:val="fr-CA"/>
        </w:rPr>
      </w:pPr>
      <w:r w:rsidRPr="00866D93">
        <w:rPr>
          <w:rFonts w:ascii="Arial" w:hAnsi="Arial"/>
          <w:sz w:val="24"/>
          <w:lang w:val="fr-CA"/>
        </w:rPr>
        <w:t>Confirm</w:t>
      </w:r>
      <w:r w:rsidR="00866D93" w:rsidRPr="00866D93">
        <w:rPr>
          <w:rFonts w:ascii="Arial" w:hAnsi="Arial"/>
          <w:sz w:val="24"/>
          <w:lang w:val="fr-CA"/>
        </w:rPr>
        <w:t xml:space="preserve">er que le dépistage d’anticorps est négatif et qu’il n’y </w:t>
      </w:r>
      <w:r w:rsidRPr="00866D93">
        <w:rPr>
          <w:rFonts w:ascii="Arial" w:hAnsi="Arial"/>
          <w:sz w:val="24"/>
          <w:lang w:val="fr-CA"/>
        </w:rPr>
        <w:t xml:space="preserve"> </w:t>
      </w:r>
      <w:r w:rsidR="00866D93" w:rsidRPr="00866D93">
        <w:rPr>
          <w:rFonts w:ascii="Arial" w:hAnsi="Arial"/>
          <w:sz w:val="24"/>
          <w:lang w:val="fr-CA"/>
        </w:rPr>
        <w:t>a aucun antécédent d’anticorps cliniquement significatif</w:t>
      </w:r>
      <w:r w:rsidRPr="00866D93">
        <w:rPr>
          <w:rFonts w:ascii="Arial" w:hAnsi="Arial"/>
          <w:sz w:val="24"/>
          <w:lang w:val="fr-CA"/>
        </w:rPr>
        <w:t>.</w:t>
      </w:r>
    </w:p>
    <w:p w:rsidR="003A3135" w:rsidRPr="003A3135" w:rsidRDefault="003A3135">
      <w:pPr>
        <w:ind w:left="1440"/>
        <w:rPr>
          <w:rFonts w:ascii="Arial" w:hAnsi="Arial"/>
          <w:sz w:val="24"/>
          <w:lang w:val="fr-CA"/>
        </w:rPr>
      </w:pPr>
    </w:p>
    <w:p w:rsidR="003A3135" w:rsidRPr="003A3135" w:rsidRDefault="003A3135">
      <w:pPr>
        <w:numPr>
          <w:ilvl w:val="2"/>
          <w:numId w:val="2"/>
        </w:numPr>
        <w:rPr>
          <w:rFonts w:ascii="Arial" w:hAnsi="Arial"/>
          <w:sz w:val="24"/>
          <w:lang w:val="fr-CA"/>
        </w:rPr>
      </w:pPr>
      <w:r w:rsidRPr="003A3135">
        <w:rPr>
          <w:rFonts w:ascii="Arial" w:hAnsi="Arial"/>
          <w:sz w:val="24"/>
          <w:lang w:val="fr-CA"/>
        </w:rPr>
        <w:t>Indi</w:t>
      </w:r>
      <w:r w:rsidR="00866D93">
        <w:rPr>
          <w:rFonts w:ascii="Arial" w:hAnsi="Arial"/>
          <w:sz w:val="24"/>
          <w:lang w:val="fr-CA"/>
        </w:rPr>
        <w:t>quer sur le formulaire de demande que la ou les unités de donneur sont compatibles</w:t>
      </w:r>
      <w:r w:rsidRPr="003A3135">
        <w:rPr>
          <w:rFonts w:ascii="Arial" w:hAnsi="Arial"/>
          <w:sz w:val="24"/>
          <w:lang w:val="fr-CA"/>
        </w:rPr>
        <w:t>.</w:t>
      </w:r>
    </w:p>
    <w:p w:rsidR="003A3135" w:rsidRPr="003A3135" w:rsidRDefault="003A3135">
      <w:pPr>
        <w:ind w:left="1440"/>
        <w:rPr>
          <w:rFonts w:ascii="Arial" w:hAnsi="Arial"/>
          <w:sz w:val="24"/>
          <w:lang w:val="fr-CA"/>
        </w:rPr>
      </w:pPr>
    </w:p>
    <w:p w:rsidR="003A3135" w:rsidRPr="003A3135" w:rsidRDefault="003A3135">
      <w:pPr>
        <w:numPr>
          <w:ilvl w:val="2"/>
          <w:numId w:val="2"/>
        </w:numPr>
        <w:rPr>
          <w:rFonts w:ascii="Arial" w:hAnsi="Arial"/>
          <w:sz w:val="24"/>
          <w:lang w:val="fr-CA"/>
        </w:rPr>
      </w:pPr>
      <w:r w:rsidRPr="003A3135">
        <w:rPr>
          <w:rFonts w:ascii="Arial" w:hAnsi="Arial"/>
          <w:sz w:val="24"/>
          <w:lang w:val="fr-CA"/>
        </w:rPr>
        <w:t xml:space="preserve">  </w:t>
      </w:r>
      <w:r w:rsidR="00866D93" w:rsidRPr="00866D93">
        <w:rPr>
          <w:rFonts w:ascii="Arial" w:hAnsi="Arial"/>
          <w:sz w:val="24"/>
          <w:lang w:val="fr-CA"/>
        </w:rPr>
        <w:t>Sortir les unités de donneurs du réfrigérateur</w:t>
      </w:r>
      <w:r w:rsidRPr="003A3135">
        <w:rPr>
          <w:rFonts w:ascii="Arial" w:hAnsi="Arial"/>
          <w:sz w:val="24"/>
          <w:lang w:val="fr-CA"/>
        </w:rPr>
        <w:t>.</w:t>
      </w:r>
    </w:p>
    <w:p w:rsidR="003A3135" w:rsidRPr="003A3135" w:rsidRDefault="003A3135">
      <w:pPr>
        <w:ind w:left="1440"/>
        <w:rPr>
          <w:rFonts w:ascii="Arial" w:hAnsi="Arial"/>
          <w:sz w:val="24"/>
          <w:lang w:val="fr-CA"/>
        </w:rPr>
      </w:pPr>
    </w:p>
    <w:p w:rsidR="003A3135" w:rsidRPr="003A3135" w:rsidRDefault="003A3135">
      <w:pPr>
        <w:numPr>
          <w:ilvl w:val="2"/>
          <w:numId w:val="2"/>
        </w:numPr>
        <w:rPr>
          <w:rFonts w:ascii="Arial" w:hAnsi="Arial"/>
          <w:sz w:val="24"/>
          <w:lang w:val="fr-CA"/>
        </w:rPr>
      </w:pPr>
      <w:r w:rsidRPr="003A3135">
        <w:rPr>
          <w:rFonts w:ascii="Arial" w:hAnsi="Arial"/>
          <w:sz w:val="24"/>
          <w:lang w:val="fr-CA"/>
        </w:rPr>
        <w:t xml:space="preserve"> </w:t>
      </w:r>
      <w:r w:rsidR="00866D93" w:rsidRPr="00866D93">
        <w:rPr>
          <w:rFonts w:ascii="Arial" w:hAnsi="Arial"/>
          <w:sz w:val="24"/>
          <w:lang w:val="fr-CA"/>
        </w:rPr>
        <w:t xml:space="preserve">Pour chaque unité de donneur, comparer le numéro de l’unité imprimé sur le sac de sang au numéro d’unité inscrit sur </w:t>
      </w:r>
      <w:r w:rsidR="00866D93">
        <w:rPr>
          <w:rFonts w:ascii="Arial" w:hAnsi="Arial"/>
          <w:sz w:val="24"/>
          <w:lang w:val="fr-CA"/>
        </w:rPr>
        <w:t xml:space="preserve">le formulaire de demande et sur </w:t>
      </w:r>
      <w:r w:rsidR="00866D93" w:rsidRPr="00866D93">
        <w:rPr>
          <w:rFonts w:ascii="Arial" w:hAnsi="Arial"/>
          <w:sz w:val="24"/>
          <w:lang w:val="fr-CA"/>
        </w:rPr>
        <w:t xml:space="preserve">l’étiquette de compatibilité. Ils doivent être </w:t>
      </w:r>
      <w:r w:rsidR="00866D93" w:rsidRPr="00227B87">
        <w:rPr>
          <w:rFonts w:ascii="Arial" w:hAnsi="Arial"/>
          <w:sz w:val="24"/>
          <w:lang w:val="fr-CA"/>
        </w:rPr>
        <w:t>identiques</w:t>
      </w:r>
      <w:r w:rsidRPr="003A3135">
        <w:rPr>
          <w:rFonts w:ascii="Arial" w:hAnsi="Arial"/>
          <w:sz w:val="24"/>
          <w:lang w:val="fr-CA"/>
        </w:rPr>
        <w:t>.</w:t>
      </w:r>
    </w:p>
    <w:p w:rsidR="003A3135" w:rsidRPr="003A3135" w:rsidRDefault="003A3135">
      <w:pPr>
        <w:ind w:left="1440"/>
        <w:rPr>
          <w:rFonts w:ascii="Arial" w:hAnsi="Arial"/>
          <w:sz w:val="24"/>
          <w:lang w:val="fr-CA"/>
        </w:rPr>
      </w:pPr>
    </w:p>
    <w:p w:rsidR="003A3135" w:rsidRPr="00C179BC" w:rsidRDefault="003A3135">
      <w:pPr>
        <w:numPr>
          <w:ilvl w:val="2"/>
          <w:numId w:val="2"/>
        </w:numPr>
        <w:rPr>
          <w:rFonts w:ascii="Arial" w:hAnsi="Arial"/>
          <w:sz w:val="24"/>
          <w:lang w:val="fr-CA"/>
        </w:rPr>
      </w:pPr>
      <w:r w:rsidRPr="003A3135">
        <w:rPr>
          <w:rFonts w:ascii="Arial" w:hAnsi="Arial"/>
          <w:sz w:val="24"/>
          <w:lang w:val="fr-CA"/>
        </w:rPr>
        <w:t xml:space="preserve"> </w:t>
      </w:r>
      <w:r w:rsidR="001416A4" w:rsidRPr="00C179BC">
        <w:rPr>
          <w:rFonts w:ascii="Arial" w:hAnsi="Arial"/>
          <w:sz w:val="24"/>
          <w:lang w:val="fr-CA"/>
        </w:rPr>
        <w:t>Attacher une étiquette de compatibilité aux unités de donneurs compatibles.</w:t>
      </w:r>
    </w:p>
    <w:p w:rsidR="003A3135" w:rsidRPr="00C179BC" w:rsidRDefault="003A3135">
      <w:pPr>
        <w:ind w:left="1440"/>
        <w:rPr>
          <w:rFonts w:ascii="Arial" w:hAnsi="Arial"/>
          <w:sz w:val="24"/>
          <w:lang w:val="fr-CA"/>
        </w:rPr>
      </w:pPr>
    </w:p>
    <w:p w:rsidR="003A3135" w:rsidRPr="00C179BC" w:rsidRDefault="003A3135">
      <w:pPr>
        <w:numPr>
          <w:ilvl w:val="2"/>
          <w:numId w:val="2"/>
        </w:numPr>
        <w:rPr>
          <w:rFonts w:ascii="Arial" w:hAnsi="Arial"/>
          <w:sz w:val="24"/>
          <w:lang w:val="fr-CA"/>
        </w:rPr>
      </w:pPr>
      <w:r w:rsidRPr="00C179BC">
        <w:rPr>
          <w:rFonts w:ascii="Arial" w:hAnsi="Arial"/>
          <w:sz w:val="24"/>
          <w:lang w:val="fr-CA"/>
        </w:rPr>
        <w:t xml:space="preserve">  </w:t>
      </w:r>
      <w:r w:rsidR="001416A4" w:rsidRPr="00C179BC">
        <w:rPr>
          <w:rFonts w:ascii="Arial" w:hAnsi="Arial"/>
          <w:sz w:val="24"/>
          <w:lang w:val="fr-CA"/>
        </w:rPr>
        <w:t xml:space="preserve">Vérifier que chaque </w:t>
      </w:r>
      <w:r w:rsidR="00F7250E">
        <w:rPr>
          <w:rFonts w:ascii="Arial" w:hAnsi="Arial"/>
          <w:sz w:val="24"/>
          <w:lang w:val="fr-CA"/>
        </w:rPr>
        <w:t>unité</w:t>
      </w:r>
      <w:r w:rsidR="001416A4" w:rsidRPr="00C179BC">
        <w:rPr>
          <w:rFonts w:ascii="Arial" w:hAnsi="Arial"/>
          <w:sz w:val="24"/>
          <w:lang w:val="fr-CA"/>
        </w:rPr>
        <w:t xml:space="preserve"> de donneur :</w:t>
      </w:r>
    </w:p>
    <w:p w:rsidR="003A3135" w:rsidRPr="00C179BC" w:rsidRDefault="003A3135">
      <w:pPr>
        <w:ind w:left="1440"/>
        <w:rPr>
          <w:rFonts w:ascii="Arial" w:hAnsi="Arial"/>
          <w:sz w:val="24"/>
          <w:lang w:val="fr-CA"/>
        </w:rPr>
      </w:pPr>
    </w:p>
    <w:p w:rsidR="003A3135" w:rsidRPr="00C179BC" w:rsidRDefault="001416A4">
      <w:pPr>
        <w:numPr>
          <w:ilvl w:val="0"/>
          <w:numId w:val="8"/>
        </w:numPr>
        <w:tabs>
          <w:tab w:val="clear" w:pos="360"/>
          <w:tab w:val="num" w:pos="2520"/>
        </w:tabs>
        <w:ind w:left="2520"/>
        <w:rPr>
          <w:rFonts w:ascii="Arial" w:hAnsi="Arial"/>
          <w:sz w:val="24"/>
          <w:lang w:val="fr-CA"/>
        </w:rPr>
      </w:pPr>
      <w:r w:rsidRPr="00C179BC">
        <w:rPr>
          <w:rFonts w:ascii="Arial" w:hAnsi="Arial"/>
          <w:sz w:val="24"/>
          <w:lang w:val="fr-CA"/>
        </w:rPr>
        <w:t>convient à la transfusion en effectuant une inspection visuelle.  Voir GI.003 - Inspection visuelle du sang, des composants sanguins et des produits de fractionnement</w:t>
      </w:r>
      <w:r w:rsidR="004E39BE">
        <w:rPr>
          <w:rFonts w:ascii="Arial" w:hAnsi="Arial"/>
          <w:sz w:val="24"/>
          <w:lang w:val="fr-CA"/>
        </w:rPr>
        <w:t>;</w:t>
      </w:r>
    </w:p>
    <w:p w:rsidR="003A3135" w:rsidRPr="00C179BC" w:rsidRDefault="003A3135">
      <w:pPr>
        <w:ind w:left="2160"/>
        <w:rPr>
          <w:rFonts w:ascii="Arial" w:hAnsi="Arial"/>
          <w:sz w:val="24"/>
          <w:lang w:val="fr-CA"/>
        </w:rPr>
      </w:pPr>
    </w:p>
    <w:p w:rsidR="003A3135" w:rsidRPr="00C179BC" w:rsidRDefault="001416A4">
      <w:pPr>
        <w:numPr>
          <w:ilvl w:val="0"/>
          <w:numId w:val="8"/>
        </w:numPr>
        <w:tabs>
          <w:tab w:val="clear" w:pos="360"/>
          <w:tab w:val="num" w:pos="2520"/>
        </w:tabs>
        <w:ind w:left="2520"/>
        <w:rPr>
          <w:rFonts w:ascii="Arial" w:hAnsi="Arial"/>
          <w:sz w:val="24"/>
          <w:lang w:val="fr-CA"/>
        </w:rPr>
      </w:pPr>
      <w:r w:rsidRPr="00C179BC">
        <w:rPr>
          <w:rFonts w:ascii="Arial" w:hAnsi="Arial"/>
          <w:sz w:val="24"/>
          <w:lang w:val="fr-CA"/>
        </w:rPr>
        <w:t>n'a</w:t>
      </w:r>
      <w:r w:rsidR="00BE73A5">
        <w:rPr>
          <w:rFonts w:ascii="Arial" w:hAnsi="Arial"/>
          <w:sz w:val="24"/>
          <w:lang w:val="fr-CA"/>
        </w:rPr>
        <w:t>ura</w:t>
      </w:r>
      <w:r w:rsidRPr="00C179BC">
        <w:rPr>
          <w:rFonts w:ascii="Arial" w:hAnsi="Arial"/>
          <w:sz w:val="24"/>
          <w:lang w:val="fr-CA"/>
        </w:rPr>
        <w:t xml:space="preserve"> pas atteint sa date de péremption au moment de la transfusion</w:t>
      </w:r>
      <w:r w:rsidR="004E39BE">
        <w:rPr>
          <w:rFonts w:ascii="Arial" w:hAnsi="Arial"/>
          <w:sz w:val="24"/>
          <w:lang w:val="fr-CA"/>
        </w:rPr>
        <w:t>;</w:t>
      </w:r>
    </w:p>
    <w:p w:rsidR="003A3135" w:rsidRPr="00C179BC" w:rsidRDefault="003A3135">
      <w:pPr>
        <w:ind w:left="2160"/>
        <w:rPr>
          <w:rFonts w:ascii="Arial" w:hAnsi="Arial"/>
          <w:sz w:val="24"/>
          <w:lang w:val="fr-CA"/>
        </w:rPr>
      </w:pPr>
    </w:p>
    <w:p w:rsidR="003A3135" w:rsidRPr="00C179BC" w:rsidRDefault="001416A4">
      <w:pPr>
        <w:numPr>
          <w:ilvl w:val="0"/>
          <w:numId w:val="8"/>
        </w:numPr>
        <w:tabs>
          <w:tab w:val="clear" w:pos="360"/>
          <w:tab w:val="num" w:pos="2520"/>
        </w:tabs>
        <w:ind w:left="2520"/>
        <w:rPr>
          <w:rFonts w:ascii="Arial" w:hAnsi="Arial"/>
          <w:sz w:val="24"/>
          <w:lang w:val="fr-CA"/>
        </w:rPr>
      </w:pPr>
      <w:r w:rsidRPr="00C179BC">
        <w:rPr>
          <w:rFonts w:ascii="Arial" w:hAnsi="Arial"/>
          <w:sz w:val="24"/>
          <w:lang w:val="fr-CA"/>
        </w:rPr>
        <w:t xml:space="preserve">est de même groupe </w:t>
      </w:r>
      <w:r w:rsidR="003A3135" w:rsidRPr="00C179BC">
        <w:rPr>
          <w:rFonts w:ascii="Arial" w:hAnsi="Arial"/>
          <w:sz w:val="24"/>
          <w:lang w:val="fr-CA"/>
        </w:rPr>
        <w:t>ABO</w:t>
      </w:r>
      <w:r w:rsidRPr="00C179BC">
        <w:rPr>
          <w:rFonts w:ascii="Arial" w:hAnsi="Arial"/>
          <w:sz w:val="24"/>
          <w:lang w:val="fr-CA"/>
        </w:rPr>
        <w:t xml:space="preserve"> et </w:t>
      </w:r>
      <w:r w:rsidR="007B76C6">
        <w:rPr>
          <w:rFonts w:ascii="Arial" w:hAnsi="Arial"/>
          <w:sz w:val="24"/>
          <w:lang w:val="fr-CA"/>
        </w:rPr>
        <w:t xml:space="preserve">facteur </w:t>
      </w:r>
      <w:r w:rsidR="003A3135" w:rsidRPr="00C179BC">
        <w:rPr>
          <w:rFonts w:ascii="Arial" w:hAnsi="Arial"/>
          <w:sz w:val="24"/>
          <w:lang w:val="fr-CA"/>
        </w:rPr>
        <w:t>R</w:t>
      </w:r>
      <w:r w:rsidRPr="00C179BC">
        <w:rPr>
          <w:rFonts w:ascii="Arial" w:hAnsi="Arial"/>
          <w:sz w:val="24"/>
          <w:lang w:val="fr-CA"/>
        </w:rPr>
        <w:t xml:space="preserve">h que le patient.  </w:t>
      </w:r>
      <w:r w:rsidR="003A3135" w:rsidRPr="00C179BC">
        <w:rPr>
          <w:rFonts w:ascii="Arial" w:hAnsi="Arial"/>
          <w:sz w:val="24"/>
          <w:lang w:val="fr-CA"/>
        </w:rPr>
        <w:t>S</w:t>
      </w:r>
      <w:r w:rsidRPr="00C179BC">
        <w:rPr>
          <w:rFonts w:ascii="Arial" w:hAnsi="Arial"/>
          <w:sz w:val="24"/>
          <w:lang w:val="fr-CA"/>
        </w:rPr>
        <w:t xml:space="preserve">i une unité de donneur ayant un groupe </w:t>
      </w:r>
      <w:r w:rsidR="003A3135" w:rsidRPr="00C179BC">
        <w:rPr>
          <w:rFonts w:ascii="Arial" w:hAnsi="Arial"/>
          <w:sz w:val="24"/>
          <w:lang w:val="fr-CA"/>
        </w:rPr>
        <w:t>ABO</w:t>
      </w:r>
      <w:r w:rsidRPr="00C179BC">
        <w:rPr>
          <w:rFonts w:ascii="Arial" w:hAnsi="Arial"/>
          <w:sz w:val="24"/>
          <w:lang w:val="fr-CA"/>
        </w:rPr>
        <w:t xml:space="preserve"> et/ou </w:t>
      </w:r>
      <w:r w:rsidR="003A3135" w:rsidRPr="00C179BC">
        <w:rPr>
          <w:rFonts w:ascii="Arial" w:hAnsi="Arial"/>
          <w:sz w:val="24"/>
          <w:lang w:val="fr-CA"/>
        </w:rPr>
        <w:t>R</w:t>
      </w:r>
      <w:r w:rsidRPr="00C179BC">
        <w:rPr>
          <w:rFonts w:ascii="Arial" w:hAnsi="Arial"/>
          <w:sz w:val="24"/>
          <w:lang w:val="fr-CA"/>
        </w:rPr>
        <w:t xml:space="preserve">h différent a été </w:t>
      </w:r>
      <w:r w:rsidR="008564FC">
        <w:rPr>
          <w:rFonts w:ascii="Arial" w:hAnsi="Arial"/>
          <w:sz w:val="24"/>
          <w:lang w:val="fr-CA"/>
        </w:rPr>
        <w:t>choisie</w:t>
      </w:r>
      <w:r w:rsidRPr="00C179BC">
        <w:rPr>
          <w:rFonts w:ascii="Arial" w:hAnsi="Arial"/>
          <w:sz w:val="24"/>
          <w:lang w:val="fr-CA"/>
        </w:rPr>
        <w:t>, inscrire une note explicative au bas du formulaire de demande ou de l'étiquette de compatibilité, p. ex. « </w:t>
      </w:r>
      <w:r w:rsidR="002F0C50">
        <w:rPr>
          <w:rFonts w:ascii="Arial" w:hAnsi="Arial"/>
          <w:sz w:val="24"/>
          <w:lang w:val="fr-CA"/>
        </w:rPr>
        <w:t>C</w:t>
      </w:r>
      <w:r w:rsidR="002F0C50" w:rsidRPr="00C179BC">
        <w:rPr>
          <w:rFonts w:ascii="Arial" w:hAnsi="Arial"/>
          <w:sz w:val="24"/>
          <w:lang w:val="fr-CA"/>
        </w:rPr>
        <w:t xml:space="preserve">ette </w:t>
      </w:r>
      <w:r w:rsidRPr="00C179BC">
        <w:rPr>
          <w:rFonts w:ascii="Arial" w:hAnsi="Arial"/>
          <w:sz w:val="24"/>
          <w:lang w:val="fr-CA"/>
        </w:rPr>
        <w:t>unité est acceptable pour la transfusion ».</w:t>
      </w:r>
    </w:p>
    <w:p w:rsidR="003A3135" w:rsidRPr="003A3135" w:rsidRDefault="005C7767">
      <w:pPr>
        <w:numPr>
          <w:ilvl w:val="2"/>
          <w:numId w:val="2"/>
        </w:numPr>
        <w:rPr>
          <w:rFonts w:ascii="Arial" w:hAnsi="Arial"/>
          <w:sz w:val="24"/>
          <w:lang w:val="fr-CA"/>
        </w:rPr>
      </w:pPr>
      <w:r w:rsidRPr="005C7767">
        <w:rPr>
          <w:rFonts w:ascii="Arial" w:hAnsi="Arial"/>
          <w:sz w:val="24"/>
          <w:lang w:val="fr-CA"/>
        </w:rPr>
        <w:t xml:space="preserve">Comparer les noms et le(s) numéro(s) d’identification sur l’étiquette de compatibilité et sur le formulaire de demande (ou à l’écran) pour s’assurer qu’ils sont </w:t>
      </w:r>
      <w:r w:rsidRPr="00F7250E">
        <w:rPr>
          <w:rFonts w:ascii="Arial" w:hAnsi="Arial"/>
          <w:sz w:val="24"/>
          <w:lang w:val="fr-CA"/>
        </w:rPr>
        <w:t>identiques</w:t>
      </w:r>
      <w:r w:rsidR="003A3135" w:rsidRPr="003A3135">
        <w:rPr>
          <w:rFonts w:ascii="Arial" w:hAnsi="Arial"/>
          <w:sz w:val="24"/>
          <w:lang w:val="fr-CA"/>
        </w:rPr>
        <w:t>.</w:t>
      </w:r>
    </w:p>
    <w:p w:rsidR="003A3135" w:rsidRPr="003A3135" w:rsidRDefault="003A3135">
      <w:pPr>
        <w:ind w:left="1440"/>
        <w:rPr>
          <w:rFonts w:ascii="Arial" w:hAnsi="Arial"/>
          <w:sz w:val="24"/>
          <w:lang w:val="fr-CA"/>
        </w:rPr>
      </w:pPr>
    </w:p>
    <w:p w:rsidR="003A3135" w:rsidRPr="00C179BC" w:rsidRDefault="001416A4">
      <w:pPr>
        <w:numPr>
          <w:ilvl w:val="1"/>
          <w:numId w:val="2"/>
        </w:numPr>
        <w:rPr>
          <w:rFonts w:ascii="Arial" w:hAnsi="Arial"/>
          <w:sz w:val="24"/>
          <w:lang w:val="fr-CA"/>
        </w:rPr>
      </w:pPr>
      <w:r w:rsidRPr="00C179BC">
        <w:rPr>
          <w:rFonts w:ascii="Arial" w:hAnsi="Arial"/>
          <w:sz w:val="24"/>
          <w:lang w:val="fr-CA"/>
        </w:rPr>
        <w:t>Placer les unités des donneurs dans le réfrigérateur à l'endroit où l'on place le sang ayant subi une épreuve de compatibilité.</w:t>
      </w:r>
      <w:r w:rsidR="003A3135" w:rsidRPr="00C179BC">
        <w:rPr>
          <w:rFonts w:ascii="Arial" w:hAnsi="Arial"/>
          <w:sz w:val="24"/>
          <w:lang w:val="fr-CA"/>
        </w:rPr>
        <w:t xml:space="preserve">  </w:t>
      </w:r>
      <w:r w:rsidRPr="00C179BC">
        <w:rPr>
          <w:rFonts w:ascii="Arial" w:hAnsi="Arial"/>
          <w:sz w:val="24"/>
          <w:lang w:val="fr-CA"/>
        </w:rPr>
        <w:t>Placer les unités en ordre chronologique, l</w:t>
      </w:r>
      <w:r w:rsidR="004E39BE">
        <w:rPr>
          <w:rFonts w:ascii="Arial" w:hAnsi="Arial"/>
          <w:sz w:val="24"/>
          <w:lang w:val="fr-CA"/>
        </w:rPr>
        <w:t>a</w:t>
      </w:r>
      <w:r w:rsidRPr="00C179BC">
        <w:rPr>
          <w:rFonts w:ascii="Arial" w:hAnsi="Arial"/>
          <w:sz w:val="24"/>
          <w:lang w:val="fr-CA"/>
        </w:rPr>
        <w:t xml:space="preserve"> plus vieille en avant.</w:t>
      </w:r>
    </w:p>
    <w:p w:rsidR="003A3135" w:rsidRPr="00C179BC" w:rsidRDefault="003A3135">
      <w:pPr>
        <w:ind w:left="720"/>
        <w:rPr>
          <w:rFonts w:ascii="Arial" w:hAnsi="Arial"/>
          <w:sz w:val="24"/>
          <w:lang w:val="fr-CA"/>
        </w:rPr>
      </w:pPr>
    </w:p>
    <w:p w:rsidR="003A3135" w:rsidRPr="00C179BC" w:rsidRDefault="001416A4">
      <w:pPr>
        <w:numPr>
          <w:ilvl w:val="1"/>
          <w:numId w:val="2"/>
        </w:numPr>
        <w:rPr>
          <w:rFonts w:ascii="Arial" w:hAnsi="Arial"/>
          <w:sz w:val="24"/>
          <w:lang w:val="fr-CA"/>
        </w:rPr>
      </w:pPr>
      <w:r w:rsidRPr="00C179BC">
        <w:rPr>
          <w:rFonts w:ascii="Arial" w:hAnsi="Arial"/>
          <w:sz w:val="24"/>
          <w:lang w:val="fr-CA"/>
        </w:rPr>
        <w:t>Procéder à une vérification.</w:t>
      </w:r>
      <w:r w:rsidR="003A3135" w:rsidRPr="00C179BC">
        <w:rPr>
          <w:rFonts w:ascii="Arial" w:hAnsi="Arial"/>
          <w:sz w:val="24"/>
          <w:lang w:val="fr-CA"/>
        </w:rPr>
        <w:t xml:space="preserve"> </w:t>
      </w:r>
      <w:r w:rsidR="002F0C50">
        <w:rPr>
          <w:rFonts w:ascii="Arial" w:hAnsi="Arial"/>
          <w:sz w:val="24"/>
          <w:lang w:val="fr-CA"/>
        </w:rPr>
        <w:t>I</w:t>
      </w:r>
      <w:r w:rsidRPr="00C179BC">
        <w:rPr>
          <w:rFonts w:ascii="Arial" w:hAnsi="Arial"/>
          <w:sz w:val="24"/>
          <w:lang w:val="fr-CA"/>
        </w:rPr>
        <w:t>l faut s'assurer pour chaque patient des éléments suivants :</w:t>
      </w:r>
    </w:p>
    <w:p w:rsidR="003A3135" w:rsidRPr="00C179BC" w:rsidRDefault="003A3135">
      <w:pPr>
        <w:ind w:left="720"/>
        <w:rPr>
          <w:rFonts w:ascii="Arial" w:hAnsi="Arial"/>
          <w:sz w:val="24"/>
          <w:lang w:val="fr-CA"/>
        </w:rPr>
      </w:pPr>
    </w:p>
    <w:p w:rsidR="003A3135" w:rsidRPr="00C179BC" w:rsidRDefault="001416A4">
      <w:pPr>
        <w:numPr>
          <w:ilvl w:val="0"/>
          <w:numId w:val="9"/>
        </w:numPr>
        <w:tabs>
          <w:tab w:val="clear" w:pos="360"/>
          <w:tab w:val="num" w:pos="1800"/>
        </w:tabs>
        <w:ind w:left="1800"/>
        <w:rPr>
          <w:rFonts w:ascii="Arial" w:hAnsi="Arial"/>
          <w:sz w:val="24"/>
          <w:lang w:val="fr-CA"/>
        </w:rPr>
      </w:pPr>
      <w:r w:rsidRPr="00C179BC">
        <w:rPr>
          <w:rFonts w:ascii="Arial" w:hAnsi="Arial"/>
          <w:sz w:val="24"/>
          <w:lang w:val="fr-CA"/>
        </w:rPr>
        <w:t>le nom du patient et le(s) numéro(s) d'identification sont identiques sur tous les échantillons et sur le formulaire de demande</w:t>
      </w:r>
      <w:r w:rsidR="004E39BE">
        <w:rPr>
          <w:rFonts w:ascii="Arial" w:hAnsi="Arial"/>
          <w:sz w:val="24"/>
          <w:lang w:val="fr-CA"/>
        </w:rPr>
        <w:t>;</w:t>
      </w:r>
    </w:p>
    <w:p w:rsidR="003A3135" w:rsidRPr="005C7767" w:rsidRDefault="003A3135">
      <w:pPr>
        <w:ind w:left="1440"/>
        <w:rPr>
          <w:rFonts w:ascii="Arial" w:hAnsi="Arial"/>
          <w:sz w:val="24"/>
          <w:lang w:val="fr-CA"/>
        </w:rPr>
      </w:pPr>
    </w:p>
    <w:p w:rsidR="003A3135" w:rsidRPr="005C7767" w:rsidRDefault="004E39BE">
      <w:pPr>
        <w:numPr>
          <w:ilvl w:val="0"/>
          <w:numId w:val="9"/>
        </w:numPr>
        <w:tabs>
          <w:tab w:val="clear" w:pos="360"/>
          <w:tab w:val="num" w:pos="1800"/>
        </w:tabs>
        <w:ind w:left="1800"/>
        <w:rPr>
          <w:rFonts w:ascii="Arial" w:hAnsi="Arial"/>
          <w:sz w:val="24"/>
          <w:lang w:val="fr-CA"/>
        </w:rPr>
      </w:pPr>
      <w:r>
        <w:rPr>
          <w:rFonts w:ascii="Arial" w:hAnsi="Arial"/>
          <w:sz w:val="24"/>
          <w:lang w:val="fr-CA"/>
        </w:rPr>
        <w:t>l</w:t>
      </w:r>
      <w:r w:rsidR="007E0714" w:rsidRPr="005C7767">
        <w:rPr>
          <w:rFonts w:ascii="Arial" w:hAnsi="Arial"/>
          <w:sz w:val="24"/>
          <w:lang w:val="fr-CA"/>
        </w:rPr>
        <w:t xml:space="preserve">es numéros de série des unités de donneur sont </w:t>
      </w:r>
      <w:r w:rsidR="003A3135" w:rsidRPr="00BE73A5">
        <w:rPr>
          <w:rFonts w:ascii="Arial" w:hAnsi="Arial"/>
          <w:sz w:val="24"/>
          <w:lang w:val="fr-CA"/>
        </w:rPr>
        <w:t>identi</w:t>
      </w:r>
      <w:r w:rsidR="007E0714" w:rsidRPr="00BE73A5">
        <w:rPr>
          <w:rFonts w:ascii="Arial" w:hAnsi="Arial"/>
          <w:sz w:val="24"/>
          <w:lang w:val="fr-CA"/>
        </w:rPr>
        <w:t>ques</w:t>
      </w:r>
      <w:r w:rsidR="007E0714" w:rsidRPr="005C7767">
        <w:rPr>
          <w:rFonts w:ascii="Arial" w:hAnsi="Arial"/>
          <w:b/>
          <w:sz w:val="24"/>
          <w:lang w:val="fr-CA"/>
        </w:rPr>
        <w:t xml:space="preserve"> </w:t>
      </w:r>
      <w:r w:rsidR="007E0714" w:rsidRPr="005C7767">
        <w:rPr>
          <w:rFonts w:ascii="Arial" w:hAnsi="Arial"/>
          <w:sz w:val="24"/>
          <w:lang w:val="fr-CA"/>
        </w:rPr>
        <w:t>sur les tubes à essai et sur le formulaire de demande</w:t>
      </w:r>
      <w:r>
        <w:rPr>
          <w:rFonts w:ascii="Arial" w:hAnsi="Arial"/>
          <w:sz w:val="24"/>
          <w:lang w:val="fr-CA"/>
        </w:rPr>
        <w:t>;</w:t>
      </w:r>
    </w:p>
    <w:p w:rsidR="003A3135" w:rsidRPr="007E0714" w:rsidRDefault="003A3135">
      <w:pPr>
        <w:ind w:left="1440"/>
        <w:rPr>
          <w:rFonts w:ascii="Arial" w:hAnsi="Arial"/>
          <w:sz w:val="24"/>
          <w:lang w:val="fr-CA"/>
        </w:rPr>
      </w:pPr>
    </w:p>
    <w:p w:rsidR="003A3135" w:rsidRPr="007E0714" w:rsidRDefault="001416A4">
      <w:pPr>
        <w:numPr>
          <w:ilvl w:val="0"/>
          <w:numId w:val="9"/>
        </w:numPr>
        <w:tabs>
          <w:tab w:val="clear" w:pos="360"/>
          <w:tab w:val="num" w:pos="1800"/>
        </w:tabs>
        <w:ind w:left="1800"/>
        <w:rPr>
          <w:rFonts w:ascii="Arial" w:hAnsi="Arial"/>
          <w:sz w:val="24"/>
          <w:lang w:val="fr-CA"/>
        </w:rPr>
      </w:pPr>
      <w:r w:rsidRPr="007E0714">
        <w:rPr>
          <w:rFonts w:ascii="Arial" w:hAnsi="Arial"/>
          <w:sz w:val="24"/>
          <w:lang w:val="fr-CA"/>
        </w:rPr>
        <w:t>tous les résultats ont été inscrits</w:t>
      </w:r>
      <w:r w:rsidR="004E39BE">
        <w:rPr>
          <w:rFonts w:ascii="Arial" w:hAnsi="Arial"/>
          <w:sz w:val="24"/>
          <w:lang w:val="fr-CA"/>
        </w:rPr>
        <w:t>;</w:t>
      </w:r>
    </w:p>
    <w:p w:rsidR="003A3135" w:rsidRPr="007E0714" w:rsidRDefault="003A3135">
      <w:pPr>
        <w:ind w:left="1440"/>
        <w:rPr>
          <w:rFonts w:ascii="Arial" w:hAnsi="Arial"/>
          <w:sz w:val="24"/>
          <w:lang w:val="fr-CA"/>
        </w:rPr>
      </w:pPr>
    </w:p>
    <w:p w:rsidR="003A3135" w:rsidRPr="007E0714" w:rsidRDefault="001416A4">
      <w:pPr>
        <w:numPr>
          <w:ilvl w:val="0"/>
          <w:numId w:val="9"/>
        </w:numPr>
        <w:tabs>
          <w:tab w:val="clear" w:pos="360"/>
          <w:tab w:val="num" w:pos="1800"/>
        </w:tabs>
        <w:ind w:left="1800"/>
        <w:rPr>
          <w:rFonts w:ascii="Arial" w:hAnsi="Arial"/>
          <w:sz w:val="24"/>
          <w:lang w:val="fr-CA"/>
        </w:rPr>
      </w:pPr>
      <w:r w:rsidRPr="007E0714">
        <w:rPr>
          <w:rFonts w:ascii="Arial" w:hAnsi="Arial"/>
          <w:sz w:val="24"/>
          <w:lang w:val="fr-CA"/>
        </w:rPr>
        <w:t>les résultats ont été interprétés et inscrits correctement.</w:t>
      </w:r>
    </w:p>
    <w:p w:rsidR="003A3135" w:rsidRPr="003A3135" w:rsidRDefault="003A3135">
      <w:pPr>
        <w:ind w:left="1440"/>
        <w:rPr>
          <w:rFonts w:ascii="Arial" w:hAnsi="Arial"/>
          <w:sz w:val="24"/>
          <w:lang w:val="fr-CA"/>
        </w:rPr>
      </w:pPr>
    </w:p>
    <w:p w:rsidR="003A3135" w:rsidRPr="007E0714" w:rsidRDefault="001416A4">
      <w:pPr>
        <w:numPr>
          <w:ilvl w:val="1"/>
          <w:numId w:val="2"/>
        </w:numPr>
        <w:rPr>
          <w:rFonts w:ascii="Arial" w:hAnsi="Arial"/>
          <w:sz w:val="24"/>
          <w:lang w:val="fr-CA"/>
        </w:rPr>
      </w:pPr>
      <w:r w:rsidRPr="00C179BC">
        <w:rPr>
          <w:rFonts w:ascii="Arial" w:hAnsi="Arial"/>
          <w:sz w:val="24"/>
          <w:lang w:val="fr-CA"/>
        </w:rPr>
        <w:t xml:space="preserve">Mettre ses initiales ou signer et inscrire la date de la conclusion de </w:t>
      </w:r>
      <w:r w:rsidRPr="007E0714">
        <w:rPr>
          <w:rFonts w:ascii="Arial" w:hAnsi="Arial"/>
          <w:sz w:val="24"/>
          <w:lang w:val="fr-CA"/>
        </w:rPr>
        <w:t>l'épreuve sur le formulaire de demande ou à l'ordinateur.</w:t>
      </w:r>
    </w:p>
    <w:p w:rsidR="003A3135" w:rsidRPr="007E0714" w:rsidRDefault="003A3135">
      <w:pPr>
        <w:ind w:left="720"/>
        <w:rPr>
          <w:rFonts w:ascii="Arial" w:hAnsi="Arial"/>
          <w:sz w:val="24"/>
          <w:lang w:val="fr-CA"/>
        </w:rPr>
      </w:pPr>
    </w:p>
    <w:p w:rsidR="003A3135" w:rsidRPr="007E0714" w:rsidRDefault="001416A4">
      <w:pPr>
        <w:numPr>
          <w:ilvl w:val="0"/>
          <w:numId w:val="2"/>
        </w:numPr>
        <w:rPr>
          <w:rFonts w:ascii="Arial" w:hAnsi="Arial"/>
          <w:b/>
          <w:sz w:val="28"/>
          <w:lang w:val="fr-CA"/>
        </w:rPr>
      </w:pPr>
      <w:r w:rsidRPr="007E0714">
        <w:rPr>
          <w:rFonts w:ascii="Arial" w:hAnsi="Arial"/>
          <w:b/>
          <w:sz w:val="28"/>
          <w:lang w:val="fr-CA"/>
        </w:rPr>
        <w:t>Documentation</w:t>
      </w:r>
    </w:p>
    <w:p w:rsidR="003A3135" w:rsidRPr="007E0714" w:rsidRDefault="003A3135">
      <w:pPr>
        <w:rPr>
          <w:rFonts w:ascii="Arial" w:hAnsi="Arial"/>
          <w:sz w:val="24"/>
          <w:lang w:val="fr-CA"/>
        </w:rPr>
      </w:pPr>
    </w:p>
    <w:p w:rsidR="003A3135" w:rsidRPr="007E0714" w:rsidRDefault="007E0714">
      <w:pPr>
        <w:numPr>
          <w:ilvl w:val="1"/>
          <w:numId w:val="2"/>
        </w:numPr>
        <w:rPr>
          <w:rFonts w:ascii="Arial" w:hAnsi="Arial"/>
          <w:sz w:val="24"/>
          <w:lang w:val="fr-CA"/>
        </w:rPr>
      </w:pPr>
      <w:r w:rsidRPr="007E0714">
        <w:rPr>
          <w:rFonts w:ascii="Arial" w:hAnsi="Arial"/>
          <w:sz w:val="24"/>
          <w:lang w:val="fr-CA"/>
        </w:rPr>
        <w:t>L’absence d’agglutination ou d’hémolyse indique que l</w:t>
      </w:r>
      <w:r w:rsidR="00EF30F4">
        <w:rPr>
          <w:rFonts w:ascii="Arial" w:hAnsi="Arial"/>
          <w:sz w:val="24"/>
          <w:lang w:val="fr-CA"/>
        </w:rPr>
        <w:t xml:space="preserve">e groupe </w:t>
      </w:r>
      <w:r w:rsidRPr="007E0714">
        <w:rPr>
          <w:rFonts w:ascii="Arial" w:hAnsi="Arial"/>
          <w:sz w:val="24"/>
          <w:lang w:val="fr-CA"/>
        </w:rPr>
        <w:t xml:space="preserve">ABO des unités de donneur est compatible avec le plasma du patient. </w:t>
      </w:r>
    </w:p>
    <w:p w:rsidR="003A3135" w:rsidRPr="007E0714" w:rsidRDefault="003A3135">
      <w:pPr>
        <w:ind w:left="720"/>
        <w:rPr>
          <w:rFonts w:ascii="Arial" w:hAnsi="Arial"/>
          <w:sz w:val="24"/>
          <w:lang w:val="fr-CA"/>
        </w:rPr>
      </w:pPr>
    </w:p>
    <w:p w:rsidR="003A3135" w:rsidRPr="007E0714" w:rsidRDefault="007E0714">
      <w:pPr>
        <w:numPr>
          <w:ilvl w:val="1"/>
          <w:numId w:val="2"/>
        </w:numPr>
        <w:rPr>
          <w:rFonts w:ascii="Arial" w:hAnsi="Arial"/>
          <w:sz w:val="24"/>
          <w:lang w:val="fr-CA"/>
        </w:rPr>
      </w:pPr>
      <w:r w:rsidRPr="007E0714">
        <w:rPr>
          <w:rFonts w:ascii="Arial" w:hAnsi="Arial"/>
          <w:sz w:val="24"/>
          <w:lang w:val="fr-CA"/>
        </w:rPr>
        <w:t xml:space="preserve">La présence d’agglutinat ou d’hémolyse indique que l’unité du donneur est incompatible. Cette incompatibilité peut être </w:t>
      </w:r>
      <w:r w:rsidR="00F7250E">
        <w:rPr>
          <w:rFonts w:ascii="Arial" w:hAnsi="Arial"/>
          <w:sz w:val="24"/>
          <w:lang w:val="fr-CA"/>
        </w:rPr>
        <w:t>l</w:t>
      </w:r>
      <w:r w:rsidRPr="007E0714">
        <w:rPr>
          <w:rFonts w:ascii="Arial" w:hAnsi="Arial"/>
          <w:sz w:val="24"/>
          <w:lang w:val="fr-CA"/>
        </w:rPr>
        <w:t xml:space="preserve">iée à la présence </w:t>
      </w:r>
      <w:r w:rsidRPr="002F0C50">
        <w:rPr>
          <w:rFonts w:ascii="Arial" w:hAnsi="Arial"/>
          <w:sz w:val="24"/>
          <w:lang w:val="fr-CA"/>
        </w:rPr>
        <w:t xml:space="preserve">d’un anticorps ABO ou d’un anticorps IgM </w:t>
      </w:r>
      <w:r w:rsidR="002F0C50">
        <w:rPr>
          <w:rFonts w:ascii="Arial" w:hAnsi="Arial"/>
          <w:sz w:val="24"/>
          <w:lang w:val="fr-CA"/>
        </w:rPr>
        <w:t xml:space="preserve">réactif </w:t>
      </w:r>
      <w:r w:rsidRPr="002F0C50">
        <w:rPr>
          <w:rFonts w:ascii="Arial" w:hAnsi="Arial"/>
          <w:sz w:val="24"/>
          <w:lang w:val="fr-CA"/>
        </w:rPr>
        <w:t>froid</w:t>
      </w:r>
      <w:r w:rsidRPr="007E0714">
        <w:rPr>
          <w:rFonts w:ascii="Arial" w:hAnsi="Arial"/>
          <w:sz w:val="24"/>
          <w:lang w:val="fr-CA"/>
        </w:rPr>
        <w:t xml:space="preserve"> dans le plasma du patient.</w:t>
      </w:r>
    </w:p>
    <w:p w:rsidR="003A3135" w:rsidRPr="003A3135" w:rsidRDefault="003A3135">
      <w:pPr>
        <w:ind w:left="720"/>
        <w:rPr>
          <w:rFonts w:ascii="Arial" w:hAnsi="Arial"/>
          <w:sz w:val="24"/>
          <w:lang w:val="fr-CA"/>
        </w:rPr>
      </w:pPr>
    </w:p>
    <w:p w:rsidR="003A3135" w:rsidRPr="003A3135" w:rsidRDefault="007E0714">
      <w:pPr>
        <w:numPr>
          <w:ilvl w:val="2"/>
          <w:numId w:val="2"/>
        </w:numPr>
        <w:rPr>
          <w:rFonts w:ascii="Arial" w:hAnsi="Arial"/>
          <w:sz w:val="24"/>
          <w:lang w:val="fr-CA"/>
        </w:rPr>
      </w:pPr>
      <w:r>
        <w:rPr>
          <w:rFonts w:ascii="Arial" w:hAnsi="Arial"/>
          <w:sz w:val="24"/>
          <w:lang w:val="fr-CA"/>
        </w:rPr>
        <w:t>En sit</w:t>
      </w:r>
      <w:r w:rsidR="00EF30F4">
        <w:rPr>
          <w:rFonts w:ascii="Arial" w:hAnsi="Arial"/>
          <w:sz w:val="24"/>
          <w:lang w:val="fr-CA"/>
        </w:rPr>
        <w:t>uation non urgente, ne</w:t>
      </w:r>
      <w:r>
        <w:rPr>
          <w:rFonts w:ascii="Arial" w:hAnsi="Arial"/>
          <w:sz w:val="24"/>
          <w:lang w:val="fr-CA"/>
        </w:rPr>
        <w:t xml:space="preserve"> pas transfuser d</w:t>
      </w:r>
      <w:r w:rsidR="004E39BE">
        <w:rPr>
          <w:rFonts w:ascii="Arial" w:hAnsi="Arial"/>
          <w:sz w:val="24"/>
          <w:lang w:val="fr-CA"/>
        </w:rPr>
        <w:t>’</w:t>
      </w:r>
      <w:r>
        <w:rPr>
          <w:rFonts w:ascii="Arial" w:hAnsi="Arial"/>
          <w:sz w:val="24"/>
          <w:lang w:val="fr-CA"/>
        </w:rPr>
        <w:t xml:space="preserve">unité de donneur incompatible et </w:t>
      </w:r>
      <w:r w:rsidR="00EF30F4">
        <w:rPr>
          <w:rFonts w:ascii="Arial" w:hAnsi="Arial"/>
          <w:sz w:val="24"/>
          <w:lang w:val="fr-CA"/>
        </w:rPr>
        <w:t>investiguer l</w:t>
      </w:r>
      <w:r>
        <w:rPr>
          <w:rFonts w:ascii="Arial" w:hAnsi="Arial"/>
          <w:sz w:val="24"/>
          <w:lang w:val="fr-CA"/>
        </w:rPr>
        <w:t xml:space="preserve">a cause de l’incompatibilité. </w:t>
      </w:r>
    </w:p>
    <w:p w:rsidR="003A3135" w:rsidRPr="003A3135" w:rsidRDefault="003A3135">
      <w:pPr>
        <w:ind w:left="1440"/>
        <w:rPr>
          <w:rFonts w:ascii="Arial" w:hAnsi="Arial"/>
          <w:sz w:val="24"/>
          <w:lang w:val="fr-CA"/>
        </w:rPr>
      </w:pPr>
    </w:p>
    <w:p w:rsidR="003A3135" w:rsidRPr="007E0714" w:rsidRDefault="007E0714">
      <w:pPr>
        <w:numPr>
          <w:ilvl w:val="2"/>
          <w:numId w:val="2"/>
        </w:numPr>
        <w:rPr>
          <w:rFonts w:ascii="Arial" w:hAnsi="Arial"/>
          <w:sz w:val="24"/>
          <w:lang w:val="fr-CA"/>
        </w:rPr>
      </w:pPr>
      <w:r w:rsidRPr="007E0714">
        <w:rPr>
          <w:rFonts w:ascii="Arial" w:hAnsi="Arial"/>
          <w:sz w:val="24"/>
          <w:lang w:val="fr-CA"/>
        </w:rPr>
        <w:t xml:space="preserve">Si une </w:t>
      </w:r>
      <w:r w:rsidR="003A3135" w:rsidRPr="007E0714">
        <w:rPr>
          <w:rFonts w:ascii="Arial" w:hAnsi="Arial"/>
          <w:sz w:val="24"/>
          <w:lang w:val="fr-CA"/>
        </w:rPr>
        <w:t xml:space="preserve">transfusion </w:t>
      </w:r>
      <w:r w:rsidRPr="007E0714">
        <w:rPr>
          <w:rFonts w:ascii="Arial" w:hAnsi="Arial"/>
          <w:sz w:val="24"/>
          <w:lang w:val="fr-CA"/>
        </w:rPr>
        <w:t xml:space="preserve">est essentielle, obtenir l’autorisation du </w:t>
      </w:r>
      <w:r w:rsidR="003A3135" w:rsidRPr="007E0714">
        <w:rPr>
          <w:rFonts w:ascii="Arial" w:hAnsi="Arial"/>
          <w:sz w:val="24"/>
          <w:lang w:val="fr-CA"/>
        </w:rPr>
        <w:t xml:space="preserve"> </w:t>
      </w:r>
      <w:r w:rsidRPr="007E0714">
        <w:rPr>
          <w:rFonts w:ascii="Arial" w:hAnsi="Arial"/>
          <w:sz w:val="24"/>
          <w:lang w:val="fr-CA"/>
        </w:rPr>
        <w:t xml:space="preserve">directeur médical ou de son représentant. Inscrire au dossier l’obtention de cette autorisation. </w:t>
      </w:r>
      <w:r w:rsidR="00A771A5">
        <w:rPr>
          <w:rFonts w:ascii="Arial" w:hAnsi="Arial"/>
          <w:sz w:val="24"/>
          <w:lang w:val="fr-CA"/>
        </w:rPr>
        <w:br/>
      </w:r>
    </w:p>
    <w:p w:rsidR="003A3135" w:rsidRPr="007E0714" w:rsidRDefault="00DD244C">
      <w:pPr>
        <w:numPr>
          <w:ilvl w:val="0"/>
          <w:numId w:val="2"/>
        </w:numPr>
        <w:rPr>
          <w:rFonts w:ascii="Arial" w:hAnsi="Arial"/>
          <w:b/>
          <w:sz w:val="28"/>
          <w:lang w:val="fr-CA"/>
        </w:rPr>
      </w:pPr>
      <w:r>
        <w:rPr>
          <w:rFonts w:ascii="Arial" w:hAnsi="Arial"/>
          <w:b/>
          <w:sz w:val="28"/>
          <w:lang w:val="fr-CA"/>
        </w:rPr>
        <w:br w:type="page"/>
      </w:r>
      <w:r w:rsidR="001416A4" w:rsidRPr="007E0714">
        <w:rPr>
          <w:rFonts w:ascii="Arial" w:hAnsi="Arial"/>
          <w:b/>
          <w:sz w:val="28"/>
          <w:lang w:val="fr-CA"/>
        </w:rPr>
        <w:t>Remarques</w:t>
      </w:r>
    </w:p>
    <w:p w:rsidR="003A3135" w:rsidRPr="007E0714" w:rsidRDefault="003A3135">
      <w:pPr>
        <w:rPr>
          <w:rFonts w:ascii="Arial" w:hAnsi="Arial"/>
          <w:sz w:val="24"/>
          <w:lang w:val="fr-CA"/>
        </w:rPr>
      </w:pPr>
    </w:p>
    <w:p w:rsidR="003A3135" w:rsidRPr="007E0714" w:rsidRDefault="000E3D9C">
      <w:pPr>
        <w:numPr>
          <w:ilvl w:val="1"/>
          <w:numId w:val="2"/>
        </w:numPr>
        <w:rPr>
          <w:rFonts w:ascii="Arial" w:hAnsi="Arial"/>
          <w:sz w:val="24"/>
          <w:lang w:val="fr-CA"/>
        </w:rPr>
      </w:pPr>
      <w:r w:rsidRPr="007E0714">
        <w:rPr>
          <w:rFonts w:ascii="Arial" w:hAnsi="Arial"/>
          <w:sz w:val="24"/>
          <w:lang w:val="fr-CA"/>
        </w:rPr>
        <w:t xml:space="preserve">Présence de segments coagulés dans une unité de donneur : </w:t>
      </w:r>
    </w:p>
    <w:p w:rsidR="003A3135" w:rsidRPr="007E0714" w:rsidRDefault="003A3135">
      <w:pPr>
        <w:ind w:left="720"/>
        <w:rPr>
          <w:rFonts w:ascii="Arial" w:hAnsi="Arial"/>
          <w:sz w:val="24"/>
          <w:lang w:val="fr-CA"/>
        </w:rPr>
      </w:pPr>
    </w:p>
    <w:p w:rsidR="003A3135" w:rsidRPr="007E0714" w:rsidRDefault="007E0714">
      <w:pPr>
        <w:numPr>
          <w:ilvl w:val="2"/>
          <w:numId w:val="2"/>
        </w:numPr>
        <w:rPr>
          <w:rFonts w:ascii="Arial" w:hAnsi="Arial"/>
          <w:sz w:val="24"/>
          <w:lang w:val="fr-CA"/>
        </w:rPr>
      </w:pPr>
      <w:r w:rsidRPr="007E0714">
        <w:rPr>
          <w:rFonts w:ascii="Arial" w:hAnsi="Arial"/>
          <w:sz w:val="24"/>
          <w:lang w:val="fr-CA"/>
        </w:rPr>
        <w:t>En présence de segments coagulés, inspecter le segment suivant attaché au sac, jusqu’à ce que l’on trouve un segment qui ne soit pas coagulé</w:t>
      </w:r>
      <w:r w:rsidR="003A3135" w:rsidRPr="007E0714">
        <w:rPr>
          <w:rFonts w:ascii="Arial" w:hAnsi="Arial"/>
          <w:sz w:val="24"/>
          <w:lang w:val="fr-CA"/>
        </w:rPr>
        <w:t>.</w:t>
      </w:r>
    </w:p>
    <w:p w:rsidR="003A3135" w:rsidRPr="007E0714" w:rsidRDefault="003A3135">
      <w:pPr>
        <w:ind w:left="1440"/>
        <w:rPr>
          <w:rFonts w:ascii="Arial" w:hAnsi="Arial"/>
          <w:sz w:val="24"/>
          <w:lang w:val="fr-CA"/>
        </w:rPr>
      </w:pPr>
    </w:p>
    <w:p w:rsidR="003A3135" w:rsidRPr="007E0714" w:rsidRDefault="000E3D9C">
      <w:pPr>
        <w:numPr>
          <w:ilvl w:val="2"/>
          <w:numId w:val="2"/>
        </w:numPr>
        <w:rPr>
          <w:rFonts w:ascii="Arial" w:hAnsi="Arial"/>
          <w:sz w:val="24"/>
          <w:lang w:val="fr-CA"/>
        </w:rPr>
      </w:pPr>
      <w:r w:rsidRPr="007E0714">
        <w:rPr>
          <w:rFonts w:ascii="Arial" w:hAnsi="Arial"/>
          <w:sz w:val="24"/>
          <w:lang w:val="fr-CA"/>
        </w:rPr>
        <w:t>Si tous les segments sont coagulés, en aviser le fournisseur de sang</w:t>
      </w:r>
      <w:r w:rsidR="003A3135" w:rsidRPr="007E0714">
        <w:rPr>
          <w:rFonts w:ascii="Arial" w:hAnsi="Arial"/>
          <w:sz w:val="24"/>
          <w:lang w:val="fr-CA"/>
        </w:rPr>
        <w:t xml:space="preserve">.  </w:t>
      </w:r>
      <w:r w:rsidR="001416A4" w:rsidRPr="007E0714">
        <w:rPr>
          <w:rFonts w:ascii="Arial" w:hAnsi="Arial"/>
          <w:sz w:val="24"/>
          <w:lang w:val="fr-CA"/>
        </w:rPr>
        <w:t>Voir GI.005 - Disposition finale du sang, des composants sanguins et des produits connexes qui ne sont pas en état d'être transfusés - procédure manuelle.</w:t>
      </w:r>
    </w:p>
    <w:p w:rsidR="003A3135" w:rsidRPr="003A3135" w:rsidRDefault="003A3135">
      <w:pPr>
        <w:ind w:left="1440"/>
        <w:rPr>
          <w:rFonts w:ascii="Arial" w:hAnsi="Arial"/>
          <w:sz w:val="24"/>
          <w:lang w:val="fr-CA"/>
        </w:rPr>
      </w:pPr>
    </w:p>
    <w:p w:rsidR="003A3135" w:rsidRPr="003A3135" w:rsidRDefault="000E3D9C">
      <w:pPr>
        <w:numPr>
          <w:ilvl w:val="1"/>
          <w:numId w:val="2"/>
        </w:numPr>
        <w:rPr>
          <w:rFonts w:ascii="Arial" w:hAnsi="Arial"/>
          <w:sz w:val="24"/>
          <w:lang w:val="fr-CA"/>
        </w:rPr>
      </w:pPr>
      <w:r>
        <w:rPr>
          <w:rFonts w:ascii="Arial" w:hAnsi="Arial"/>
          <w:sz w:val="24"/>
          <w:lang w:val="fr-CA"/>
        </w:rPr>
        <w:t>Un segment hémolysé peut n’apparaître qu’au moment du lavage du segment</w:t>
      </w:r>
      <w:r w:rsidR="003A3135" w:rsidRPr="003A3135">
        <w:rPr>
          <w:rFonts w:ascii="Arial" w:hAnsi="Arial"/>
          <w:sz w:val="24"/>
          <w:lang w:val="fr-CA"/>
        </w:rPr>
        <w:t xml:space="preserve"> (</w:t>
      </w:r>
      <w:r>
        <w:rPr>
          <w:rFonts w:ascii="Arial" w:hAnsi="Arial"/>
          <w:sz w:val="24"/>
          <w:lang w:val="fr-CA"/>
        </w:rPr>
        <w:t>c.-à.d. surnageant rougeâtre</w:t>
      </w:r>
      <w:r w:rsidR="003A3135" w:rsidRPr="003A3135">
        <w:rPr>
          <w:rFonts w:ascii="Arial" w:hAnsi="Arial"/>
          <w:sz w:val="24"/>
          <w:lang w:val="fr-CA"/>
        </w:rPr>
        <w:t>).</w:t>
      </w:r>
    </w:p>
    <w:p w:rsidR="003A3135" w:rsidRPr="000E3D9C" w:rsidRDefault="003A3135">
      <w:pPr>
        <w:ind w:left="720"/>
        <w:rPr>
          <w:rFonts w:ascii="Arial" w:hAnsi="Arial"/>
          <w:sz w:val="24"/>
          <w:lang w:val="fr-CA"/>
        </w:rPr>
      </w:pPr>
    </w:p>
    <w:p w:rsidR="003A3135" w:rsidRPr="000E3D9C" w:rsidRDefault="000E3D9C">
      <w:pPr>
        <w:numPr>
          <w:ilvl w:val="2"/>
          <w:numId w:val="2"/>
        </w:numPr>
        <w:rPr>
          <w:rFonts w:ascii="Arial" w:hAnsi="Arial"/>
          <w:sz w:val="24"/>
          <w:lang w:val="fr-CA"/>
        </w:rPr>
      </w:pPr>
      <w:r w:rsidRPr="000E3D9C">
        <w:rPr>
          <w:rFonts w:ascii="Arial" w:hAnsi="Arial"/>
          <w:sz w:val="24"/>
          <w:lang w:val="fr-CA"/>
        </w:rPr>
        <w:t>En présence d’hémolyse, laver une autre suspension en se servant du segment suivant attaché au sac, jusqu’à ce que l’on trouve un segment qui ne subisse pas d’hémolyse</w:t>
      </w:r>
      <w:r w:rsidR="003A3135" w:rsidRPr="000E3D9C">
        <w:rPr>
          <w:rFonts w:ascii="Arial" w:hAnsi="Arial"/>
          <w:sz w:val="24"/>
          <w:lang w:val="fr-CA"/>
        </w:rPr>
        <w:t>.</w:t>
      </w:r>
    </w:p>
    <w:p w:rsidR="003A3135" w:rsidRPr="003A3135" w:rsidRDefault="003A3135">
      <w:pPr>
        <w:ind w:left="1440"/>
        <w:rPr>
          <w:rFonts w:ascii="Arial" w:hAnsi="Arial"/>
          <w:sz w:val="24"/>
          <w:lang w:val="fr-CA"/>
        </w:rPr>
      </w:pPr>
    </w:p>
    <w:p w:rsidR="003A3135" w:rsidRPr="000E3D9C" w:rsidRDefault="000E3D9C">
      <w:pPr>
        <w:numPr>
          <w:ilvl w:val="2"/>
          <w:numId w:val="2"/>
        </w:numPr>
        <w:rPr>
          <w:rFonts w:ascii="Arial" w:hAnsi="Arial"/>
          <w:sz w:val="24"/>
          <w:lang w:val="fr-CA"/>
        </w:rPr>
      </w:pPr>
      <w:r w:rsidRPr="000E3D9C">
        <w:rPr>
          <w:rFonts w:ascii="Arial" w:hAnsi="Arial"/>
          <w:sz w:val="24"/>
          <w:lang w:val="fr-CA"/>
        </w:rPr>
        <w:t>Si tous les segments sont hémolysés, en aviser le fournisseur de sang</w:t>
      </w:r>
      <w:r w:rsidR="003A3135" w:rsidRPr="000E3D9C">
        <w:rPr>
          <w:rFonts w:ascii="Arial" w:hAnsi="Arial"/>
          <w:sz w:val="24"/>
          <w:lang w:val="fr-CA"/>
        </w:rPr>
        <w:t xml:space="preserve">.  </w:t>
      </w:r>
      <w:r w:rsidR="001416A4" w:rsidRPr="000E3D9C">
        <w:rPr>
          <w:rFonts w:ascii="Arial" w:hAnsi="Arial"/>
          <w:sz w:val="24"/>
          <w:lang w:val="fr-CA"/>
        </w:rPr>
        <w:t>Voir GI.005 - Disposition finale du sang, des composants sanguins et des produits connexes qui ne sont pas en état d'être transfusés - procédure manuelle.</w:t>
      </w:r>
    </w:p>
    <w:p w:rsidR="003A3135" w:rsidRPr="000E3D9C" w:rsidRDefault="003A3135">
      <w:pPr>
        <w:rPr>
          <w:rFonts w:ascii="Arial" w:hAnsi="Arial"/>
          <w:sz w:val="24"/>
          <w:lang w:val="fr-CA"/>
        </w:rPr>
      </w:pPr>
    </w:p>
    <w:p w:rsidR="003A3135" w:rsidRDefault="001416A4">
      <w:pPr>
        <w:numPr>
          <w:ilvl w:val="1"/>
          <w:numId w:val="2"/>
        </w:numPr>
        <w:rPr>
          <w:rFonts w:ascii="Arial" w:hAnsi="Arial"/>
          <w:sz w:val="24"/>
          <w:lang w:val="fr-CA"/>
        </w:rPr>
      </w:pPr>
      <w:r w:rsidRPr="000E3D9C">
        <w:rPr>
          <w:rFonts w:ascii="Arial" w:hAnsi="Arial"/>
          <w:sz w:val="24"/>
          <w:lang w:val="fr-CA"/>
        </w:rPr>
        <w:t xml:space="preserve">Tenir la pipette ou le compte-gouttes </w:t>
      </w:r>
      <w:r w:rsidRPr="00BE73A5">
        <w:rPr>
          <w:rFonts w:ascii="Arial" w:hAnsi="Arial"/>
          <w:sz w:val="24"/>
          <w:lang w:val="fr-CA"/>
        </w:rPr>
        <w:t>à la verticale</w:t>
      </w:r>
      <w:r w:rsidRPr="000E3D9C">
        <w:rPr>
          <w:rFonts w:ascii="Arial" w:hAnsi="Arial"/>
          <w:sz w:val="24"/>
          <w:lang w:val="fr-CA"/>
        </w:rPr>
        <w:t xml:space="preserve"> lors de l'ajout de plasma ou de réactif.</w:t>
      </w:r>
      <w:r w:rsidR="00BE73A5">
        <w:rPr>
          <w:rFonts w:ascii="Arial" w:hAnsi="Arial"/>
          <w:sz w:val="24"/>
          <w:lang w:val="fr-CA"/>
        </w:rPr>
        <w:br/>
      </w:r>
    </w:p>
    <w:p w:rsidR="00BE73A5" w:rsidRDefault="00BE73A5">
      <w:pPr>
        <w:numPr>
          <w:ilvl w:val="1"/>
          <w:numId w:val="2"/>
        </w:numPr>
        <w:rPr>
          <w:rFonts w:ascii="Arial" w:hAnsi="Arial"/>
          <w:sz w:val="24"/>
          <w:lang w:val="fr-CA"/>
        </w:rPr>
      </w:pPr>
      <w:r>
        <w:rPr>
          <w:rFonts w:ascii="Arial" w:hAnsi="Arial"/>
          <w:sz w:val="24"/>
          <w:lang w:val="fr-CA"/>
        </w:rPr>
        <w:t xml:space="preserve">La présence de concentration élevée d’anti A ou d’anti-B dans l’échantillon du patient pourrait susciter un encombrement stérique et un résultat faussement négatif. L’utilisation d’un échantillon EDTA préviendra ce problème. </w:t>
      </w:r>
    </w:p>
    <w:p w:rsidR="003A3135" w:rsidRPr="000E3D9C" w:rsidRDefault="003A3135">
      <w:pPr>
        <w:ind w:left="720"/>
        <w:rPr>
          <w:rFonts w:ascii="Arial" w:hAnsi="Arial"/>
          <w:sz w:val="24"/>
          <w:lang w:val="fr-CA"/>
        </w:rPr>
      </w:pPr>
    </w:p>
    <w:p w:rsidR="003A3135" w:rsidRPr="000E3D9C" w:rsidRDefault="000E3D9C">
      <w:pPr>
        <w:numPr>
          <w:ilvl w:val="1"/>
          <w:numId w:val="2"/>
        </w:numPr>
        <w:rPr>
          <w:rFonts w:ascii="Arial" w:hAnsi="Arial"/>
          <w:sz w:val="24"/>
          <w:lang w:val="fr-CA"/>
        </w:rPr>
      </w:pPr>
      <w:r w:rsidRPr="000E3D9C">
        <w:rPr>
          <w:rFonts w:ascii="Arial" w:hAnsi="Arial"/>
          <w:sz w:val="24"/>
          <w:lang w:val="fr-CA"/>
        </w:rPr>
        <w:t xml:space="preserve">Si une réaction positive attendue lors de l’épreuve de groupage sérique </w:t>
      </w:r>
      <w:r w:rsidR="003A3135" w:rsidRPr="000E3D9C">
        <w:rPr>
          <w:rFonts w:ascii="Arial" w:hAnsi="Arial"/>
          <w:sz w:val="24"/>
          <w:lang w:val="fr-CA"/>
        </w:rPr>
        <w:t>(</w:t>
      </w:r>
      <w:r w:rsidRPr="000E3D9C">
        <w:rPr>
          <w:rFonts w:ascii="Arial" w:hAnsi="Arial"/>
          <w:sz w:val="24"/>
          <w:lang w:val="fr-CA"/>
        </w:rPr>
        <w:t xml:space="preserve">cellule </w:t>
      </w:r>
      <w:r w:rsidR="003A3135" w:rsidRPr="000E3D9C">
        <w:rPr>
          <w:rFonts w:ascii="Arial" w:hAnsi="Arial"/>
          <w:sz w:val="24"/>
          <w:lang w:val="fr-CA"/>
        </w:rPr>
        <w:t>A</w:t>
      </w:r>
      <w:r w:rsidR="003A3135" w:rsidRPr="000E3D9C">
        <w:rPr>
          <w:rFonts w:ascii="Arial" w:hAnsi="Arial"/>
          <w:sz w:val="24"/>
          <w:vertAlign w:val="subscript"/>
          <w:lang w:val="fr-CA"/>
        </w:rPr>
        <w:t>1</w:t>
      </w:r>
      <w:r w:rsidR="003A3135" w:rsidRPr="000E3D9C">
        <w:rPr>
          <w:rFonts w:ascii="Arial" w:hAnsi="Arial"/>
          <w:sz w:val="24"/>
          <w:lang w:val="fr-CA"/>
        </w:rPr>
        <w:t xml:space="preserve"> </w:t>
      </w:r>
      <w:r w:rsidRPr="000E3D9C">
        <w:rPr>
          <w:rFonts w:ascii="Arial" w:hAnsi="Arial"/>
          <w:sz w:val="24"/>
          <w:lang w:val="fr-CA"/>
        </w:rPr>
        <w:t xml:space="preserve">et/ou </w:t>
      </w:r>
      <w:r w:rsidR="003A3135" w:rsidRPr="000E3D9C">
        <w:rPr>
          <w:rFonts w:ascii="Arial" w:hAnsi="Arial"/>
          <w:sz w:val="24"/>
          <w:lang w:val="fr-CA"/>
        </w:rPr>
        <w:t xml:space="preserve">B) </w:t>
      </w:r>
      <w:r w:rsidRPr="000E3D9C">
        <w:rPr>
          <w:rFonts w:ascii="Arial" w:hAnsi="Arial"/>
          <w:sz w:val="24"/>
          <w:lang w:val="fr-CA"/>
        </w:rPr>
        <w:t>est faible ou de niveau 1</w:t>
      </w:r>
      <w:r w:rsidR="003A3135" w:rsidRPr="000E3D9C">
        <w:rPr>
          <w:rFonts w:ascii="Arial" w:hAnsi="Arial"/>
          <w:sz w:val="24"/>
          <w:lang w:val="fr-CA"/>
        </w:rPr>
        <w:t xml:space="preserve">, </w:t>
      </w:r>
      <w:r w:rsidRPr="000E3D9C">
        <w:rPr>
          <w:rFonts w:ascii="Arial" w:hAnsi="Arial"/>
          <w:sz w:val="24"/>
          <w:lang w:val="fr-CA"/>
        </w:rPr>
        <w:t>il se pourrait que l’échantillon ne soit pas fiable pour dépister une incompatibilité ABO. Si la confirmation de l’</w:t>
      </w:r>
      <w:r w:rsidR="003A3135" w:rsidRPr="000E3D9C">
        <w:rPr>
          <w:rFonts w:ascii="Arial" w:hAnsi="Arial"/>
          <w:sz w:val="24"/>
          <w:lang w:val="fr-CA"/>
        </w:rPr>
        <w:t xml:space="preserve">ABO </w:t>
      </w:r>
      <w:r w:rsidRPr="000E3D9C">
        <w:rPr>
          <w:rFonts w:ascii="Arial" w:hAnsi="Arial"/>
          <w:sz w:val="24"/>
          <w:lang w:val="fr-CA"/>
        </w:rPr>
        <w:t>n’est pas faite au moment de la réception des unités de donneur, confirmer le groupe ABO de toutes les unités de donneur soumises à une</w:t>
      </w:r>
      <w:r w:rsidR="004E39BE">
        <w:rPr>
          <w:rFonts w:ascii="Arial" w:hAnsi="Arial"/>
          <w:sz w:val="24"/>
          <w:lang w:val="fr-CA"/>
        </w:rPr>
        <w:t xml:space="preserve"> épreuve de</w:t>
      </w:r>
      <w:r w:rsidRPr="000E3D9C">
        <w:rPr>
          <w:rFonts w:ascii="Arial" w:hAnsi="Arial"/>
          <w:sz w:val="24"/>
          <w:lang w:val="fr-CA"/>
        </w:rPr>
        <w:t xml:space="preserve"> compatibilité</w:t>
      </w:r>
      <w:r w:rsidR="003A3135" w:rsidRPr="000E3D9C">
        <w:rPr>
          <w:rFonts w:ascii="Arial" w:hAnsi="Arial"/>
          <w:sz w:val="24"/>
          <w:lang w:val="fr-CA"/>
        </w:rPr>
        <w:t xml:space="preserve">.  </w:t>
      </w:r>
      <w:r w:rsidRPr="000E3D9C">
        <w:rPr>
          <w:rFonts w:ascii="Arial" w:hAnsi="Arial"/>
          <w:sz w:val="24"/>
          <w:lang w:val="fr-CA"/>
        </w:rPr>
        <w:t xml:space="preserve">Inscrire : </w:t>
      </w:r>
      <w:r w:rsidR="00776443">
        <w:rPr>
          <w:rFonts w:ascii="Arial" w:hAnsi="Arial"/>
          <w:sz w:val="24"/>
          <w:lang w:val="fr-CA"/>
        </w:rPr>
        <w:t>« </w:t>
      </w:r>
      <w:r w:rsidRPr="000E3D9C">
        <w:rPr>
          <w:rFonts w:ascii="Arial" w:hAnsi="Arial"/>
          <w:sz w:val="24"/>
          <w:lang w:val="fr-CA"/>
        </w:rPr>
        <w:t>ABO des unités de donneur confirmé » sur le formulaire de demande.</w:t>
      </w:r>
    </w:p>
    <w:p w:rsidR="003A3135" w:rsidRPr="003A3135" w:rsidRDefault="003A3135">
      <w:pPr>
        <w:ind w:left="720"/>
        <w:rPr>
          <w:rFonts w:ascii="Arial" w:hAnsi="Arial"/>
          <w:sz w:val="24"/>
          <w:lang w:val="fr-CA"/>
        </w:rPr>
      </w:pPr>
    </w:p>
    <w:p w:rsidR="003A3135" w:rsidRPr="00C179BC" w:rsidRDefault="00DD244C">
      <w:pPr>
        <w:numPr>
          <w:ilvl w:val="0"/>
          <w:numId w:val="2"/>
        </w:numPr>
        <w:rPr>
          <w:rFonts w:ascii="Arial" w:hAnsi="Arial"/>
          <w:b/>
          <w:sz w:val="28"/>
          <w:lang w:val="fr-CA"/>
        </w:rPr>
      </w:pPr>
      <w:r>
        <w:rPr>
          <w:rFonts w:ascii="Arial" w:hAnsi="Arial"/>
          <w:b/>
          <w:sz w:val="28"/>
          <w:lang w:val="fr-CA"/>
        </w:rPr>
        <w:br w:type="page"/>
      </w:r>
      <w:r w:rsidR="003A3135" w:rsidRPr="00C179BC">
        <w:rPr>
          <w:rFonts w:ascii="Arial" w:hAnsi="Arial"/>
          <w:b/>
          <w:sz w:val="28"/>
          <w:lang w:val="fr-CA"/>
        </w:rPr>
        <w:t>Références</w:t>
      </w:r>
    </w:p>
    <w:p w:rsidR="003A3135" w:rsidRPr="00C179BC" w:rsidRDefault="003A3135">
      <w:pPr>
        <w:ind w:left="720"/>
        <w:rPr>
          <w:rFonts w:ascii="Arial" w:hAnsi="Arial"/>
          <w:sz w:val="24"/>
          <w:lang w:val="fr-CA"/>
        </w:rPr>
      </w:pPr>
    </w:p>
    <w:p w:rsidR="003A3135" w:rsidRDefault="008448D2">
      <w:pPr>
        <w:numPr>
          <w:ilvl w:val="1"/>
          <w:numId w:val="2"/>
        </w:numPr>
        <w:rPr>
          <w:rFonts w:ascii="Arial" w:hAnsi="Arial"/>
          <w:sz w:val="24"/>
          <w:lang w:val="fr-CA"/>
        </w:rPr>
      </w:pPr>
      <w:r w:rsidRPr="00DD244C">
        <w:rPr>
          <w:rFonts w:ascii="Arial" w:hAnsi="Arial"/>
          <w:i/>
          <w:sz w:val="24"/>
          <w:lang w:val="fr-FR"/>
        </w:rPr>
        <w:t>Standards for Hospital Transfusion Services</w:t>
      </w:r>
      <w:r w:rsidRPr="00DD244C">
        <w:rPr>
          <w:rFonts w:ascii="Arial" w:hAnsi="Arial"/>
          <w:sz w:val="24"/>
          <w:lang w:val="fr-FR"/>
        </w:rPr>
        <w:t xml:space="preserve">, version 2 – septembre 2007. Société </w:t>
      </w:r>
      <w:r w:rsidRPr="001C171B">
        <w:rPr>
          <w:rFonts w:ascii="Arial" w:hAnsi="Arial"/>
          <w:sz w:val="24"/>
          <w:lang w:val="fr-CA"/>
        </w:rPr>
        <w:t xml:space="preserve">canadienne de médecine transfusionnelle, </w:t>
      </w:r>
      <w:r w:rsidR="00F7250E">
        <w:rPr>
          <w:rFonts w:ascii="Arial" w:hAnsi="Arial"/>
          <w:sz w:val="24"/>
          <w:lang w:val="fr-CA"/>
        </w:rPr>
        <w:t xml:space="preserve">p. </w:t>
      </w:r>
      <w:r w:rsidRPr="001C171B">
        <w:rPr>
          <w:rFonts w:ascii="Arial" w:hAnsi="Arial"/>
          <w:sz w:val="24"/>
          <w:lang w:val="fr-CA"/>
        </w:rPr>
        <w:t>5.</w:t>
      </w:r>
      <w:r>
        <w:rPr>
          <w:rFonts w:ascii="Arial" w:hAnsi="Arial"/>
          <w:sz w:val="24"/>
          <w:lang w:val="fr-CA"/>
        </w:rPr>
        <w:t>2.3.5, 5.3.1.6, 5.</w:t>
      </w:r>
      <w:r w:rsidRPr="001C171B">
        <w:rPr>
          <w:rFonts w:ascii="Arial" w:hAnsi="Arial"/>
          <w:sz w:val="24"/>
          <w:lang w:val="fr-CA"/>
        </w:rPr>
        <w:t>3.7.1, 5.3.7.4.5, 5.3.7.4.</w:t>
      </w:r>
      <w:r>
        <w:rPr>
          <w:rFonts w:ascii="Arial" w:hAnsi="Arial"/>
          <w:sz w:val="24"/>
          <w:lang w:val="fr-CA"/>
        </w:rPr>
        <w:t>3</w:t>
      </w:r>
      <w:r w:rsidRPr="001C171B">
        <w:rPr>
          <w:rFonts w:ascii="Arial" w:hAnsi="Arial"/>
          <w:sz w:val="24"/>
          <w:lang w:val="fr-CA"/>
        </w:rPr>
        <w:t>, 5.</w:t>
      </w:r>
      <w:r>
        <w:rPr>
          <w:rFonts w:ascii="Arial" w:hAnsi="Arial"/>
          <w:sz w:val="24"/>
          <w:lang w:val="fr-CA"/>
        </w:rPr>
        <w:t>3</w:t>
      </w:r>
      <w:r w:rsidRPr="001C171B">
        <w:rPr>
          <w:rFonts w:ascii="Arial" w:hAnsi="Arial"/>
          <w:sz w:val="24"/>
          <w:lang w:val="fr-CA"/>
        </w:rPr>
        <w:t>.7.2.1, 5.2.3.3, 5.3.7</w:t>
      </w:r>
      <w:r>
        <w:rPr>
          <w:rFonts w:ascii="Arial" w:hAnsi="Arial"/>
          <w:sz w:val="24"/>
          <w:lang w:val="fr-CA"/>
        </w:rPr>
        <w:t>.3, 5.3.7.2.2</w:t>
      </w:r>
      <w:r w:rsidRPr="001C171B">
        <w:rPr>
          <w:rFonts w:ascii="Arial" w:hAnsi="Arial"/>
          <w:sz w:val="24"/>
          <w:lang w:val="fr-CA"/>
        </w:rPr>
        <w:t>,</w:t>
      </w:r>
      <w:r>
        <w:rPr>
          <w:rFonts w:ascii="Arial" w:hAnsi="Arial"/>
          <w:sz w:val="24"/>
          <w:lang w:val="fr-CA"/>
        </w:rPr>
        <w:t xml:space="preserve">5.7.2.1, </w:t>
      </w:r>
      <w:r w:rsidRPr="001C171B">
        <w:rPr>
          <w:rFonts w:ascii="Arial" w:hAnsi="Arial"/>
          <w:sz w:val="24"/>
          <w:lang w:val="fr-CA"/>
        </w:rPr>
        <w:t xml:space="preserve"> 5.</w:t>
      </w:r>
      <w:r w:rsidR="00972024">
        <w:rPr>
          <w:rFonts w:ascii="Arial" w:hAnsi="Arial"/>
          <w:sz w:val="24"/>
          <w:lang w:val="fr-CA"/>
        </w:rPr>
        <w:t>9.2.1, 5.9.2.3.</w:t>
      </w:r>
      <w:r>
        <w:rPr>
          <w:rFonts w:ascii="Arial" w:hAnsi="Arial"/>
          <w:sz w:val="24"/>
          <w:lang w:val="fr-CA"/>
        </w:rPr>
        <w:br/>
      </w:r>
    </w:p>
    <w:p w:rsidR="008448D2" w:rsidRDefault="008448D2" w:rsidP="008448D2">
      <w:pPr>
        <w:numPr>
          <w:ilvl w:val="1"/>
          <w:numId w:val="2"/>
        </w:numPr>
        <w:rPr>
          <w:rFonts w:ascii="Arial" w:hAnsi="Arial"/>
          <w:sz w:val="24"/>
          <w:lang w:val="fr-CA"/>
        </w:rPr>
      </w:pPr>
      <w:r w:rsidRPr="00DD244C">
        <w:rPr>
          <w:rFonts w:ascii="Arial" w:hAnsi="Arial"/>
          <w:sz w:val="24"/>
        </w:rPr>
        <w:t xml:space="preserve">ROBACK, JD, éd. </w:t>
      </w:r>
      <w:r w:rsidRPr="00DD244C">
        <w:rPr>
          <w:rFonts w:ascii="Arial" w:hAnsi="Arial"/>
          <w:i/>
          <w:sz w:val="24"/>
        </w:rPr>
        <w:t>American Association of Blood Banks Technical Manual</w:t>
      </w:r>
      <w:r w:rsidRPr="00DD244C">
        <w:rPr>
          <w:rFonts w:ascii="Arial" w:hAnsi="Arial"/>
          <w:sz w:val="24"/>
        </w:rPr>
        <w:t>, 16</w:t>
      </w:r>
      <w:r w:rsidRPr="00DD244C">
        <w:rPr>
          <w:rFonts w:ascii="Arial" w:hAnsi="Arial"/>
          <w:sz w:val="24"/>
          <w:vertAlign w:val="superscript"/>
        </w:rPr>
        <w:t xml:space="preserve">e </w:t>
      </w:r>
      <w:r w:rsidRPr="00DD244C">
        <w:rPr>
          <w:rFonts w:ascii="Arial" w:hAnsi="Arial"/>
          <w:sz w:val="24"/>
        </w:rPr>
        <w:t xml:space="preserve">éd. </w:t>
      </w:r>
      <w:r w:rsidRPr="001C171B">
        <w:rPr>
          <w:rFonts w:ascii="Arial" w:hAnsi="Arial"/>
          <w:sz w:val="24"/>
          <w:lang w:val="fr-CA"/>
        </w:rPr>
        <w:t xml:space="preserve">Bethesda, MD: American Association of Blood Banks (2008), p. </w:t>
      </w:r>
      <w:r>
        <w:rPr>
          <w:rFonts w:ascii="Arial" w:hAnsi="Arial"/>
          <w:sz w:val="24"/>
          <w:lang w:val="fr-CA"/>
        </w:rPr>
        <w:t>45</w:t>
      </w:r>
      <w:r w:rsidR="00972024">
        <w:rPr>
          <w:rFonts w:ascii="Arial" w:hAnsi="Arial"/>
          <w:sz w:val="24"/>
          <w:lang w:val="fr-CA"/>
        </w:rPr>
        <w:t>3, 899</w:t>
      </w:r>
      <w:r>
        <w:rPr>
          <w:rFonts w:ascii="Arial" w:hAnsi="Arial"/>
          <w:sz w:val="24"/>
          <w:lang w:val="fr-CA"/>
        </w:rPr>
        <w:t>.</w:t>
      </w:r>
      <w:r>
        <w:rPr>
          <w:rFonts w:ascii="Arial" w:hAnsi="Arial"/>
          <w:sz w:val="24"/>
          <w:lang w:val="fr-CA"/>
        </w:rPr>
        <w:br/>
      </w:r>
    </w:p>
    <w:p w:rsidR="008448D2" w:rsidRPr="00DD244C" w:rsidRDefault="00972024">
      <w:pPr>
        <w:numPr>
          <w:ilvl w:val="1"/>
          <w:numId w:val="2"/>
        </w:numPr>
        <w:rPr>
          <w:rFonts w:ascii="Arial" w:hAnsi="Arial"/>
          <w:sz w:val="24"/>
        </w:rPr>
      </w:pPr>
      <w:r w:rsidRPr="00DD244C">
        <w:rPr>
          <w:rFonts w:ascii="Arial" w:hAnsi="Arial"/>
          <w:sz w:val="24"/>
        </w:rPr>
        <w:t xml:space="preserve">JUDD </w:t>
      </w:r>
      <w:r w:rsidR="008448D2" w:rsidRPr="00DD244C">
        <w:rPr>
          <w:rFonts w:ascii="Arial" w:hAnsi="Arial"/>
          <w:sz w:val="24"/>
        </w:rPr>
        <w:t>WJ</w:t>
      </w:r>
      <w:r w:rsidR="008448D2" w:rsidRPr="00DD244C">
        <w:rPr>
          <w:rFonts w:ascii="Arial" w:hAnsi="Arial"/>
          <w:i/>
          <w:sz w:val="24"/>
        </w:rPr>
        <w:t>. Methods in immunohematology</w:t>
      </w:r>
      <w:r w:rsidR="008448D2" w:rsidRPr="00DD244C">
        <w:rPr>
          <w:rFonts w:ascii="Arial" w:hAnsi="Arial"/>
          <w:sz w:val="24"/>
        </w:rPr>
        <w:t xml:space="preserve">, </w:t>
      </w:r>
      <w:r w:rsidRPr="00DD244C">
        <w:rPr>
          <w:rFonts w:ascii="Arial" w:hAnsi="Arial"/>
          <w:sz w:val="24"/>
        </w:rPr>
        <w:t>3</w:t>
      </w:r>
      <w:r w:rsidR="008448D2" w:rsidRPr="00DD244C">
        <w:rPr>
          <w:rFonts w:ascii="Arial" w:hAnsi="Arial"/>
          <w:sz w:val="24"/>
          <w:vertAlign w:val="superscript"/>
        </w:rPr>
        <w:t>e</w:t>
      </w:r>
      <w:r w:rsidR="008448D2" w:rsidRPr="00DD244C">
        <w:rPr>
          <w:rFonts w:ascii="Arial" w:hAnsi="Arial"/>
          <w:sz w:val="24"/>
        </w:rPr>
        <w:t xml:space="preserve"> éd. </w:t>
      </w:r>
      <w:smartTag w:uri="urn:schemas-microsoft-com:office:smarttags" w:element="place">
        <w:smartTag w:uri="urn:schemas-microsoft-com:office:smarttags" w:element="City">
          <w:r w:rsidRPr="00DD244C">
            <w:rPr>
              <w:rFonts w:ascii="Arial" w:hAnsi="Arial"/>
              <w:sz w:val="24"/>
            </w:rPr>
            <w:t>Bethesda</w:t>
          </w:r>
        </w:smartTag>
        <w:r w:rsidRPr="00DD244C">
          <w:rPr>
            <w:rFonts w:ascii="Arial" w:hAnsi="Arial"/>
            <w:sz w:val="24"/>
          </w:rPr>
          <w:t xml:space="preserve">, </w:t>
        </w:r>
        <w:smartTag w:uri="urn:schemas-microsoft-com:office:smarttags" w:element="State">
          <w:r w:rsidRPr="00DD244C">
            <w:rPr>
              <w:rFonts w:ascii="Arial" w:hAnsi="Arial"/>
              <w:sz w:val="24"/>
            </w:rPr>
            <w:t>MD</w:t>
          </w:r>
        </w:smartTag>
      </w:smartTag>
      <w:r w:rsidRPr="00DD244C">
        <w:rPr>
          <w:rFonts w:ascii="Arial" w:hAnsi="Arial"/>
          <w:sz w:val="24"/>
        </w:rPr>
        <w:t>: American Association of Blood Banks (2008)</w:t>
      </w:r>
      <w:r w:rsidR="008448D2" w:rsidRPr="00DD244C">
        <w:rPr>
          <w:rFonts w:ascii="Arial" w:hAnsi="Arial"/>
          <w:sz w:val="24"/>
        </w:rPr>
        <w:t xml:space="preserve">, </w:t>
      </w:r>
      <w:r w:rsidRPr="00DD244C">
        <w:rPr>
          <w:rFonts w:ascii="Arial" w:hAnsi="Arial"/>
          <w:sz w:val="24"/>
        </w:rPr>
        <w:t>p. 21-23.</w:t>
      </w:r>
    </w:p>
    <w:sectPr w:rsidR="008448D2" w:rsidRPr="00DD244C">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59" w:rsidRDefault="001E1059">
      <w:r>
        <w:separator/>
      </w:r>
    </w:p>
  </w:endnote>
  <w:endnote w:type="continuationSeparator" w:id="0">
    <w:p w:rsidR="001E1059" w:rsidRDefault="001E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41019">
      <w:trPr>
        <w:trHeight w:val="720"/>
      </w:trPr>
      <w:tc>
        <w:tcPr>
          <w:tcW w:w="1368" w:type="dxa"/>
        </w:tcPr>
        <w:p w:rsidR="00141019" w:rsidRDefault="00141019">
          <w:pPr>
            <w:pStyle w:val="Footer"/>
            <w:jc w:val="center"/>
            <w:rPr>
              <w:sz w:val="8"/>
            </w:rPr>
          </w:pPr>
        </w:p>
        <w:p w:rsidR="00141019" w:rsidRDefault="007664B7">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DD110A" w:rsidRDefault="00DD110A" w:rsidP="00DD110A">
          <w:pPr>
            <w:pStyle w:val="Footer"/>
            <w:jc w:val="center"/>
            <w:rPr>
              <w:rFonts w:ascii="Arial" w:hAnsi="Arial"/>
              <w:sz w:val="18"/>
            </w:rPr>
          </w:pPr>
        </w:p>
        <w:p w:rsidR="00DD110A" w:rsidRPr="00D52543" w:rsidRDefault="00DD110A" w:rsidP="00DD110A">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D110A" w:rsidRDefault="00DD110A" w:rsidP="00DD110A">
          <w:pPr>
            <w:pStyle w:val="Footer"/>
            <w:jc w:val="center"/>
            <w:rPr>
              <w:rFonts w:ascii="Arial" w:hAnsi="Arial"/>
              <w:sz w:val="18"/>
              <w:lang w:val="fr-CA"/>
            </w:rPr>
          </w:pPr>
        </w:p>
        <w:p w:rsidR="00DD110A" w:rsidRPr="00D52543" w:rsidRDefault="00DD110A" w:rsidP="00DD110A">
          <w:pPr>
            <w:pStyle w:val="Footer"/>
            <w:jc w:val="center"/>
            <w:rPr>
              <w:rFonts w:ascii="Arial" w:hAnsi="Arial"/>
              <w:sz w:val="18"/>
              <w:lang w:val="fr-CA"/>
            </w:rPr>
          </w:pPr>
          <w:r>
            <w:rPr>
              <w:rFonts w:ascii="Arial" w:hAnsi="Arial"/>
              <w:sz w:val="18"/>
              <w:lang w:val="fr-CA"/>
            </w:rPr>
            <w:t>Manuel des d</w:t>
          </w:r>
          <w:r w:rsidRPr="00D52543">
            <w:rPr>
              <w:rFonts w:ascii="Arial" w:hAnsi="Arial"/>
              <w:sz w:val="18"/>
              <w:lang w:val="fr-CA"/>
            </w:rPr>
            <w:t>irectives de travail normalisées</w:t>
          </w:r>
        </w:p>
        <w:p w:rsidR="00141019" w:rsidRPr="003A3135" w:rsidRDefault="00141019">
          <w:pPr>
            <w:pStyle w:val="Footer"/>
            <w:jc w:val="center"/>
            <w:rPr>
              <w:rFonts w:ascii="Arial" w:hAnsi="Arial"/>
              <w:sz w:val="18"/>
              <w:lang w:val="fr-CA"/>
            </w:rPr>
          </w:pPr>
        </w:p>
      </w:tc>
      <w:tc>
        <w:tcPr>
          <w:tcW w:w="1494" w:type="dxa"/>
        </w:tcPr>
        <w:p w:rsidR="00141019" w:rsidRPr="003A3135" w:rsidRDefault="00141019">
          <w:pPr>
            <w:pStyle w:val="Footer"/>
            <w:jc w:val="right"/>
            <w:rPr>
              <w:rFonts w:ascii="Arial" w:hAnsi="Arial"/>
              <w:sz w:val="18"/>
              <w:lang w:val="fr-CA"/>
            </w:rPr>
          </w:pPr>
        </w:p>
        <w:p w:rsidR="00141019" w:rsidRPr="003A3135" w:rsidRDefault="00141019">
          <w:pPr>
            <w:pStyle w:val="Footer"/>
            <w:jc w:val="right"/>
            <w:rPr>
              <w:rFonts w:ascii="Arial" w:hAnsi="Arial"/>
              <w:sz w:val="18"/>
              <w:lang w:val="fr-CA"/>
            </w:rPr>
          </w:pPr>
          <w:r w:rsidRPr="003A3135">
            <w:rPr>
              <w:rFonts w:ascii="Arial" w:hAnsi="Arial"/>
              <w:sz w:val="18"/>
              <w:lang w:val="fr-CA"/>
            </w:rPr>
            <w:t>AR.010</w:t>
          </w:r>
        </w:p>
        <w:p w:rsidR="00141019" w:rsidRPr="003A3135" w:rsidRDefault="00141019">
          <w:pPr>
            <w:pStyle w:val="Footer"/>
            <w:jc w:val="right"/>
            <w:rPr>
              <w:rFonts w:ascii="Arial" w:hAnsi="Arial"/>
              <w:sz w:val="18"/>
              <w:lang w:val="fr-CA"/>
            </w:rPr>
          </w:pPr>
        </w:p>
        <w:p w:rsidR="00141019" w:rsidRPr="003A3135" w:rsidRDefault="00141019">
          <w:pPr>
            <w:pStyle w:val="Footer"/>
            <w:jc w:val="right"/>
            <w:rPr>
              <w:rFonts w:ascii="Arial" w:hAnsi="Arial"/>
              <w:sz w:val="18"/>
              <w:lang w:val="fr-CA"/>
            </w:rPr>
          </w:pPr>
          <w:r w:rsidRPr="003A3135">
            <w:rPr>
              <w:rFonts w:ascii="Arial" w:hAnsi="Arial"/>
              <w:snapToGrid w:val="0"/>
              <w:sz w:val="18"/>
              <w:lang w:val="fr-CA"/>
            </w:rPr>
            <w:t xml:space="preserve">Page </w:t>
          </w:r>
          <w:r w:rsidRPr="003A3135">
            <w:rPr>
              <w:rFonts w:ascii="Arial" w:hAnsi="Arial"/>
              <w:snapToGrid w:val="0"/>
              <w:sz w:val="18"/>
              <w:lang w:val="fr-CA"/>
            </w:rPr>
            <w:fldChar w:fldCharType="begin"/>
          </w:r>
          <w:r w:rsidRPr="003A3135">
            <w:rPr>
              <w:rFonts w:ascii="Arial" w:hAnsi="Arial"/>
              <w:snapToGrid w:val="0"/>
              <w:sz w:val="18"/>
              <w:lang w:val="fr-CA"/>
            </w:rPr>
            <w:instrText xml:space="preserve"> PAGE </w:instrText>
          </w:r>
          <w:r w:rsidRPr="003A3135">
            <w:rPr>
              <w:rFonts w:ascii="Arial" w:hAnsi="Arial"/>
              <w:snapToGrid w:val="0"/>
              <w:sz w:val="18"/>
              <w:lang w:val="fr-CA"/>
            </w:rPr>
            <w:fldChar w:fldCharType="separate"/>
          </w:r>
          <w:r w:rsidR="0099147B">
            <w:rPr>
              <w:rFonts w:ascii="Arial" w:hAnsi="Arial"/>
              <w:noProof/>
              <w:snapToGrid w:val="0"/>
              <w:sz w:val="18"/>
              <w:lang w:val="fr-CA"/>
            </w:rPr>
            <w:t>11</w:t>
          </w:r>
          <w:r w:rsidRPr="003A3135">
            <w:rPr>
              <w:rFonts w:ascii="Arial" w:hAnsi="Arial"/>
              <w:snapToGrid w:val="0"/>
              <w:sz w:val="18"/>
              <w:lang w:val="fr-CA"/>
            </w:rPr>
            <w:fldChar w:fldCharType="end"/>
          </w:r>
          <w:r w:rsidRPr="003A3135">
            <w:rPr>
              <w:rFonts w:ascii="Arial" w:hAnsi="Arial"/>
              <w:snapToGrid w:val="0"/>
              <w:sz w:val="18"/>
              <w:lang w:val="fr-CA"/>
            </w:rPr>
            <w:t xml:space="preserve"> de </w:t>
          </w:r>
          <w:r w:rsidRPr="003A3135">
            <w:rPr>
              <w:rFonts w:ascii="Arial" w:hAnsi="Arial"/>
              <w:snapToGrid w:val="0"/>
              <w:sz w:val="18"/>
              <w:lang w:val="fr-CA"/>
            </w:rPr>
            <w:fldChar w:fldCharType="begin"/>
          </w:r>
          <w:r w:rsidRPr="003A3135">
            <w:rPr>
              <w:rFonts w:ascii="Arial" w:hAnsi="Arial"/>
              <w:snapToGrid w:val="0"/>
              <w:sz w:val="18"/>
              <w:lang w:val="fr-CA"/>
            </w:rPr>
            <w:instrText xml:space="preserve"> NUMPAGES </w:instrText>
          </w:r>
          <w:r w:rsidRPr="003A3135">
            <w:rPr>
              <w:rFonts w:ascii="Arial" w:hAnsi="Arial"/>
              <w:snapToGrid w:val="0"/>
              <w:sz w:val="18"/>
              <w:lang w:val="fr-CA"/>
            </w:rPr>
            <w:fldChar w:fldCharType="separate"/>
          </w:r>
          <w:r w:rsidR="0099147B">
            <w:rPr>
              <w:rFonts w:ascii="Arial" w:hAnsi="Arial"/>
              <w:noProof/>
              <w:snapToGrid w:val="0"/>
              <w:sz w:val="18"/>
              <w:lang w:val="fr-CA"/>
            </w:rPr>
            <w:t>11</w:t>
          </w:r>
          <w:r w:rsidRPr="003A3135">
            <w:rPr>
              <w:rFonts w:ascii="Arial" w:hAnsi="Arial"/>
              <w:snapToGrid w:val="0"/>
              <w:sz w:val="18"/>
              <w:lang w:val="fr-CA"/>
            </w:rPr>
            <w:fldChar w:fldCharType="end"/>
          </w:r>
        </w:p>
      </w:tc>
    </w:tr>
  </w:tbl>
  <w:p w:rsidR="00141019" w:rsidRDefault="00141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41019">
      <w:trPr>
        <w:trHeight w:val="720"/>
      </w:trPr>
      <w:tc>
        <w:tcPr>
          <w:tcW w:w="1368" w:type="dxa"/>
        </w:tcPr>
        <w:p w:rsidR="00141019" w:rsidRDefault="00141019">
          <w:pPr>
            <w:pStyle w:val="Footer"/>
            <w:jc w:val="center"/>
            <w:rPr>
              <w:rFonts w:ascii="Verdana" w:hAnsi="Verdana"/>
              <w:sz w:val="8"/>
            </w:rPr>
          </w:pPr>
        </w:p>
        <w:p w:rsidR="00141019" w:rsidRDefault="007664B7">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DD110A" w:rsidRDefault="00DD110A" w:rsidP="00DD110A">
          <w:pPr>
            <w:pStyle w:val="Footer"/>
            <w:jc w:val="center"/>
            <w:rPr>
              <w:rFonts w:ascii="Arial" w:hAnsi="Arial"/>
              <w:sz w:val="18"/>
            </w:rPr>
          </w:pPr>
        </w:p>
        <w:p w:rsidR="00DD110A" w:rsidRPr="00D52543" w:rsidRDefault="00DD110A" w:rsidP="00DD110A">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D110A" w:rsidRDefault="00DD110A" w:rsidP="00DD110A">
          <w:pPr>
            <w:pStyle w:val="Footer"/>
            <w:jc w:val="center"/>
            <w:rPr>
              <w:rFonts w:ascii="Arial" w:hAnsi="Arial"/>
              <w:sz w:val="18"/>
              <w:lang w:val="fr-CA"/>
            </w:rPr>
          </w:pPr>
        </w:p>
        <w:p w:rsidR="00DD110A" w:rsidRPr="00D52543" w:rsidRDefault="00DD110A" w:rsidP="00DD110A">
          <w:pPr>
            <w:pStyle w:val="Footer"/>
            <w:jc w:val="center"/>
            <w:rPr>
              <w:rFonts w:ascii="Arial" w:hAnsi="Arial"/>
              <w:sz w:val="18"/>
              <w:lang w:val="fr-CA"/>
            </w:rPr>
          </w:pPr>
          <w:r>
            <w:rPr>
              <w:rFonts w:ascii="Arial" w:hAnsi="Arial"/>
              <w:sz w:val="18"/>
              <w:lang w:val="fr-CA"/>
            </w:rPr>
            <w:t>Manuel des d</w:t>
          </w:r>
          <w:r w:rsidRPr="00D52543">
            <w:rPr>
              <w:rFonts w:ascii="Arial" w:hAnsi="Arial"/>
              <w:sz w:val="18"/>
              <w:lang w:val="fr-CA"/>
            </w:rPr>
            <w:t>irectives de travail normalisées</w:t>
          </w:r>
        </w:p>
        <w:p w:rsidR="00141019" w:rsidRPr="003A3135" w:rsidRDefault="00141019">
          <w:pPr>
            <w:pStyle w:val="Footer"/>
            <w:jc w:val="center"/>
            <w:rPr>
              <w:rFonts w:ascii="Arial" w:hAnsi="Arial"/>
              <w:sz w:val="18"/>
              <w:lang w:val="fr-CA"/>
            </w:rPr>
          </w:pPr>
        </w:p>
      </w:tc>
      <w:tc>
        <w:tcPr>
          <w:tcW w:w="1494" w:type="dxa"/>
        </w:tcPr>
        <w:p w:rsidR="00141019" w:rsidRPr="003A3135" w:rsidRDefault="00141019">
          <w:pPr>
            <w:pStyle w:val="Footer"/>
            <w:jc w:val="right"/>
            <w:rPr>
              <w:rFonts w:ascii="Arial" w:hAnsi="Arial"/>
              <w:sz w:val="18"/>
              <w:lang w:val="fr-CA"/>
            </w:rPr>
          </w:pPr>
        </w:p>
        <w:p w:rsidR="00141019" w:rsidRPr="003A3135" w:rsidRDefault="00141019">
          <w:pPr>
            <w:pStyle w:val="Footer"/>
            <w:jc w:val="right"/>
            <w:rPr>
              <w:rFonts w:ascii="Arial" w:hAnsi="Arial"/>
              <w:sz w:val="18"/>
              <w:lang w:val="fr-CA"/>
            </w:rPr>
          </w:pPr>
          <w:r w:rsidRPr="003A3135">
            <w:rPr>
              <w:rFonts w:ascii="Arial" w:hAnsi="Arial"/>
              <w:sz w:val="18"/>
              <w:lang w:val="fr-CA"/>
            </w:rPr>
            <w:t>AR.010</w:t>
          </w:r>
          <w:r w:rsidRPr="003A3135">
            <w:rPr>
              <w:rFonts w:ascii="Arial" w:hAnsi="Arial"/>
              <w:sz w:val="18"/>
              <w:lang w:val="fr-CA"/>
            </w:rPr>
            <w:br/>
          </w:r>
        </w:p>
        <w:p w:rsidR="00141019" w:rsidRPr="003A3135" w:rsidRDefault="00141019">
          <w:pPr>
            <w:pStyle w:val="Footer"/>
            <w:jc w:val="right"/>
            <w:rPr>
              <w:rFonts w:ascii="Arial" w:hAnsi="Arial"/>
              <w:sz w:val="18"/>
              <w:lang w:val="fr-CA"/>
            </w:rPr>
          </w:pPr>
          <w:r w:rsidRPr="003A3135">
            <w:rPr>
              <w:rFonts w:ascii="Arial" w:hAnsi="Arial"/>
              <w:snapToGrid w:val="0"/>
              <w:sz w:val="18"/>
              <w:lang w:val="fr-CA"/>
            </w:rPr>
            <w:t xml:space="preserve">Page </w:t>
          </w:r>
          <w:r w:rsidRPr="003A3135">
            <w:rPr>
              <w:rFonts w:ascii="Arial" w:hAnsi="Arial"/>
              <w:snapToGrid w:val="0"/>
              <w:sz w:val="18"/>
              <w:lang w:val="fr-CA"/>
            </w:rPr>
            <w:fldChar w:fldCharType="begin"/>
          </w:r>
          <w:r w:rsidRPr="003A3135">
            <w:rPr>
              <w:rFonts w:ascii="Arial" w:hAnsi="Arial"/>
              <w:snapToGrid w:val="0"/>
              <w:sz w:val="18"/>
              <w:lang w:val="fr-CA"/>
            </w:rPr>
            <w:instrText xml:space="preserve"> PAGE </w:instrText>
          </w:r>
          <w:r w:rsidRPr="003A3135">
            <w:rPr>
              <w:rFonts w:ascii="Arial" w:hAnsi="Arial"/>
              <w:snapToGrid w:val="0"/>
              <w:sz w:val="18"/>
              <w:lang w:val="fr-CA"/>
            </w:rPr>
            <w:fldChar w:fldCharType="separate"/>
          </w:r>
          <w:r w:rsidR="0099147B">
            <w:rPr>
              <w:rFonts w:ascii="Arial" w:hAnsi="Arial"/>
              <w:noProof/>
              <w:snapToGrid w:val="0"/>
              <w:sz w:val="18"/>
              <w:lang w:val="fr-CA"/>
            </w:rPr>
            <w:t>1</w:t>
          </w:r>
          <w:r w:rsidRPr="003A3135">
            <w:rPr>
              <w:rFonts w:ascii="Arial" w:hAnsi="Arial"/>
              <w:snapToGrid w:val="0"/>
              <w:sz w:val="18"/>
              <w:lang w:val="fr-CA"/>
            </w:rPr>
            <w:fldChar w:fldCharType="end"/>
          </w:r>
          <w:r w:rsidRPr="003A3135">
            <w:rPr>
              <w:rFonts w:ascii="Arial" w:hAnsi="Arial"/>
              <w:snapToGrid w:val="0"/>
              <w:sz w:val="18"/>
              <w:lang w:val="fr-CA"/>
            </w:rPr>
            <w:t xml:space="preserve"> de </w:t>
          </w:r>
          <w:r w:rsidRPr="003A3135">
            <w:rPr>
              <w:rFonts w:ascii="Arial" w:hAnsi="Arial"/>
              <w:snapToGrid w:val="0"/>
              <w:sz w:val="18"/>
              <w:lang w:val="fr-CA"/>
            </w:rPr>
            <w:fldChar w:fldCharType="begin"/>
          </w:r>
          <w:r w:rsidRPr="003A3135">
            <w:rPr>
              <w:rFonts w:ascii="Arial" w:hAnsi="Arial"/>
              <w:snapToGrid w:val="0"/>
              <w:sz w:val="18"/>
              <w:lang w:val="fr-CA"/>
            </w:rPr>
            <w:instrText xml:space="preserve"> NUMPAGES </w:instrText>
          </w:r>
          <w:r w:rsidRPr="003A3135">
            <w:rPr>
              <w:rFonts w:ascii="Arial" w:hAnsi="Arial"/>
              <w:snapToGrid w:val="0"/>
              <w:sz w:val="18"/>
              <w:lang w:val="fr-CA"/>
            </w:rPr>
            <w:fldChar w:fldCharType="separate"/>
          </w:r>
          <w:r w:rsidR="0099147B">
            <w:rPr>
              <w:rFonts w:ascii="Arial" w:hAnsi="Arial"/>
              <w:noProof/>
              <w:snapToGrid w:val="0"/>
              <w:sz w:val="18"/>
              <w:lang w:val="fr-CA"/>
            </w:rPr>
            <w:t>1</w:t>
          </w:r>
          <w:r w:rsidRPr="003A3135">
            <w:rPr>
              <w:rFonts w:ascii="Arial" w:hAnsi="Arial"/>
              <w:snapToGrid w:val="0"/>
              <w:sz w:val="18"/>
              <w:lang w:val="fr-CA"/>
            </w:rPr>
            <w:fldChar w:fldCharType="end"/>
          </w:r>
        </w:p>
      </w:tc>
    </w:tr>
  </w:tbl>
  <w:p w:rsidR="00141019" w:rsidRDefault="00141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59" w:rsidRDefault="001E1059">
      <w:r>
        <w:separator/>
      </w:r>
    </w:p>
  </w:footnote>
  <w:footnote w:type="continuationSeparator" w:id="0">
    <w:p w:rsidR="001E1059" w:rsidRDefault="001E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19" w:rsidRPr="004E39BE" w:rsidRDefault="00141019">
    <w:pPr>
      <w:pStyle w:val="Header"/>
      <w:jc w:val="center"/>
      <w:rPr>
        <w:rFonts w:ascii="Arial" w:hAnsi="Arial"/>
        <w:b/>
        <w:sz w:val="28"/>
        <w:lang w:val="fr-CA"/>
      </w:rPr>
    </w:pPr>
    <w:r w:rsidRPr="004E39BE">
      <w:rPr>
        <w:rFonts w:ascii="Arial" w:hAnsi="Arial"/>
        <w:b/>
        <w:sz w:val="28"/>
        <w:lang w:val="fr-CA"/>
      </w:rPr>
      <w:t>Épreuve de compatibilité avec centrifugation immédiate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19" w:rsidRDefault="00141019">
    <w:pPr>
      <w:pStyle w:val="Header"/>
      <w:tabs>
        <w:tab w:val="clear" w:pos="8640"/>
        <w:tab w:val="left" w:pos="5280"/>
      </w:tabs>
    </w:pPr>
  </w:p>
  <w:p w:rsidR="00141019" w:rsidRPr="00C179BC" w:rsidRDefault="00141019">
    <w:pPr>
      <w:pStyle w:val="Header"/>
      <w:jc w:val="center"/>
      <w:rPr>
        <w:rFonts w:ascii="Arial" w:hAnsi="Arial" w:cs="Arial"/>
        <w:b/>
        <w:bCs/>
        <w:sz w:val="22"/>
        <w:lang w:val="fr-CA"/>
      </w:rPr>
    </w:pPr>
    <w:r w:rsidRPr="00C179BC">
      <w:rPr>
        <w:rFonts w:ascii="Arial" w:hAnsi="Arial" w:cs="Arial"/>
        <w:b/>
        <w:bCs/>
        <w:sz w:val="22"/>
        <w:lang w:val="fr-CA"/>
      </w:rPr>
      <w:t>PATHOLOGIE ET MÉDECINE DE LABORATOIRE</w:t>
    </w:r>
  </w:p>
  <w:p w:rsidR="00141019" w:rsidRPr="00C179BC" w:rsidRDefault="00141019">
    <w:pPr>
      <w:pStyle w:val="Header"/>
      <w:jc w:val="center"/>
      <w:rPr>
        <w:rFonts w:ascii="Arial" w:hAnsi="Arial" w:cs="Arial"/>
        <w:b/>
        <w:bCs/>
        <w:sz w:val="22"/>
        <w:lang w:val="fr-CA"/>
      </w:rPr>
    </w:pPr>
    <w:r w:rsidRPr="00C179BC">
      <w:rPr>
        <w:rFonts w:ascii="Arial" w:hAnsi="Arial" w:cs="Arial"/>
        <w:b/>
        <w:bCs/>
        <w:sz w:val="22"/>
        <w:lang w:val="fr-CA"/>
      </w:rPr>
      <w:t>DIVISION DE LA MÉDECINE TRANSFUSIONNELLE</w:t>
    </w:r>
  </w:p>
  <w:p w:rsidR="00141019" w:rsidRPr="00C179BC" w:rsidRDefault="00141019">
    <w:pPr>
      <w:pStyle w:val="Header"/>
      <w:jc w:val="center"/>
      <w:rPr>
        <w:rFonts w:ascii="Arial" w:hAnsi="Arial" w:cs="Arial"/>
        <w:b/>
        <w:bCs/>
        <w:sz w:val="22"/>
        <w:lang w:val="fr-CA"/>
      </w:rPr>
    </w:pPr>
    <w:r w:rsidRPr="00C179BC">
      <w:rPr>
        <w:rFonts w:ascii="Arial" w:hAnsi="Arial" w:cs="Arial"/>
        <w:b/>
        <w:bCs/>
        <w:sz w:val="22"/>
        <w:lang w:val="fr-CA"/>
      </w:rPr>
      <w:t>MANUEL DES DIRECTIVES DE TRAVAIL NORMALISÉES</w:t>
    </w:r>
  </w:p>
  <w:p w:rsidR="00141019" w:rsidRPr="00C179BC" w:rsidRDefault="00141019">
    <w:pPr>
      <w:pStyle w:val="Header"/>
      <w:jc w:val="center"/>
      <w:rPr>
        <w:rFonts w:ascii="Arial" w:hAnsi="Arial" w:cs="Arial"/>
        <w:b/>
        <w:bCs/>
        <w:sz w:val="22"/>
        <w:lang w:val="fr-CA"/>
      </w:rPr>
    </w:pPr>
  </w:p>
  <w:p w:rsidR="00141019" w:rsidRPr="004E39BE" w:rsidRDefault="00141019">
    <w:pPr>
      <w:pStyle w:val="Header"/>
      <w:jc w:val="center"/>
      <w:rPr>
        <w:rFonts w:ascii="Arial" w:hAnsi="Arial"/>
        <w:b/>
        <w:sz w:val="28"/>
        <w:lang w:val="fr-CA"/>
      </w:rPr>
    </w:pPr>
    <w:r w:rsidRPr="004E39BE">
      <w:rPr>
        <w:rFonts w:ascii="Arial" w:hAnsi="Arial"/>
        <w:b/>
        <w:sz w:val="28"/>
        <w:lang w:val="fr-CA"/>
      </w:rPr>
      <w:t>Épreuve de compatibilité avec centrifugation immédiate</w:t>
    </w:r>
  </w:p>
  <w:p w:rsidR="00141019" w:rsidRPr="00C179BC" w:rsidRDefault="00141019">
    <w:pPr>
      <w:pStyle w:val="Header"/>
      <w:jc w:val="center"/>
      <w:rPr>
        <w:rFonts w:ascii="Arial" w:hAnsi="Arial"/>
        <w:b/>
        <w:sz w:val="28"/>
        <w:lang w:val="fr-CA"/>
      </w:rPr>
    </w:pPr>
  </w:p>
  <w:p w:rsidR="00141019" w:rsidRPr="00C179BC" w:rsidRDefault="00141019">
    <w:pPr>
      <w:pStyle w:val="Header"/>
      <w:jc w:val="center"/>
      <w:rPr>
        <w:rFonts w:ascii="Arial" w:hAnsi="Arial" w:cs="Arial"/>
        <w:b/>
        <w:bCs/>
        <w:lang w:val="fr-CA"/>
      </w:rPr>
    </w:pPr>
    <w:r w:rsidRPr="00C179BC">
      <w:rPr>
        <w:rFonts w:ascii="Arial" w:hAnsi="Arial" w:cs="Arial"/>
        <w:b/>
        <w:bCs/>
        <w:lang w:val="fr-CA"/>
      </w:rPr>
      <w:tab/>
    </w:r>
    <w:r w:rsidR="007664B7" w:rsidRPr="00C179BC">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FEB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I9kDYx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4"/>
      <w:gridCol w:w="4316"/>
    </w:tblGrid>
    <w:tr w:rsidR="00DD110A" w:rsidRPr="00C179BC">
      <w:tc>
        <w:tcPr>
          <w:tcW w:w="4428" w:type="dxa"/>
        </w:tcPr>
        <w:p w:rsidR="00DD110A" w:rsidRDefault="008564FC" w:rsidP="00F77B5C">
          <w:pPr>
            <w:pStyle w:val="Header"/>
            <w:rPr>
              <w:rFonts w:ascii="Arial" w:hAnsi="Arial" w:cs="Arial"/>
              <w:color w:val="000000"/>
              <w:lang w:val="fr-CA"/>
            </w:rPr>
          </w:pPr>
          <w:r>
            <w:rPr>
              <w:rFonts w:ascii="Arial" w:hAnsi="Arial" w:cs="Arial"/>
              <w:lang w:val="fr-CA"/>
            </w:rPr>
            <w:t>Approbation </w:t>
          </w:r>
          <w:r w:rsidR="00DD110A">
            <w:rPr>
              <w:rFonts w:ascii="Arial" w:hAnsi="Arial" w:cs="Arial"/>
              <w:lang w:val="fr-CA"/>
            </w:rPr>
            <w:t>: D</w:t>
          </w:r>
          <w:r w:rsidR="00DD110A" w:rsidRPr="00DB21A4">
            <w:rPr>
              <w:rFonts w:ascii="Arial" w:hAnsi="Arial" w:cs="Arial"/>
              <w:vertAlign w:val="superscript"/>
              <w:lang w:val="fr-CA"/>
            </w:rPr>
            <w:t xml:space="preserve">r </w:t>
          </w:r>
          <w:r w:rsidR="00DD110A">
            <w:rPr>
              <w:rFonts w:ascii="Arial" w:hAnsi="Arial" w:cs="Arial"/>
              <w:lang w:val="fr-CA"/>
            </w:rPr>
            <w:t>Antonio Giulivi</w:t>
          </w:r>
        </w:p>
      </w:tc>
      <w:tc>
        <w:tcPr>
          <w:tcW w:w="4428" w:type="dxa"/>
        </w:tcPr>
        <w:p w:rsidR="00DD110A" w:rsidRPr="00C179BC" w:rsidRDefault="00DD110A">
          <w:pPr>
            <w:pStyle w:val="Header"/>
            <w:rPr>
              <w:rFonts w:ascii="Arial" w:hAnsi="Arial" w:cs="Arial"/>
              <w:lang w:val="fr-CA"/>
            </w:rPr>
          </w:pPr>
          <w:r w:rsidRPr="00C179BC">
            <w:rPr>
              <w:rFonts w:ascii="Arial" w:hAnsi="Arial" w:cs="Arial"/>
              <w:lang w:val="fr-CA"/>
            </w:rPr>
            <w:t>Document n</w:t>
          </w:r>
          <w:r w:rsidRPr="00C179BC">
            <w:rPr>
              <w:rFonts w:ascii="Arial" w:hAnsi="Arial" w:cs="Arial"/>
              <w:vertAlign w:val="superscript"/>
              <w:lang w:val="fr-CA"/>
            </w:rPr>
            <w:t>o</w:t>
          </w:r>
          <w:r w:rsidRPr="00C179BC">
            <w:rPr>
              <w:rFonts w:ascii="Arial" w:hAnsi="Arial" w:cs="Arial"/>
              <w:lang w:val="fr-CA"/>
            </w:rPr>
            <w:t xml:space="preserve"> : AR.010</w:t>
          </w:r>
        </w:p>
      </w:tc>
    </w:tr>
    <w:tr w:rsidR="00DD110A" w:rsidRPr="00C179BC">
      <w:tc>
        <w:tcPr>
          <w:tcW w:w="4428" w:type="dxa"/>
        </w:tcPr>
        <w:p w:rsidR="00DD110A" w:rsidRPr="00C179BC" w:rsidRDefault="00DD110A">
          <w:pPr>
            <w:pStyle w:val="Header"/>
            <w:rPr>
              <w:rFonts w:ascii="Arial" w:hAnsi="Arial" w:cs="Arial"/>
              <w:lang w:val="fr-CA"/>
            </w:rPr>
          </w:pPr>
          <w:r w:rsidRPr="00C179BC">
            <w:rPr>
              <w:rFonts w:ascii="Arial" w:hAnsi="Arial" w:cs="Arial"/>
              <w:lang w:val="fr-CA"/>
            </w:rPr>
            <w:t xml:space="preserve">Date de </w:t>
          </w:r>
          <w:r w:rsidR="008564FC">
            <w:rPr>
              <w:rFonts w:ascii="Arial" w:hAnsi="Arial" w:cs="Arial"/>
              <w:lang w:val="fr-CA"/>
            </w:rPr>
            <w:t>publication </w:t>
          </w:r>
          <w:r w:rsidRPr="00C179BC">
            <w:rPr>
              <w:rFonts w:ascii="Arial" w:hAnsi="Arial" w:cs="Arial"/>
              <w:lang w:val="fr-CA"/>
            </w:rPr>
            <w:t>: 2006/0</w:t>
          </w:r>
          <w:r>
            <w:rPr>
              <w:rFonts w:ascii="Arial" w:hAnsi="Arial" w:cs="Arial"/>
              <w:lang w:val="fr-CA"/>
            </w:rPr>
            <w:t>8</w:t>
          </w:r>
          <w:r w:rsidRPr="00C179BC">
            <w:rPr>
              <w:rFonts w:ascii="Arial" w:hAnsi="Arial" w:cs="Arial"/>
              <w:lang w:val="fr-CA"/>
            </w:rPr>
            <w:t>/01</w:t>
          </w:r>
        </w:p>
      </w:tc>
      <w:tc>
        <w:tcPr>
          <w:tcW w:w="4428" w:type="dxa"/>
        </w:tcPr>
        <w:p w:rsidR="00DD110A" w:rsidRPr="00C179BC" w:rsidRDefault="008564FC">
          <w:pPr>
            <w:pStyle w:val="Header"/>
            <w:rPr>
              <w:rFonts w:ascii="Arial" w:hAnsi="Arial" w:cs="Arial"/>
              <w:lang w:val="fr-CA"/>
            </w:rPr>
          </w:pPr>
          <w:r>
            <w:rPr>
              <w:rFonts w:ascii="Arial" w:hAnsi="Arial" w:cs="Arial"/>
              <w:lang w:val="fr-CA"/>
            </w:rPr>
            <w:t>Catégorie </w:t>
          </w:r>
          <w:r w:rsidR="00DD110A" w:rsidRPr="00C179BC">
            <w:rPr>
              <w:rFonts w:ascii="Arial" w:hAnsi="Arial" w:cs="Arial"/>
              <w:lang w:val="fr-CA"/>
            </w:rPr>
            <w:t>: Analyses de routine</w:t>
          </w:r>
        </w:p>
      </w:tc>
    </w:tr>
    <w:tr w:rsidR="00DD110A" w:rsidRPr="00C179BC">
      <w:tc>
        <w:tcPr>
          <w:tcW w:w="4428" w:type="dxa"/>
        </w:tcPr>
        <w:p w:rsidR="00DD110A" w:rsidRDefault="00DD110A" w:rsidP="00F77B5C">
          <w:pPr>
            <w:pStyle w:val="Header"/>
            <w:rPr>
              <w:rFonts w:ascii="Arial" w:hAnsi="Arial" w:cs="Arial"/>
              <w:lang w:val="fr-CA"/>
            </w:rPr>
          </w:pPr>
          <w:r>
            <w:rPr>
              <w:rFonts w:ascii="Arial" w:hAnsi="Arial" w:cs="Arial"/>
              <w:lang w:val="fr-CA"/>
            </w:rPr>
            <w:t xml:space="preserve">Date de </w:t>
          </w:r>
          <w:r w:rsidR="008564FC">
            <w:rPr>
              <w:rFonts w:ascii="Arial" w:hAnsi="Arial" w:cs="Arial"/>
              <w:lang w:val="fr-CA"/>
            </w:rPr>
            <w:t>révision </w:t>
          </w:r>
          <w:r>
            <w:rPr>
              <w:rFonts w:ascii="Arial" w:hAnsi="Arial" w:cs="Arial"/>
              <w:lang w:val="fr-CA"/>
            </w:rPr>
            <w:t>: 2009/12/31</w:t>
          </w:r>
        </w:p>
      </w:tc>
      <w:tc>
        <w:tcPr>
          <w:tcW w:w="4428" w:type="dxa"/>
        </w:tcPr>
        <w:p w:rsidR="00DD110A" w:rsidRPr="00C179BC" w:rsidRDefault="008564FC">
          <w:pPr>
            <w:pStyle w:val="Header"/>
            <w:rPr>
              <w:rFonts w:ascii="Arial" w:hAnsi="Arial" w:cs="Arial"/>
              <w:lang w:val="fr-CA"/>
            </w:rPr>
          </w:pPr>
          <w:r>
            <w:rPr>
              <w:rFonts w:ascii="Arial" w:hAnsi="Arial" w:cs="Arial"/>
              <w:lang w:val="fr-CA"/>
            </w:rPr>
            <w:t>Pages </w:t>
          </w:r>
          <w:r w:rsidR="00DD110A" w:rsidRPr="00C179BC">
            <w:rPr>
              <w:rFonts w:ascii="Arial" w:hAnsi="Arial" w:cs="Arial"/>
              <w:lang w:val="fr-CA"/>
            </w:rPr>
            <w:t xml:space="preserve">: </w:t>
          </w:r>
          <w:r w:rsidR="00DD110A" w:rsidRPr="00C179BC">
            <w:rPr>
              <w:rFonts w:ascii="Arial" w:hAnsi="Arial" w:cs="Arial"/>
              <w:lang w:val="fr-CA"/>
            </w:rPr>
            <w:fldChar w:fldCharType="begin"/>
          </w:r>
          <w:r w:rsidR="00DD110A" w:rsidRPr="00C179BC">
            <w:rPr>
              <w:rFonts w:ascii="Arial" w:hAnsi="Arial" w:cs="Arial"/>
              <w:lang w:val="fr-CA"/>
            </w:rPr>
            <w:instrText xml:space="preserve"> NUMPAGES </w:instrText>
          </w:r>
          <w:r w:rsidR="00DD110A" w:rsidRPr="00C179BC">
            <w:rPr>
              <w:rFonts w:ascii="Arial" w:hAnsi="Arial" w:cs="Arial"/>
              <w:lang w:val="fr-CA"/>
            </w:rPr>
            <w:fldChar w:fldCharType="separate"/>
          </w:r>
          <w:r w:rsidR="0099147B">
            <w:rPr>
              <w:rFonts w:ascii="Arial" w:hAnsi="Arial" w:cs="Arial"/>
              <w:noProof/>
              <w:lang w:val="fr-CA"/>
            </w:rPr>
            <w:t>1</w:t>
          </w:r>
          <w:r w:rsidR="00DD110A" w:rsidRPr="00C179BC">
            <w:rPr>
              <w:rFonts w:ascii="Arial" w:hAnsi="Arial" w:cs="Arial"/>
              <w:lang w:val="fr-CA"/>
            </w:rPr>
            <w:fldChar w:fldCharType="end"/>
          </w:r>
        </w:p>
      </w:tc>
    </w:tr>
  </w:tbl>
  <w:p w:rsidR="00141019" w:rsidRDefault="007664B7">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4BE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SfYWN&#10;EgIAACgEAAAOAAAAAAAAAAAAAAAAAC4CAABkcnMvZTJvRG9jLnhtbFBLAQItABQABgAIAAAAIQAf&#10;PZp03AAAAAgBAAAPAAAAAAAAAAAAAAAAAGwEAABkcnMvZG93bnJldi54bWxQSwUGAAAAAAQABADz&#10;AAAAdQUAAAAA&#10;"/>
          </w:pict>
        </mc:Fallback>
      </mc:AlternateContent>
    </w:r>
    <w:r w:rsidR="00141019">
      <w:rPr>
        <w:rFonts w:ascii="Arial" w:hAnsi="Arial" w:cs="Arial"/>
      </w:rPr>
      <w:tab/>
    </w:r>
    <w:r w:rsidR="00141019">
      <w:rPr>
        <w:rFonts w:ascii="Arial" w:hAnsi="Arial" w:cs="Arial"/>
      </w:rPr>
      <w:tab/>
    </w:r>
  </w:p>
  <w:p w:rsidR="00141019" w:rsidRDefault="00141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9B3"/>
    <w:multiLevelType w:val="multilevel"/>
    <w:tmpl w:val="5AE0C2F0"/>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3321F83"/>
    <w:multiLevelType w:val="hybridMultilevel"/>
    <w:tmpl w:val="C0F28D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5445591"/>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B3240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9D3C16"/>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0A1E55"/>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98072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5E3191"/>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F6F3F25"/>
    <w:multiLevelType w:val="singleLevel"/>
    <w:tmpl w:val="D776632A"/>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3DF06C0"/>
    <w:multiLevelType w:val="multilevel"/>
    <w:tmpl w:val="4842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7293DFD"/>
    <w:multiLevelType w:val="hybridMultilevel"/>
    <w:tmpl w:val="C0F28D1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77FA15E2"/>
    <w:multiLevelType w:val="singleLevel"/>
    <w:tmpl w:val="3AC041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1"/>
  </w:num>
  <w:num w:numId="4">
    <w:abstractNumId w:val="3"/>
  </w:num>
  <w:num w:numId="5">
    <w:abstractNumId w:val="4"/>
  </w:num>
  <w:num w:numId="6">
    <w:abstractNumId w:val="5"/>
  </w:num>
  <w:num w:numId="7">
    <w:abstractNumId w:val="8"/>
  </w:num>
  <w:num w:numId="8">
    <w:abstractNumId w:val="2"/>
  </w:num>
  <w:num w:numId="9">
    <w:abstractNumId w:val="6"/>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1E"/>
    <w:rsid w:val="00020AC7"/>
    <w:rsid w:val="00020FEA"/>
    <w:rsid w:val="000E3D9C"/>
    <w:rsid w:val="00141019"/>
    <w:rsid w:val="001416A4"/>
    <w:rsid w:val="001D485F"/>
    <w:rsid w:val="001E1059"/>
    <w:rsid w:val="00227B87"/>
    <w:rsid w:val="00283802"/>
    <w:rsid w:val="0029476F"/>
    <w:rsid w:val="002F0C50"/>
    <w:rsid w:val="002F17EF"/>
    <w:rsid w:val="003215F6"/>
    <w:rsid w:val="0034470A"/>
    <w:rsid w:val="003468C5"/>
    <w:rsid w:val="00354296"/>
    <w:rsid w:val="00395AB0"/>
    <w:rsid w:val="003A3135"/>
    <w:rsid w:val="00463BEB"/>
    <w:rsid w:val="004D4329"/>
    <w:rsid w:val="004E39BE"/>
    <w:rsid w:val="00582BC4"/>
    <w:rsid w:val="005C7767"/>
    <w:rsid w:val="00602AC9"/>
    <w:rsid w:val="00620CBD"/>
    <w:rsid w:val="00625E19"/>
    <w:rsid w:val="00677EC4"/>
    <w:rsid w:val="007664B7"/>
    <w:rsid w:val="00776443"/>
    <w:rsid w:val="007B76C6"/>
    <w:rsid w:val="007E0714"/>
    <w:rsid w:val="007F2703"/>
    <w:rsid w:val="00804C23"/>
    <w:rsid w:val="008448D2"/>
    <w:rsid w:val="008564FC"/>
    <w:rsid w:val="00866D93"/>
    <w:rsid w:val="008B7796"/>
    <w:rsid w:val="00907AA7"/>
    <w:rsid w:val="00972024"/>
    <w:rsid w:val="0099147B"/>
    <w:rsid w:val="009A621D"/>
    <w:rsid w:val="009D0594"/>
    <w:rsid w:val="00A771A5"/>
    <w:rsid w:val="00B954F4"/>
    <w:rsid w:val="00BE73A5"/>
    <w:rsid w:val="00BF0219"/>
    <w:rsid w:val="00C103F9"/>
    <w:rsid w:val="00C179BC"/>
    <w:rsid w:val="00C72D17"/>
    <w:rsid w:val="00C84915"/>
    <w:rsid w:val="00CB55F9"/>
    <w:rsid w:val="00CE4DEC"/>
    <w:rsid w:val="00DB7755"/>
    <w:rsid w:val="00DD110A"/>
    <w:rsid w:val="00DD244C"/>
    <w:rsid w:val="00E10E1E"/>
    <w:rsid w:val="00E32929"/>
    <w:rsid w:val="00E7357F"/>
    <w:rsid w:val="00E747C5"/>
    <w:rsid w:val="00EE2A0B"/>
    <w:rsid w:val="00EE7BB1"/>
    <w:rsid w:val="00EF30F4"/>
    <w:rsid w:val="00F05FD2"/>
    <w:rsid w:val="00F3660B"/>
    <w:rsid w:val="00F551F8"/>
    <w:rsid w:val="00F7250E"/>
    <w:rsid w:val="00F77B5C"/>
    <w:rsid w:val="00FE3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DA4ACFB-9B1B-484A-B961-97FAA05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E747C5"/>
    <w:rPr>
      <w:rFonts w:ascii="Tahoma" w:hAnsi="Tahoma" w:cs="Tahoma"/>
      <w:sz w:val="16"/>
      <w:szCs w:val="16"/>
    </w:rPr>
  </w:style>
  <w:style w:type="paragraph" w:customStyle="1" w:styleId="Paragraphedeliste">
    <w:name w:val="Paragraphe de liste"/>
    <w:basedOn w:val="Normal"/>
    <w:uiPriority w:val="34"/>
    <w:qFormat/>
    <w:rsid w:val="008448D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RT.010 Immediate Spin Crossmatch</vt:lpstr>
    </vt:vector>
  </TitlesOfParts>
  <Company>The Ottawa Hospital</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RT.010 Immediate Spin Crossmatch</dc:title>
  <dc:subject/>
  <dc:creator>Transfusion Ontario Program Office</dc:creator>
  <cp:keywords/>
  <cp:lastModifiedBy>Nesrallah, Heather</cp:lastModifiedBy>
  <cp:revision>2</cp:revision>
  <cp:lastPrinted>2011-01-11T16:39:00Z</cp:lastPrinted>
  <dcterms:created xsi:type="dcterms:W3CDTF">2020-08-10T18:10:00Z</dcterms:created>
  <dcterms:modified xsi:type="dcterms:W3CDTF">2020-08-10T18:10:00Z</dcterms:modified>
</cp:coreProperties>
</file>