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1C" w:rsidRDefault="00D8051C">
      <w:pPr>
        <w:numPr>
          <w:ilvl w:val="0"/>
          <w:numId w:val="1"/>
        </w:numPr>
        <w:rPr>
          <w:rFonts w:ascii="Arial" w:hAnsi="Arial"/>
          <w:b/>
          <w:sz w:val="28"/>
          <w:lang w:val="fr-CA"/>
        </w:rPr>
      </w:pPr>
      <w:bookmarkStart w:id="0" w:name="_GoBack"/>
      <w:bookmarkEnd w:id="0"/>
      <w:r>
        <w:rPr>
          <w:rFonts w:ascii="Arial" w:hAnsi="Arial"/>
          <w:b/>
          <w:sz w:val="28"/>
          <w:lang w:val="fr-CA"/>
        </w:rPr>
        <w:t>Principe</w:t>
      </w:r>
    </w:p>
    <w:p w:rsidR="00D8051C" w:rsidRDefault="00D8051C">
      <w:pPr>
        <w:rPr>
          <w:rFonts w:ascii="Arial" w:hAnsi="Arial"/>
          <w:sz w:val="24"/>
          <w:lang w:val="fr-CA"/>
        </w:rPr>
      </w:pPr>
    </w:p>
    <w:p w:rsidR="00D8051C" w:rsidRDefault="002254E8">
      <w:pPr>
        <w:pStyle w:val="BodyTextIndent"/>
        <w:rPr>
          <w:lang w:val="fr-CA"/>
        </w:rPr>
      </w:pPr>
      <w:r>
        <w:rPr>
          <w:lang w:val="fr-CA"/>
        </w:rPr>
        <w:t>Un</w:t>
      </w:r>
      <w:r w:rsidR="00D8051C">
        <w:rPr>
          <w:lang w:val="fr-CA"/>
        </w:rPr>
        <w:t xml:space="preserve">e épreuve de compatibilité informatisée </w:t>
      </w:r>
      <w:r>
        <w:rPr>
          <w:lang w:val="fr-CA"/>
        </w:rPr>
        <w:t>permet</w:t>
      </w:r>
      <w:r w:rsidR="00230AB9">
        <w:rPr>
          <w:lang w:val="fr-CA"/>
        </w:rPr>
        <w:t xml:space="preserve"> </w:t>
      </w:r>
      <w:r w:rsidR="00D8051C">
        <w:rPr>
          <w:lang w:val="fr-CA"/>
        </w:rPr>
        <w:t xml:space="preserve">d’attribuer du sang ou des composants sanguins à un patient. Le système informatique doit avoir été dûment validé par l’utilisateur et s’être révélé capable de prévenir l'administration de produits ou composants ABO incompatibles à un receveur. L’ordinateur doit être doté d’un mécanisme qui avertira l’utilisateur de toute divergence entre le groupe du patient et celui du donneur. </w:t>
      </w:r>
    </w:p>
    <w:p w:rsidR="00D8051C" w:rsidRDefault="00D8051C">
      <w:pPr>
        <w:ind w:left="72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Portée et politiques connexes</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Les épreuves de compatibilité informatisées doivent être effectuées avant chaque transfusion de globules rouges, sauf si la vie du patient est en danger</w:t>
      </w:r>
      <w:r>
        <w:rPr>
          <w:rFonts w:ascii="Arial" w:hAnsi="Arial"/>
          <w:sz w:val="24"/>
          <w:vertAlign w:val="superscript"/>
          <w:lang w:val="fr-CA"/>
        </w:rPr>
        <w:t>9.1</w:t>
      </w:r>
      <w:r>
        <w:rPr>
          <w:rFonts w:ascii="Arial" w:hAnsi="Arial"/>
          <w:sz w:val="24"/>
          <w:lang w:val="fr-CA"/>
        </w:rPr>
        <w: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Si </w:t>
      </w:r>
      <w:r w:rsidR="00177D45">
        <w:rPr>
          <w:rFonts w:ascii="Arial" w:hAnsi="Arial"/>
          <w:sz w:val="24"/>
          <w:lang w:val="fr-CA"/>
        </w:rPr>
        <w:t xml:space="preserve">le temps manque pour </w:t>
      </w:r>
      <w:r>
        <w:rPr>
          <w:rFonts w:ascii="Arial" w:hAnsi="Arial"/>
          <w:sz w:val="24"/>
          <w:lang w:val="fr-CA"/>
        </w:rPr>
        <w:t>détermin</w:t>
      </w:r>
      <w:r w:rsidR="00177D45">
        <w:rPr>
          <w:rFonts w:ascii="Arial" w:hAnsi="Arial"/>
          <w:sz w:val="24"/>
          <w:lang w:val="fr-CA"/>
        </w:rPr>
        <w:t>er</w:t>
      </w:r>
      <w:r>
        <w:rPr>
          <w:rFonts w:ascii="Arial" w:hAnsi="Arial"/>
          <w:sz w:val="24"/>
          <w:lang w:val="fr-CA"/>
        </w:rPr>
        <w:t xml:space="preserve"> </w:t>
      </w:r>
      <w:r w:rsidR="00177D45">
        <w:rPr>
          <w:rFonts w:ascii="Arial" w:hAnsi="Arial"/>
          <w:sz w:val="24"/>
          <w:lang w:val="fr-CA"/>
        </w:rPr>
        <w:t xml:space="preserve">le </w:t>
      </w:r>
      <w:r>
        <w:rPr>
          <w:rFonts w:ascii="Arial" w:hAnsi="Arial"/>
          <w:sz w:val="24"/>
          <w:lang w:val="fr-CA"/>
        </w:rPr>
        <w:t>groupe ABO et</w:t>
      </w:r>
      <w:r w:rsidR="00177D45">
        <w:rPr>
          <w:rFonts w:ascii="Arial" w:hAnsi="Arial"/>
          <w:sz w:val="24"/>
          <w:lang w:val="fr-CA"/>
        </w:rPr>
        <w:t xml:space="preserve"> le facteur</w:t>
      </w:r>
      <w:r>
        <w:rPr>
          <w:rFonts w:ascii="Arial" w:hAnsi="Arial"/>
          <w:sz w:val="24"/>
          <w:lang w:val="fr-CA"/>
        </w:rPr>
        <w:t xml:space="preserve"> Rh du receveur, </w:t>
      </w:r>
      <w:r w:rsidR="00177D45">
        <w:rPr>
          <w:rFonts w:ascii="Arial" w:hAnsi="Arial"/>
          <w:sz w:val="24"/>
          <w:lang w:val="fr-CA"/>
        </w:rPr>
        <w:t xml:space="preserve">il faut </w:t>
      </w:r>
      <w:r>
        <w:rPr>
          <w:rFonts w:ascii="Arial" w:hAnsi="Arial"/>
          <w:sz w:val="24"/>
          <w:lang w:val="fr-CA"/>
        </w:rPr>
        <w:t xml:space="preserve">émettre des </w:t>
      </w:r>
      <w:r w:rsidR="002254E8">
        <w:rPr>
          <w:rFonts w:ascii="Arial" w:hAnsi="Arial"/>
          <w:sz w:val="24"/>
          <w:lang w:val="fr-CA"/>
        </w:rPr>
        <w:t>globules rouges</w:t>
      </w:r>
      <w:r>
        <w:rPr>
          <w:rFonts w:ascii="Arial" w:hAnsi="Arial"/>
          <w:sz w:val="24"/>
          <w:lang w:val="fr-CA"/>
        </w:rPr>
        <w:t xml:space="preserve"> de groupe O. </w:t>
      </w:r>
      <w:r w:rsidR="002254E8">
        <w:rPr>
          <w:rFonts w:ascii="Arial" w:hAnsi="Arial"/>
          <w:sz w:val="24"/>
          <w:lang w:val="fr-CA"/>
        </w:rPr>
        <w:t>Pour les femmes en âge d’avoir des enfants et les enfa</w:t>
      </w:r>
      <w:r w:rsidR="00F36481">
        <w:rPr>
          <w:rFonts w:ascii="Arial" w:hAnsi="Arial"/>
          <w:sz w:val="24"/>
          <w:lang w:val="fr-CA"/>
        </w:rPr>
        <w:t>n</w:t>
      </w:r>
      <w:r w:rsidR="002254E8">
        <w:rPr>
          <w:rFonts w:ascii="Arial" w:hAnsi="Arial"/>
          <w:sz w:val="24"/>
          <w:lang w:val="fr-CA"/>
        </w:rPr>
        <w:t>ts, on doit mettre en circulation des globules rouges de groupe O Rh négatif</w:t>
      </w:r>
      <w:r>
        <w:rPr>
          <w:rFonts w:ascii="Arial" w:hAnsi="Arial"/>
          <w:sz w:val="24"/>
          <w:vertAlign w:val="superscript"/>
          <w:lang w:val="fr-CA"/>
        </w:rPr>
        <w:t>9.1</w:t>
      </w:r>
      <w:r>
        <w:rPr>
          <w:rFonts w:ascii="Arial" w:hAnsi="Arial"/>
          <w:sz w:val="24"/>
          <w:lang w:val="fr-CA"/>
        </w:rPr>
        <w: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Si les </w:t>
      </w:r>
      <w:r w:rsidR="002254E8">
        <w:rPr>
          <w:rFonts w:ascii="Arial" w:hAnsi="Arial"/>
          <w:sz w:val="24"/>
          <w:lang w:val="fr-CA"/>
        </w:rPr>
        <w:t>globules rouges</w:t>
      </w:r>
      <w:r>
        <w:rPr>
          <w:rFonts w:ascii="Arial" w:hAnsi="Arial"/>
          <w:sz w:val="24"/>
          <w:lang w:val="fr-CA"/>
        </w:rPr>
        <w:t xml:space="preserve"> sont émis avant que les épreuves de compatibilité ne soient terminées, on doit inscrire sur le bordereau d’émission que les épreuves ne sont pas terminées. Si on trouve par la suite que les </w:t>
      </w:r>
      <w:r w:rsidR="00EC3730">
        <w:rPr>
          <w:rFonts w:ascii="Arial" w:hAnsi="Arial"/>
          <w:sz w:val="24"/>
          <w:lang w:val="fr-CA"/>
        </w:rPr>
        <w:t>globules rouges</w:t>
      </w:r>
      <w:r>
        <w:rPr>
          <w:rFonts w:ascii="Arial" w:hAnsi="Arial"/>
          <w:sz w:val="24"/>
          <w:lang w:val="fr-CA"/>
        </w:rPr>
        <w:t xml:space="preserve"> émis sont incompatibles, on doit en informer le médecin traitant et le directeur médical du </w:t>
      </w:r>
      <w:r w:rsidR="00EC3730">
        <w:rPr>
          <w:rFonts w:ascii="Arial" w:hAnsi="Arial"/>
          <w:sz w:val="24"/>
          <w:lang w:val="fr-CA"/>
        </w:rPr>
        <w:t xml:space="preserve">Laboratoire de médecine transfusionnelle (LMT) </w:t>
      </w:r>
      <w:r>
        <w:rPr>
          <w:rFonts w:ascii="Arial" w:hAnsi="Arial"/>
          <w:sz w:val="24"/>
          <w:lang w:val="fr-CA"/>
        </w:rPr>
        <w:t xml:space="preserve">ou leur représentant. On doit cesser immédiatement la transfusion des </w:t>
      </w:r>
      <w:r w:rsidR="00EC3730">
        <w:rPr>
          <w:rFonts w:ascii="Arial" w:hAnsi="Arial"/>
          <w:sz w:val="24"/>
          <w:lang w:val="fr-CA"/>
        </w:rPr>
        <w:t>globules rouges</w:t>
      </w:r>
      <w:r>
        <w:rPr>
          <w:rFonts w:ascii="Arial" w:hAnsi="Arial"/>
          <w:sz w:val="24"/>
          <w:lang w:val="fr-CA"/>
        </w:rPr>
        <w:t xml:space="preserve"> et les mettre à l'écart en attendant la décision des médecins</w:t>
      </w:r>
      <w:r>
        <w:rPr>
          <w:rFonts w:ascii="Arial" w:hAnsi="Arial"/>
          <w:sz w:val="24"/>
          <w:vertAlign w:val="superscript"/>
          <w:lang w:val="fr-CA"/>
        </w:rPr>
        <w:t>9.1</w:t>
      </w:r>
      <w:r>
        <w:rPr>
          <w:rFonts w:ascii="Arial" w:hAnsi="Arial"/>
          <w:sz w:val="24"/>
          <w:lang w:val="fr-CA"/>
        </w:rPr>
        <w: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Si le dépistage ne met en évidence aucun anticorps cliniquement significatif et qu’il n’y aucun antécédent d’anticorps cliniquement significatif, il faut au moins tester la compatibilité ABO</w:t>
      </w:r>
      <w:r>
        <w:rPr>
          <w:rFonts w:ascii="Arial" w:hAnsi="Arial"/>
          <w:sz w:val="24"/>
          <w:vertAlign w:val="superscript"/>
          <w:lang w:val="fr-CA"/>
        </w:rPr>
        <w:t>9.</w:t>
      </w:r>
      <w:r w:rsidR="001C171B">
        <w:rPr>
          <w:rFonts w:ascii="Arial" w:hAnsi="Arial"/>
          <w:sz w:val="24"/>
          <w:vertAlign w:val="superscript"/>
          <w:lang w:val="fr-CA"/>
        </w:rPr>
        <w:t>1</w:t>
      </w:r>
      <w:r>
        <w:rPr>
          <w:rFonts w:ascii="Arial" w:hAnsi="Arial"/>
          <w:sz w:val="24"/>
          <w:lang w:val="fr-CA"/>
        </w:rPr>
        <w:t>.</w:t>
      </w:r>
    </w:p>
    <w:p w:rsidR="00D8051C" w:rsidRDefault="00D8051C">
      <w:pPr>
        <w:numPr>
          <w:ilvl w:val="2"/>
          <w:numId w:val="1"/>
        </w:numPr>
        <w:rPr>
          <w:rFonts w:ascii="Arial" w:hAnsi="Arial"/>
          <w:sz w:val="24"/>
          <w:lang w:val="fr-CA"/>
        </w:rPr>
      </w:pPr>
      <w:r>
        <w:rPr>
          <w:rFonts w:ascii="Arial" w:hAnsi="Arial"/>
          <w:sz w:val="24"/>
          <w:lang w:val="fr-CA"/>
        </w:rPr>
        <w:lastRenderedPageBreak/>
        <w:t>S'il s'agit d'un patient qui a reçu une transfusion ou d'une patiente qui a été enceinte au cours des trois derniers mois, ou si les antécédents de transfusion ou de grossesse ne sont pas clairs, les échantillons soumis à des épreuves de compatibilité informatisée auront été prélevés dans les 96 heures qui précèdent</w:t>
      </w:r>
      <w:r>
        <w:rPr>
          <w:rFonts w:ascii="Arial" w:hAnsi="Arial"/>
          <w:sz w:val="24"/>
          <w:vertAlign w:val="superscript"/>
          <w:lang w:val="fr-CA"/>
        </w:rPr>
        <w:t>9.1</w:t>
      </w:r>
      <w:r>
        <w:rPr>
          <w:rFonts w:ascii="Arial" w:hAnsi="Arial"/>
          <w:sz w:val="24"/>
          <w:lang w:val="fr-CA"/>
        </w:rPr>
        <w:t>.</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S’il s’agit d’un patient qui n’a pas subi de transfusion ou d’une patiente qui n’a pas été enceinte au cours des 3 derniers mois, le plasma soumis aux épreuves de compatibilité informatisée peut être entreposé et servir en tout temps à des fins d’analyse au cours de son hospitalisation courante. La période d’hospitalisation courante va de l’admission au congé, mais comprend aussi jusqu’à un mois entre le moment des analyses de pré-admission et l’admission courante</w:t>
      </w:r>
      <w:r>
        <w:rPr>
          <w:rFonts w:ascii="Arial" w:hAnsi="Arial"/>
          <w:sz w:val="24"/>
          <w:vertAlign w:val="superscript"/>
          <w:lang w:val="fr-CA"/>
        </w:rPr>
        <w:t>9.1</w:t>
      </w:r>
      <w:r>
        <w:rPr>
          <w:rFonts w:ascii="Arial" w:hAnsi="Arial"/>
          <w:sz w:val="24"/>
          <w:lang w:val="fr-CA"/>
        </w:rPr>
        <w:t>.</w:t>
      </w:r>
    </w:p>
    <w:p w:rsidR="00D8051C" w:rsidRDefault="00D8051C">
      <w:pPr>
        <w:ind w:left="144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Les épreuves de compatibilité </w:t>
      </w:r>
      <w:r w:rsidR="00572CD8">
        <w:rPr>
          <w:rFonts w:ascii="Arial" w:hAnsi="Arial"/>
          <w:sz w:val="24"/>
          <w:lang w:val="fr-CA"/>
        </w:rPr>
        <w:t xml:space="preserve">informatisée </w:t>
      </w:r>
      <w:r>
        <w:rPr>
          <w:rFonts w:ascii="Arial" w:hAnsi="Arial"/>
          <w:sz w:val="24"/>
          <w:lang w:val="fr-CA"/>
        </w:rPr>
        <w:t>comprendront les étapes suivantes</w:t>
      </w:r>
      <w:r>
        <w:rPr>
          <w:rFonts w:ascii="Arial" w:hAnsi="Arial"/>
          <w:sz w:val="24"/>
          <w:vertAlign w:val="superscript"/>
          <w:lang w:val="fr-CA"/>
        </w:rPr>
        <w:t>9.1 </w:t>
      </w:r>
      <w:r>
        <w:rPr>
          <w:rFonts w:ascii="Arial" w:hAnsi="Arial"/>
          <w:sz w:val="24"/>
          <w:lang w:val="fr-CA"/>
        </w:rPr>
        <w:t>:</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 xml:space="preserve">Détermination du groupe ABO et </w:t>
      </w:r>
      <w:r w:rsidR="00EC3730">
        <w:rPr>
          <w:rFonts w:ascii="Arial" w:hAnsi="Arial"/>
          <w:sz w:val="24"/>
          <w:lang w:val="fr-CA"/>
        </w:rPr>
        <w:t xml:space="preserve">du </w:t>
      </w:r>
      <w:r w:rsidR="00D00FEC">
        <w:rPr>
          <w:rFonts w:ascii="Arial" w:hAnsi="Arial"/>
          <w:sz w:val="24"/>
          <w:lang w:val="fr-CA"/>
        </w:rPr>
        <w:t xml:space="preserve">facteur </w:t>
      </w:r>
      <w:r>
        <w:rPr>
          <w:rFonts w:ascii="Arial" w:hAnsi="Arial"/>
          <w:sz w:val="24"/>
          <w:lang w:val="fr-CA"/>
        </w:rPr>
        <w:t xml:space="preserve">Rh du </w:t>
      </w:r>
      <w:r w:rsidR="00EC3730">
        <w:rPr>
          <w:rFonts w:ascii="Arial" w:hAnsi="Arial"/>
          <w:sz w:val="24"/>
          <w:lang w:val="fr-CA"/>
        </w:rPr>
        <w:t>receveur</w:t>
      </w:r>
      <w:r>
        <w:rPr>
          <w:rFonts w:ascii="Arial" w:hAnsi="Arial"/>
          <w:sz w:val="24"/>
          <w:lang w:val="fr-CA"/>
        </w:rPr>
        <w:t xml:space="preserve"> à partir de l’échantillon courant (ABO COUR). Voir AR.001 -Groupage sanguin ABO.</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Confirmation du groupe ABO (ABO PRÉC) à l’aide d’une deuxième épreuve (préférablement par un 2</w:t>
      </w:r>
      <w:r>
        <w:rPr>
          <w:rFonts w:ascii="Arial" w:hAnsi="Arial"/>
          <w:sz w:val="24"/>
          <w:vertAlign w:val="superscript"/>
          <w:lang w:val="fr-CA"/>
        </w:rPr>
        <w:t>e</w:t>
      </w:r>
      <w:r>
        <w:rPr>
          <w:rFonts w:ascii="Arial" w:hAnsi="Arial"/>
          <w:sz w:val="24"/>
          <w:lang w:val="fr-CA"/>
        </w:rPr>
        <w:t xml:space="preserve"> </w:t>
      </w:r>
      <w:r w:rsidR="00572CD8">
        <w:rPr>
          <w:rFonts w:ascii="Arial" w:hAnsi="Arial"/>
          <w:sz w:val="24"/>
          <w:lang w:val="fr-CA"/>
        </w:rPr>
        <w:t>technologue</w:t>
      </w:r>
      <w:r>
        <w:rPr>
          <w:rFonts w:ascii="Arial" w:hAnsi="Arial"/>
          <w:sz w:val="24"/>
          <w:lang w:val="fr-CA"/>
        </w:rPr>
        <w:t>) sur l’échantillon courant ou en comparant les résultats ABO précédents. Voir Remarque 8.2.</w:t>
      </w:r>
    </w:p>
    <w:p w:rsidR="00D8051C" w:rsidRDefault="00D8051C">
      <w:pPr>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 xml:space="preserve">Le dépistage d’anticorps sur l’échantillon courant (DA COUR) doit être négatif et il ne doit pas y avoir d’antécédents connus </w:t>
      </w:r>
      <w:r w:rsidR="00EC3730">
        <w:rPr>
          <w:rFonts w:ascii="Arial" w:hAnsi="Arial"/>
          <w:sz w:val="24"/>
          <w:lang w:val="fr-CA"/>
        </w:rPr>
        <w:t>d’</w:t>
      </w:r>
      <w:r>
        <w:rPr>
          <w:rFonts w:ascii="Arial" w:hAnsi="Arial"/>
          <w:sz w:val="24"/>
          <w:lang w:val="fr-CA"/>
        </w:rPr>
        <w:t>anticorps érythrocytaires significatifs (A</w:t>
      </w:r>
      <w:r w:rsidR="00D00FEC">
        <w:rPr>
          <w:rFonts w:ascii="Arial" w:hAnsi="Arial"/>
          <w:sz w:val="24"/>
          <w:lang w:val="fr-CA"/>
        </w:rPr>
        <w:t>C</w:t>
      </w:r>
      <w:r>
        <w:rPr>
          <w:rFonts w:ascii="Arial" w:hAnsi="Arial"/>
          <w:sz w:val="24"/>
          <w:lang w:val="fr-CA"/>
        </w:rPr>
        <w:t xml:space="preserve"> CONNU). Voir Remarque 8.1 et AR.005 - Dépistage d'anticorps.</w:t>
      </w:r>
    </w:p>
    <w:p w:rsidR="00D8051C" w:rsidRDefault="00D8051C">
      <w:pPr>
        <w:rPr>
          <w:rFonts w:ascii="Arial" w:hAnsi="Arial"/>
          <w:sz w:val="24"/>
          <w:lang w:val="fr-CA"/>
        </w:rPr>
      </w:pPr>
    </w:p>
    <w:p w:rsidR="00D8051C" w:rsidRDefault="00D8051C">
      <w:pPr>
        <w:numPr>
          <w:ilvl w:val="2"/>
          <w:numId w:val="1"/>
        </w:numPr>
        <w:rPr>
          <w:rFonts w:ascii="Arial" w:hAnsi="Arial" w:cs="Arial"/>
          <w:sz w:val="24"/>
          <w:lang w:val="fr-CA"/>
        </w:rPr>
      </w:pPr>
      <w:r>
        <w:rPr>
          <w:rFonts w:ascii="Arial" w:hAnsi="Arial" w:cs="Arial"/>
          <w:sz w:val="24"/>
          <w:lang w:val="fr-CA"/>
        </w:rPr>
        <w:t xml:space="preserve">Confirmation informatique de la compatibilité ABO entre le donneur et le receveur. </w:t>
      </w:r>
    </w:p>
    <w:p w:rsidR="00D8051C" w:rsidRDefault="00D8051C">
      <w:pPr>
        <w:pStyle w:val="BodyTextIndent2"/>
        <w:ind w:left="0"/>
        <w:rPr>
          <w:lang w:val="fr-CA"/>
        </w:rPr>
      </w:pPr>
    </w:p>
    <w:p w:rsidR="00D8051C" w:rsidRDefault="00D8051C">
      <w:pPr>
        <w:numPr>
          <w:ilvl w:val="1"/>
          <w:numId w:val="1"/>
        </w:numPr>
        <w:rPr>
          <w:rFonts w:ascii="Arial" w:hAnsi="Arial"/>
          <w:sz w:val="24"/>
          <w:lang w:val="fr-CA"/>
        </w:rPr>
      </w:pPr>
      <w:r>
        <w:rPr>
          <w:rFonts w:ascii="Arial" w:hAnsi="Arial"/>
          <w:sz w:val="24"/>
          <w:lang w:val="fr-CA"/>
        </w:rPr>
        <w:t>Il faut confirmer le groupe ABO de</w:t>
      </w:r>
      <w:r w:rsidR="00F36481">
        <w:rPr>
          <w:rFonts w:ascii="Arial" w:hAnsi="Arial"/>
          <w:sz w:val="24"/>
          <w:lang w:val="fr-CA"/>
        </w:rPr>
        <w:t>s</w:t>
      </w:r>
      <w:r>
        <w:rPr>
          <w:rFonts w:ascii="Arial" w:hAnsi="Arial"/>
          <w:sz w:val="24"/>
          <w:lang w:val="fr-CA"/>
        </w:rPr>
        <w:t xml:space="preserve"> globules rouges recueillis et préparés par le fournisseur. Voir Remarque 8.4.</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Un bordereau d’émission et</w:t>
      </w:r>
      <w:r w:rsidR="00572CD8">
        <w:rPr>
          <w:rFonts w:ascii="Arial" w:hAnsi="Arial"/>
          <w:sz w:val="24"/>
          <w:lang w:val="fr-CA"/>
        </w:rPr>
        <w:t>/</w:t>
      </w:r>
      <w:r>
        <w:rPr>
          <w:rFonts w:ascii="Arial" w:hAnsi="Arial"/>
          <w:sz w:val="24"/>
          <w:lang w:val="fr-CA"/>
        </w:rPr>
        <w:t xml:space="preserve">ou une étiquette de compatibilité doit </w:t>
      </w:r>
      <w:r w:rsidR="00BE23D0">
        <w:rPr>
          <w:rFonts w:ascii="Arial" w:hAnsi="Arial"/>
          <w:sz w:val="24"/>
          <w:lang w:val="fr-CA"/>
        </w:rPr>
        <w:t xml:space="preserve">être </w:t>
      </w:r>
      <w:r w:rsidR="00F36481">
        <w:rPr>
          <w:rFonts w:ascii="Arial" w:hAnsi="Arial"/>
          <w:sz w:val="24"/>
          <w:lang w:val="fr-CA"/>
        </w:rPr>
        <w:t>rempli</w:t>
      </w:r>
      <w:r w:rsidR="00BE23D0">
        <w:rPr>
          <w:rFonts w:ascii="Arial" w:hAnsi="Arial"/>
          <w:sz w:val="24"/>
          <w:lang w:val="fr-CA"/>
        </w:rPr>
        <w:t xml:space="preserve"> </w:t>
      </w:r>
      <w:r w:rsidR="00514F90">
        <w:rPr>
          <w:rFonts w:ascii="Arial" w:hAnsi="Arial"/>
          <w:sz w:val="24"/>
          <w:lang w:val="fr-CA"/>
        </w:rPr>
        <w:t xml:space="preserve">pour </w:t>
      </w:r>
      <w:r>
        <w:rPr>
          <w:rFonts w:ascii="Arial" w:hAnsi="Arial"/>
          <w:sz w:val="24"/>
          <w:lang w:val="fr-CA"/>
        </w:rPr>
        <w:t xml:space="preserve">tous les globules rouges mis en circulation. Les éléments d’information suivants doivent y figurer : </w:t>
      </w:r>
      <w:r>
        <w:rPr>
          <w:rFonts w:ascii="Arial" w:hAnsi="Arial"/>
          <w:sz w:val="24"/>
          <w:lang w:val="fr-CA"/>
        </w:rPr>
        <w:br/>
      </w:r>
    </w:p>
    <w:p w:rsidR="00D8051C" w:rsidRDefault="00D8051C">
      <w:pPr>
        <w:numPr>
          <w:ilvl w:val="0"/>
          <w:numId w:val="3"/>
        </w:numPr>
        <w:ind w:left="1843" w:hanging="425"/>
        <w:rPr>
          <w:rFonts w:ascii="Arial" w:hAnsi="Arial"/>
          <w:sz w:val="24"/>
          <w:lang w:val="fr-CA"/>
        </w:rPr>
      </w:pPr>
      <w:r>
        <w:rPr>
          <w:rFonts w:ascii="Arial" w:hAnsi="Arial"/>
          <w:sz w:val="24"/>
          <w:lang w:val="fr-CA"/>
        </w:rPr>
        <w:t>les nom de famille et prénom du receveur</w:t>
      </w:r>
    </w:p>
    <w:p w:rsidR="00D8051C" w:rsidRDefault="00D8051C">
      <w:pPr>
        <w:ind w:left="1843" w:hanging="425"/>
        <w:rPr>
          <w:rFonts w:ascii="Arial" w:hAnsi="Arial"/>
          <w:sz w:val="24"/>
          <w:lang w:val="fr-CA"/>
        </w:rPr>
      </w:pPr>
    </w:p>
    <w:p w:rsidR="00D8051C" w:rsidRDefault="00D8051C">
      <w:pPr>
        <w:numPr>
          <w:ilvl w:val="0"/>
          <w:numId w:val="3"/>
        </w:numPr>
        <w:tabs>
          <w:tab w:val="clear" w:pos="360"/>
          <w:tab w:val="num" w:pos="1800"/>
        </w:tabs>
        <w:ind w:left="1843" w:hanging="425"/>
        <w:rPr>
          <w:rFonts w:ascii="Arial" w:hAnsi="Arial"/>
          <w:sz w:val="24"/>
          <w:lang w:val="fr-CA"/>
        </w:rPr>
      </w:pPr>
      <w:r>
        <w:rPr>
          <w:rFonts w:ascii="Arial" w:hAnsi="Arial"/>
          <w:sz w:val="24"/>
          <w:lang w:val="fr-CA"/>
        </w:rPr>
        <w:t>le(s) numéro(s) d’identification du receveur</w:t>
      </w:r>
    </w:p>
    <w:p w:rsidR="00D8051C" w:rsidRDefault="00D8051C">
      <w:pPr>
        <w:ind w:left="1843" w:hanging="425"/>
        <w:rPr>
          <w:rFonts w:ascii="Arial" w:hAnsi="Arial"/>
          <w:sz w:val="24"/>
          <w:lang w:val="fr-CA"/>
        </w:rPr>
      </w:pPr>
    </w:p>
    <w:p w:rsidR="00D8051C" w:rsidRDefault="00D8051C">
      <w:pPr>
        <w:numPr>
          <w:ilvl w:val="0"/>
          <w:numId w:val="3"/>
        </w:numPr>
        <w:tabs>
          <w:tab w:val="clear" w:pos="360"/>
          <w:tab w:val="num" w:pos="1800"/>
        </w:tabs>
        <w:ind w:left="1843" w:hanging="425"/>
        <w:rPr>
          <w:rFonts w:ascii="Arial" w:hAnsi="Arial"/>
          <w:sz w:val="24"/>
          <w:lang w:val="fr-CA"/>
        </w:rPr>
      </w:pPr>
      <w:r>
        <w:rPr>
          <w:rFonts w:ascii="Arial" w:hAnsi="Arial"/>
          <w:sz w:val="24"/>
          <w:lang w:val="fr-CA"/>
        </w:rPr>
        <w:t>le groupe ABO et le facteur Rh du receveur</w:t>
      </w:r>
    </w:p>
    <w:p w:rsidR="00D8051C" w:rsidRDefault="00D8051C">
      <w:pPr>
        <w:ind w:left="1843" w:hanging="425"/>
        <w:rPr>
          <w:rFonts w:ascii="Arial" w:hAnsi="Arial"/>
          <w:sz w:val="24"/>
          <w:lang w:val="fr-CA"/>
        </w:rPr>
      </w:pPr>
    </w:p>
    <w:p w:rsidR="00D8051C" w:rsidRDefault="00D8051C">
      <w:pPr>
        <w:numPr>
          <w:ilvl w:val="0"/>
          <w:numId w:val="3"/>
        </w:numPr>
        <w:tabs>
          <w:tab w:val="clear" w:pos="360"/>
          <w:tab w:val="num" w:pos="1800"/>
        </w:tabs>
        <w:ind w:left="1843" w:hanging="425"/>
        <w:rPr>
          <w:rFonts w:ascii="Arial" w:hAnsi="Arial"/>
          <w:sz w:val="24"/>
          <w:lang w:val="fr-CA"/>
        </w:rPr>
      </w:pPr>
      <w:r>
        <w:rPr>
          <w:rFonts w:ascii="Arial" w:hAnsi="Arial"/>
          <w:sz w:val="24"/>
          <w:lang w:val="fr-CA"/>
        </w:rPr>
        <w:t>le groupe ABO et le facteur</w:t>
      </w:r>
      <w:r w:rsidR="00EC3730">
        <w:rPr>
          <w:rFonts w:ascii="Arial" w:hAnsi="Arial"/>
          <w:sz w:val="24"/>
          <w:lang w:val="fr-CA"/>
        </w:rPr>
        <w:t>/</w:t>
      </w:r>
      <w:r>
        <w:rPr>
          <w:rFonts w:ascii="Arial" w:hAnsi="Arial"/>
          <w:sz w:val="24"/>
          <w:lang w:val="fr-CA"/>
        </w:rPr>
        <w:t xml:space="preserve"> Rh des globules rouges</w:t>
      </w:r>
      <w:r w:rsidR="00EC3730">
        <w:rPr>
          <w:rFonts w:ascii="Arial" w:hAnsi="Arial"/>
          <w:sz w:val="24"/>
          <w:lang w:val="fr-CA"/>
        </w:rPr>
        <w:t xml:space="preserve"> à transfuser</w:t>
      </w:r>
    </w:p>
    <w:p w:rsidR="00D8051C" w:rsidRDefault="00D8051C">
      <w:pPr>
        <w:ind w:left="1843" w:hanging="425"/>
        <w:rPr>
          <w:rFonts w:ascii="Arial" w:hAnsi="Arial"/>
          <w:sz w:val="24"/>
          <w:lang w:val="fr-CA"/>
        </w:rPr>
      </w:pPr>
    </w:p>
    <w:p w:rsidR="00D8051C" w:rsidRDefault="00D8051C">
      <w:pPr>
        <w:numPr>
          <w:ilvl w:val="0"/>
          <w:numId w:val="3"/>
        </w:numPr>
        <w:tabs>
          <w:tab w:val="clear" w:pos="360"/>
          <w:tab w:val="num" w:pos="1843"/>
        </w:tabs>
        <w:ind w:left="1843" w:hanging="425"/>
        <w:rPr>
          <w:rFonts w:ascii="Arial" w:hAnsi="Arial"/>
          <w:sz w:val="24"/>
          <w:lang w:val="fr-CA"/>
        </w:rPr>
      </w:pPr>
      <w:r>
        <w:rPr>
          <w:rFonts w:ascii="Arial" w:hAnsi="Arial"/>
          <w:sz w:val="24"/>
          <w:lang w:val="fr-CA"/>
        </w:rPr>
        <w:t>le numéro d’identification du produit (incluant le code de contrôle et le code de l’établissement de collecte)</w:t>
      </w:r>
      <w:r>
        <w:rPr>
          <w:rFonts w:ascii="Arial" w:hAnsi="Arial"/>
          <w:sz w:val="24"/>
          <w:lang w:val="fr-CA"/>
        </w:rPr>
        <w:br/>
      </w:r>
    </w:p>
    <w:p w:rsidR="00D8051C" w:rsidRDefault="00D8051C">
      <w:pPr>
        <w:numPr>
          <w:ilvl w:val="0"/>
          <w:numId w:val="3"/>
        </w:numPr>
        <w:tabs>
          <w:tab w:val="clear" w:pos="360"/>
          <w:tab w:val="num" w:pos="1800"/>
        </w:tabs>
        <w:ind w:left="1800"/>
        <w:rPr>
          <w:rFonts w:ascii="Arial" w:hAnsi="Arial"/>
          <w:sz w:val="24"/>
          <w:lang w:val="fr-CA"/>
        </w:rPr>
      </w:pPr>
      <w:r>
        <w:rPr>
          <w:rFonts w:ascii="Arial" w:hAnsi="Arial"/>
          <w:sz w:val="24"/>
          <w:lang w:val="fr-CA"/>
        </w:rPr>
        <w:t>l</w:t>
      </w:r>
      <w:r w:rsidR="001C171B">
        <w:rPr>
          <w:rFonts w:ascii="Arial" w:hAnsi="Arial"/>
          <w:sz w:val="24"/>
          <w:lang w:val="fr-CA"/>
        </w:rPr>
        <w:t xml:space="preserve">e nom du </w:t>
      </w:r>
      <w:r>
        <w:rPr>
          <w:rFonts w:ascii="Arial" w:hAnsi="Arial"/>
          <w:sz w:val="24"/>
          <w:lang w:val="fr-CA"/>
        </w:rPr>
        <w:t xml:space="preserve">produit </w:t>
      </w:r>
    </w:p>
    <w:p w:rsidR="00D8051C" w:rsidRDefault="00D8051C">
      <w:pPr>
        <w:ind w:left="1440"/>
        <w:rPr>
          <w:rFonts w:ascii="Arial" w:hAnsi="Arial"/>
          <w:sz w:val="24"/>
          <w:lang w:val="fr-CA"/>
        </w:rPr>
      </w:pPr>
    </w:p>
    <w:p w:rsidR="00D8051C" w:rsidRDefault="00D8051C">
      <w:pPr>
        <w:numPr>
          <w:ilvl w:val="0"/>
          <w:numId w:val="3"/>
        </w:numPr>
        <w:tabs>
          <w:tab w:val="clear" w:pos="360"/>
          <w:tab w:val="num" w:pos="1800"/>
        </w:tabs>
        <w:ind w:left="1800"/>
        <w:rPr>
          <w:rFonts w:ascii="Arial" w:hAnsi="Arial"/>
          <w:sz w:val="24"/>
          <w:lang w:val="fr-CA"/>
        </w:rPr>
      </w:pPr>
      <w:r>
        <w:rPr>
          <w:rFonts w:ascii="Arial" w:hAnsi="Arial"/>
          <w:sz w:val="24"/>
          <w:lang w:val="fr-CA"/>
        </w:rPr>
        <w:t>l</w:t>
      </w:r>
      <w:r w:rsidR="00EC3730">
        <w:rPr>
          <w:rFonts w:ascii="Arial" w:hAnsi="Arial"/>
          <w:sz w:val="24"/>
          <w:lang w:val="fr-CA"/>
        </w:rPr>
        <w:t>a</w:t>
      </w:r>
      <w:r>
        <w:rPr>
          <w:rFonts w:ascii="Arial" w:hAnsi="Arial"/>
          <w:sz w:val="24"/>
          <w:lang w:val="fr-CA"/>
        </w:rPr>
        <w:t xml:space="preserve"> compatibilité des globules rouges</w:t>
      </w:r>
      <w:r w:rsidR="001C171B">
        <w:rPr>
          <w:rFonts w:ascii="Arial" w:hAnsi="Arial"/>
          <w:sz w:val="24"/>
          <w:lang w:val="fr-CA"/>
        </w:rPr>
        <w:br/>
      </w:r>
    </w:p>
    <w:p w:rsidR="00D8051C" w:rsidRDefault="001C171B" w:rsidP="000B6584">
      <w:pPr>
        <w:numPr>
          <w:ilvl w:val="0"/>
          <w:numId w:val="3"/>
        </w:numPr>
        <w:tabs>
          <w:tab w:val="clear" w:pos="360"/>
          <w:tab w:val="num" w:pos="1800"/>
        </w:tabs>
        <w:ind w:left="1800"/>
        <w:rPr>
          <w:rFonts w:ascii="Arial" w:hAnsi="Arial"/>
          <w:sz w:val="24"/>
          <w:lang w:val="fr-CA"/>
        </w:rPr>
      </w:pPr>
      <w:r>
        <w:rPr>
          <w:rFonts w:ascii="Arial" w:hAnsi="Arial"/>
          <w:sz w:val="24"/>
          <w:lang w:val="fr-CA"/>
        </w:rPr>
        <w:t>la date et l’heure d</w:t>
      </w:r>
      <w:r w:rsidR="00EC3730">
        <w:rPr>
          <w:rFonts w:ascii="Arial" w:hAnsi="Arial"/>
          <w:sz w:val="24"/>
          <w:lang w:val="fr-CA"/>
        </w:rPr>
        <w:t>e mise en circulation</w:t>
      </w:r>
      <w:r>
        <w:rPr>
          <w:rFonts w:ascii="Arial" w:hAnsi="Arial"/>
          <w:sz w:val="24"/>
          <w:lang w:val="fr-CA"/>
        </w:rPr>
        <w:t xml:space="preserve"> du produit</w:t>
      </w:r>
      <w:r>
        <w:rPr>
          <w:rFonts w:ascii="Arial" w:hAnsi="Arial"/>
          <w:sz w:val="24"/>
          <w:lang w:val="fr-CA"/>
        </w:rPr>
        <w:br/>
      </w:r>
    </w:p>
    <w:p w:rsidR="00D8051C" w:rsidRDefault="00D8051C">
      <w:pPr>
        <w:numPr>
          <w:ilvl w:val="0"/>
          <w:numId w:val="1"/>
        </w:numPr>
        <w:rPr>
          <w:rFonts w:ascii="Arial" w:hAnsi="Arial"/>
          <w:b/>
          <w:sz w:val="28"/>
          <w:lang w:val="fr-CA"/>
        </w:rPr>
      </w:pPr>
      <w:r>
        <w:rPr>
          <w:rFonts w:ascii="Arial" w:hAnsi="Arial"/>
          <w:b/>
          <w:sz w:val="28"/>
          <w:lang w:val="fr-CA"/>
        </w:rPr>
        <w:t>Échantillons</w:t>
      </w:r>
    </w:p>
    <w:p w:rsidR="00D8051C" w:rsidRDefault="00D8051C">
      <w:pPr>
        <w:rPr>
          <w:rFonts w:ascii="Arial" w:hAnsi="Arial"/>
          <w:sz w:val="24"/>
          <w:lang w:val="fr-CA"/>
        </w:rPr>
      </w:pPr>
    </w:p>
    <w:p w:rsidR="00D8051C" w:rsidRDefault="00D8051C">
      <w:pPr>
        <w:ind w:left="720"/>
        <w:rPr>
          <w:rFonts w:ascii="Arial" w:hAnsi="Arial"/>
          <w:sz w:val="24"/>
          <w:lang w:val="fr-CA"/>
        </w:rPr>
      </w:pPr>
      <w:r>
        <w:rPr>
          <w:rFonts w:ascii="Arial" w:hAnsi="Arial"/>
          <w:sz w:val="24"/>
          <w:lang w:val="fr-CA"/>
        </w:rPr>
        <w:t xml:space="preserve">Sang total anticoagulé </w:t>
      </w:r>
      <w:r w:rsidR="00D00FEC">
        <w:rPr>
          <w:rFonts w:ascii="Arial" w:hAnsi="Arial"/>
          <w:sz w:val="24"/>
          <w:lang w:val="fr-CA"/>
        </w:rPr>
        <w:t xml:space="preserve">– tube </w:t>
      </w:r>
      <w:r>
        <w:rPr>
          <w:rFonts w:ascii="Arial" w:hAnsi="Arial"/>
          <w:sz w:val="24"/>
          <w:lang w:val="fr-CA"/>
        </w:rPr>
        <w:t xml:space="preserve">EDTA </w:t>
      </w:r>
    </w:p>
    <w:p w:rsidR="00D8051C" w:rsidRDefault="00D8051C">
      <w:pPr>
        <w:rPr>
          <w:rFonts w:ascii="Arial" w:hAnsi="Arial"/>
          <w:b/>
          <w:sz w:val="28"/>
          <w:lang w:val="fr-CA"/>
        </w:rPr>
      </w:pPr>
    </w:p>
    <w:p w:rsidR="00D8051C" w:rsidRDefault="00D8051C">
      <w:pPr>
        <w:numPr>
          <w:ilvl w:val="0"/>
          <w:numId w:val="1"/>
        </w:numPr>
        <w:rPr>
          <w:rFonts w:ascii="Arial" w:hAnsi="Arial"/>
          <w:b/>
          <w:sz w:val="28"/>
          <w:lang w:val="fr-CA"/>
        </w:rPr>
      </w:pPr>
      <w:r>
        <w:rPr>
          <w:rFonts w:ascii="Arial" w:hAnsi="Arial"/>
          <w:b/>
          <w:sz w:val="28"/>
          <w:lang w:val="fr-CA"/>
        </w:rPr>
        <w:t xml:space="preserve">Matériel </w:t>
      </w:r>
    </w:p>
    <w:p w:rsidR="00D8051C" w:rsidRDefault="00D8051C">
      <w:pPr>
        <w:rPr>
          <w:rFonts w:ascii="Arial" w:hAnsi="Arial"/>
          <w:sz w:val="24"/>
          <w:lang w:val="fr-CA"/>
        </w:rPr>
      </w:pPr>
    </w:p>
    <w:p w:rsidR="00D8051C" w:rsidRDefault="00D8051C">
      <w:pPr>
        <w:tabs>
          <w:tab w:val="left" w:pos="709"/>
        </w:tabs>
        <w:ind w:left="2552" w:hanging="1832"/>
        <w:rPr>
          <w:rFonts w:ascii="Arial" w:hAnsi="Arial"/>
          <w:sz w:val="24"/>
          <w:lang w:val="fr-CA"/>
        </w:rPr>
      </w:pPr>
      <w:r>
        <w:rPr>
          <w:rFonts w:ascii="Arial" w:hAnsi="Arial"/>
          <w:b/>
          <w:sz w:val="24"/>
          <w:lang w:val="fr-CA"/>
        </w:rPr>
        <w:t>Équipement :</w:t>
      </w:r>
      <w:r>
        <w:rPr>
          <w:rFonts w:ascii="Arial" w:hAnsi="Arial"/>
          <w:b/>
          <w:sz w:val="24"/>
          <w:lang w:val="fr-CA"/>
        </w:rPr>
        <w:tab/>
      </w:r>
      <w:r>
        <w:rPr>
          <w:rFonts w:ascii="Arial" w:hAnsi="Arial"/>
          <w:sz w:val="24"/>
          <w:lang w:val="fr-CA"/>
        </w:rPr>
        <w:t>système informatique de compatibilité croisée dûment validé</w:t>
      </w:r>
    </w:p>
    <w:p w:rsidR="00D8051C" w:rsidRDefault="00D8051C">
      <w:pPr>
        <w:tabs>
          <w:tab w:val="left" w:pos="2552"/>
        </w:tabs>
        <w:ind w:left="720"/>
        <w:rPr>
          <w:rFonts w:ascii="Arial" w:hAnsi="Arial"/>
          <w:sz w:val="24"/>
          <w:lang w:val="fr-CA"/>
        </w:rPr>
      </w:pPr>
    </w:p>
    <w:p w:rsidR="00D8051C" w:rsidRDefault="00D8051C">
      <w:pPr>
        <w:tabs>
          <w:tab w:val="left" w:pos="2552"/>
        </w:tabs>
        <w:ind w:left="720"/>
        <w:rPr>
          <w:rFonts w:ascii="Arial" w:hAnsi="Arial"/>
          <w:sz w:val="24"/>
          <w:lang w:val="fr-CA"/>
        </w:rPr>
      </w:pPr>
      <w:r>
        <w:rPr>
          <w:rFonts w:ascii="Arial" w:hAnsi="Arial"/>
          <w:b/>
          <w:bCs/>
          <w:sz w:val="24"/>
          <w:lang w:val="fr-CA"/>
        </w:rPr>
        <w:t>Fournitures :</w:t>
      </w:r>
      <w:r>
        <w:rPr>
          <w:rFonts w:ascii="Arial" w:hAnsi="Arial"/>
          <w:sz w:val="24"/>
          <w:lang w:val="fr-CA"/>
        </w:rPr>
        <w:tab/>
        <w:t>unité(s) de donneur</w:t>
      </w:r>
    </w:p>
    <w:p w:rsidR="001C171B" w:rsidRPr="001C171B" w:rsidRDefault="001C171B">
      <w:pPr>
        <w:tabs>
          <w:tab w:val="left" w:pos="2552"/>
        </w:tabs>
        <w:ind w:left="720"/>
        <w:rPr>
          <w:rFonts w:ascii="Arial" w:hAnsi="Arial"/>
          <w:sz w:val="24"/>
          <w:lang w:val="fr-CA"/>
        </w:rPr>
      </w:pPr>
      <w:r>
        <w:rPr>
          <w:rFonts w:ascii="Arial" w:hAnsi="Arial"/>
          <w:b/>
          <w:bCs/>
          <w:sz w:val="24"/>
          <w:lang w:val="fr-CA"/>
        </w:rPr>
        <w:tab/>
      </w:r>
      <w:r>
        <w:rPr>
          <w:rFonts w:ascii="Arial" w:hAnsi="Arial"/>
          <w:bCs/>
          <w:sz w:val="24"/>
          <w:lang w:val="fr-CA"/>
        </w:rPr>
        <w:t>ét</w:t>
      </w:r>
      <w:r w:rsidRPr="001C171B">
        <w:rPr>
          <w:rFonts w:ascii="Arial" w:hAnsi="Arial"/>
          <w:bCs/>
          <w:sz w:val="24"/>
          <w:lang w:val="fr-CA"/>
        </w:rPr>
        <w:t>iquettes de compatibilité</w:t>
      </w:r>
    </w:p>
    <w:p w:rsidR="00D8051C" w:rsidRDefault="00D8051C">
      <w:pPr>
        <w:tabs>
          <w:tab w:val="left" w:pos="2552"/>
        </w:tabs>
        <w:rPr>
          <w:rFonts w:ascii="Arial" w:hAnsi="Arial"/>
          <w:sz w:val="24"/>
          <w:lang w:val="fr-CA"/>
        </w:rPr>
      </w:pPr>
    </w:p>
    <w:p w:rsidR="00D8051C" w:rsidRDefault="00D8051C">
      <w:pPr>
        <w:ind w:left="720"/>
        <w:rPr>
          <w:rFonts w:ascii="Arial" w:hAnsi="Arial"/>
          <w:sz w:val="24"/>
          <w:lang w:val="fr-CA"/>
        </w:rPr>
      </w:pPr>
      <w:r>
        <w:rPr>
          <w:rFonts w:ascii="Arial" w:hAnsi="Arial"/>
          <w:sz w:val="24"/>
          <w:lang w:val="fr-CA"/>
        </w:rPr>
        <w:t xml:space="preserve">Voir </w:t>
      </w:r>
      <w:r w:rsidRPr="007F5DC6">
        <w:rPr>
          <w:rFonts w:ascii="Arial" w:hAnsi="Arial"/>
          <w:sz w:val="24"/>
          <w:lang w:val="fr-CA"/>
        </w:rPr>
        <w:t>CCP</w:t>
      </w:r>
      <w:r>
        <w:rPr>
          <w:rFonts w:ascii="Arial" w:hAnsi="Arial"/>
          <w:sz w:val="24"/>
          <w:lang w:val="fr-CA"/>
        </w:rPr>
        <w:t>.001 - Choix des composants sanguins à transfuser et Remarque 8.5.</w:t>
      </w:r>
    </w:p>
    <w:p w:rsidR="00D8051C" w:rsidRDefault="00D8051C">
      <w:pPr>
        <w:ind w:left="72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Contrôle de la qualité - S.O.</w:t>
      </w:r>
    </w:p>
    <w:p w:rsidR="00D8051C" w:rsidRDefault="00D8051C">
      <w:pPr>
        <w:ind w:left="72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Procédure</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Vérifier les antécédents du patient et les résultats d’un dépistage d’anticorps courant. Voir PA.003 – Vérification des antécédents du patient.</w:t>
      </w:r>
    </w:p>
    <w:p w:rsidR="00D8051C" w:rsidRDefault="00D8051C">
      <w:pPr>
        <w:ind w:left="72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Ne pas effectuer d’épreuve de compatibilité informatisée si le patient a des anticorps cliniquement significatifs ou des antécédents d’anticorps cliniquement significatifs. Voir AR.011 - Épreuve de compatibilité avec antiglobuline – Solution saline, SFCI, PEG.</w:t>
      </w:r>
    </w:p>
    <w:p w:rsidR="00D8051C" w:rsidRDefault="00D8051C">
      <w:pPr>
        <w:ind w:left="1440"/>
        <w:rPr>
          <w:rFonts w:ascii="Arial" w:hAnsi="Arial"/>
          <w:sz w:val="24"/>
          <w:lang w:val="fr-CA"/>
        </w:rPr>
      </w:pPr>
    </w:p>
    <w:p w:rsidR="00D8051C" w:rsidRDefault="00EC3730">
      <w:pPr>
        <w:numPr>
          <w:ilvl w:val="2"/>
          <w:numId w:val="1"/>
        </w:numPr>
        <w:rPr>
          <w:rFonts w:ascii="Arial" w:hAnsi="Arial"/>
          <w:sz w:val="24"/>
          <w:lang w:val="fr-CA"/>
        </w:rPr>
      </w:pPr>
      <w:r>
        <w:rPr>
          <w:rFonts w:ascii="Arial" w:hAnsi="Arial"/>
          <w:sz w:val="24"/>
          <w:lang w:val="fr-CA"/>
        </w:rPr>
        <w:t>Si le patient n’a pas d’antécédents d’anticorps cliniquement significatifs, c</w:t>
      </w:r>
      <w:r w:rsidR="00D8051C">
        <w:rPr>
          <w:rFonts w:ascii="Arial" w:hAnsi="Arial"/>
          <w:sz w:val="24"/>
          <w:lang w:val="fr-CA"/>
        </w:rPr>
        <w:t xml:space="preserve">ommander la procédure de compatibilité informatisée dans le système </w:t>
      </w:r>
      <w:r w:rsidR="00514F90">
        <w:rPr>
          <w:rFonts w:ascii="Arial" w:hAnsi="Arial"/>
          <w:sz w:val="24"/>
          <w:lang w:val="fr-CA"/>
        </w:rPr>
        <w:t>informatique du laboratoire (SIL).</w:t>
      </w:r>
    </w:p>
    <w:p w:rsidR="00D8051C" w:rsidRDefault="00D8051C">
      <w:pPr>
        <w:ind w:left="144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Choisir </w:t>
      </w:r>
      <w:r w:rsidR="00EC3730">
        <w:rPr>
          <w:rFonts w:ascii="Arial" w:hAnsi="Arial"/>
          <w:sz w:val="24"/>
          <w:lang w:val="fr-CA"/>
        </w:rPr>
        <w:t>d</w:t>
      </w:r>
      <w:r>
        <w:rPr>
          <w:rFonts w:ascii="Arial" w:hAnsi="Arial"/>
          <w:sz w:val="24"/>
          <w:lang w:val="fr-CA"/>
        </w:rPr>
        <w:t>es unités d</w:t>
      </w:r>
      <w:r w:rsidR="00EC3730">
        <w:rPr>
          <w:rFonts w:ascii="Arial" w:hAnsi="Arial"/>
          <w:sz w:val="24"/>
          <w:lang w:val="fr-CA"/>
        </w:rPr>
        <w:t>e</w:t>
      </w:r>
      <w:r>
        <w:rPr>
          <w:rFonts w:ascii="Arial" w:hAnsi="Arial"/>
          <w:sz w:val="24"/>
          <w:lang w:val="fr-CA"/>
        </w:rPr>
        <w:t xml:space="preserve"> donneur </w:t>
      </w:r>
      <w:r w:rsidR="00EC3730">
        <w:rPr>
          <w:rFonts w:ascii="Arial" w:hAnsi="Arial"/>
          <w:sz w:val="24"/>
          <w:lang w:val="fr-CA"/>
        </w:rPr>
        <w:t>appropriées</w:t>
      </w:r>
      <w:r>
        <w:rPr>
          <w:rFonts w:ascii="Arial" w:hAnsi="Arial"/>
          <w:sz w:val="24"/>
          <w:lang w:val="fr-CA"/>
        </w:rPr>
        <w:t xml:space="preserve">. Voir </w:t>
      </w:r>
      <w:r>
        <w:rPr>
          <w:rFonts w:ascii="Arial" w:hAnsi="Arial" w:cs="Arial"/>
          <w:sz w:val="24"/>
          <w:lang w:val="fr-CA"/>
        </w:rPr>
        <w:t>CCP.001 - Choix des composants sanguins à transfuser.</w:t>
      </w:r>
      <w:r w:rsidR="00427DF3">
        <w:rPr>
          <w:rFonts w:ascii="Arial" w:hAnsi="Arial" w:cs="Arial"/>
          <w:sz w:val="24"/>
          <w:lang w:val="fr-CA"/>
        </w:rPr>
        <w:t xml:space="preserve"> </w:t>
      </w:r>
      <w:r w:rsidR="00427DF3">
        <w:rPr>
          <w:rFonts w:ascii="Arial" w:hAnsi="Arial"/>
          <w:sz w:val="24"/>
          <w:lang w:val="fr-CA"/>
        </w:rPr>
        <w:t>Choisir des unités qui ne seront pas périmées le jour prévu pour la chirurgie ou la transfusion.</w:t>
      </w:r>
      <w:r>
        <w:rPr>
          <w:rFonts w:ascii="Arial" w:hAnsi="Arial"/>
          <w:sz w:val="24"/>
          <w:lang w:val="fr-CA"/>
        </w:rPr>
        <w:t xml:space="preserve"> Voir Remarque 8.5.</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Sortir les unités choisies du réfrigérateur et inspecter visuellement chaque unité de donneur. Voir GI.003 - Inspection visuelle du sang, des composants sanguins et des produits de fractionnement.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Organiser les unités du donneur par ordre chronologique, la plus vieille en avant.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sidRPr="00532705">
        <w:rPr>
          <w:rFonts w:ascii="Arial" w:hAnsi="Arial"/>
          <w:sz w:val="24"/>
          <w:lang w:val="fr-CA"/>
        </w:rPr>
        <w:t>Faire une lecture des unités ABO compatible</w:t>
      </w:r>
      <w:r w:rsidR="00427DF3">
        <w:rPr>
          <w:rFonts w:ascii="Arial" w:hAnsi="Arial"/>
          <w:sz w:val="24"/>
          <w:lang w:val="fr-CA"/>
        </w:rPr>
        <w:t>s</w:t>
      </w:r>
      <w:r w:rsidRPr="00532705">
        <w:rPr>
          <w:rFonts w:ascii="Arial" w:hAnsi="Arial"/>
          <w:sz w:val="24"/>
          <w:lang w:val="fr-CA"/>
        </w:rPr>
        <w:t xml:space="preserve"> et intégrer</w:t>
      </w:r>
      <w:r>
        <w:rPr>
          <w:rFonts w:ascii="Arial" w:hAnsi="Arial"/>
          <w:sz w:val="24"/>
          <w:lang w:val="fr-CA"/>
        </w:rPr>
        <w:t xml:space="preserve"> dans la procédure de compatibilité informatisée.</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Obtenir le résultat de la procédure de compatibilité informatisée pour chaque unité de donneur. Les champs de résultats sont les suivants : ABO PRÉC, ABO COUR, DA COUR, A</w:t>
      </w:r>
      <w:r w:rsidR="00D00FEC">
        <w:rPr>
          <w:rFonts w:ascii="Arial" w:hAnsi="Arial"/>
          <w:sz w:val="24"/>
          <w:lang w:val="fr-CA"/>
        </w:rPr>
        <w:t>C</w:t>
      </w:r>
      <w:r>
        <w:rPr>
          <w:rFonts w:ascii="Arial" w:hAnsi="Arial"/>
          <w:sz w:val="24"/>
          <w:lang w:val="fr-CA"/>
        </w:rPr>
        <w:t xml:space="preserve"> CONNU et </w:t>
      </w:r>
      <w:r w:rsidR="001C171B">
        <w:rPr>
          <w:rFonts w:ascii="Arial" w:hAnsi="Arial"/>
          <w:sz w:val="24"/>
          <w:lang w:val="fr-CA"/>
        </w:rPr>
        <w:t>I</w:t>
      </w:r>
      <w:r>
        <w:rPr>
          <w:rFonts w:ascii="Arial" w:hAnsi="Arial"/>
          <w:sz w:val="24"/>
          <w:lang w:val="fr-CA"/>
        </w:rPr>
        <w:t>nterprétation de la compatibilité.</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L’ordinateur interprétera la compatibilité. La seule interprétation </w:t>
      </w:r>
      <w:r w:rsidRPr="00532705">
        <w:rPr>
          <w:rFonts w:ascii="Arial" w:hAnsi="Arial"/>
          <w:sz w:val="24"/>
          <w:lang w:val="fr-CA"/>
        </w:rPr>
        <w:t>acceptable</w:t>
      </w:r>
      <w:r>
        <w:rPr>
          <w:rFonts w:ascii="Arial" w:hAnsi="Arial"/>
          <w:sz w:val="24"/>
          <w:lang w:val="fr-CA"/>
        </w:rPr>
        <w:t xml:space="preserve"> est </w:t>
      </w:r>
      <w:r w:rsidRPr="00532705">
        <w:rPr>
          <w:rFonts w:ascii="Arial" w:hAnsi="Arial"/>
          <w:sz w:val="24"/>
          <w:lang w:val="fr-CA"/>
        </w:rPr>
        <w:t>compatible</w:t>
      </w:r>
      <w:r>
        <w:rPr>
          <w:rFonts w:ascii="Arial" w:hAnsi="Arial"/>
          <w:sz w:val="24"/>
          <w:lang w:val="fr-CA"/>
        </w:rPr>
        <w:t xml:space="preserve"> (CP).</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Effectuer et vérifier la procédure de compatibilité croisée.</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Produire pour chaque unité compatible, une étiquette où figureront au moins les données suivantes : </w:t>
      </w:r>
    </w:p>
    <w:p w:rsidR="00D8051C" w:rsidRDefault="00D8051C">
      <w:pPr>
        <w:ind w:left="72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 xml:space="preserve"> les nom de famille et prénom du patient</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le numéro d’identification du patient</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le groupe ABO et le facteur Rh du patient</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le nom du produit, p. ex. GR, déleucocytés (facultatif)</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le groupe ABO et le facteur Rh du donneur</w:t>
      </w: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le numéro de série du donneur (incluant le code de contrôle et le code de l’établissement de collecte)</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la compatibilité de l’unité</w:t>
      </w:r>
    </w:p>
    <w:p w:rsidR="00D8051C" w:rsidRDefault="00D8051C">
      <w:pPr>
        <w:ind w:left="1440"/>
        <w:rPr>
          <w:rFonts w:ascii="Arial" w:hAnsi="Arial"/>
          <w:sz w:val="24"/>
          <w:lang w:val="fr-CA"/>
        </w:rPr>
      </w:pPr>
    </w:p>
    <w:p w:rsidR="00D8051C" w:rsidRDefault="00D8051C">
      <w:pPr>
        <w:numPr>
          <w:ilvl w:val="0"/>
          <w:numId w:val="4"/>
        </w:numPr>
        <w:tabs>
          <w:tab w:val="clear" w:pos="360"/>
          <w:tab w:val="num" w:pos="1800"/>
        </w:tabs>
        <w:ind w:left="1800"/>
        <w:rPr>
          <w:rFonts w:ascii="Arial" w:hAnsi="Arial"/>
          <w:sz w:val="24"/>
          <w:lang w:val="fr-CA"/>
        </w:rPr>
      </w:pPr>
      <w:r>
        <w:rPr>
          <w:rFonts w:ascii="Arial" w:hAnsi="Arial"/>
          <w:sz w:val="24"/>
          <w:lang w:val="fr-CA"/>
        </w:rPr>
        <w:t>la date et l’heure de l’é</w:t>
      </w:r>
      <w:r w:rsidR="001C171B">
        <w:rPr>
          <w:rFonts w:ascii="Arial" w:hAnsi="Arial"/>
          <w:sz w:val="24"/>
          <w:lang w:val="fr-CA"/>
        </w:rPr>
        <w:t>mission du produit</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 xml:space="preserve">Pour chaque unité de donneur, comparer le numéro de l’unité imprimé sur le sac de sang au numéro d’unité inscrit sur l’étiquette de compatibilité. Ils doivent être </w:t>
      </w:r>
      <w:r w:rsidRPr="001C171B">
        <w:rPr>
          <w:rFonts w:ascii="Arial" w:hAnsi="Arial"/>
          <w:bCs/>
          <w:sz w:val="24"/>
          <w:lang w:val="fr-CA"/>
        </w:rPr>
        <w:t>identiques</w:t>
      </w:r>
      <w:r>
        <w:rPr>
          <w:rFonts w:ascii="Arial" w:hAnsi="Arial"/>
          <w:sz w:val="24"/>
          <w:lang w:val="fr-CA"/>
        </w:rPr>
        <w:t>.</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Attacher une étiquette de compatibilité aux unités de donneurs compatibles.</w:t>
      </w:r>
    </w:p>
    <w:p w:rsidR="00D8051C" w:rsidRDefault="00D8051C">
      <w:pPr>
        <w:ind w:left="144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 xml:space="preserve">Vérifier que chaque sac de </w:t>
      </w:r>
      <w:r w:rsidR="00F36481">
        <w:rPr>
          <w:rFonts w:ascii="Arial" w:hAnsi="Arial"/>
          <w:sz w:val="24"/>
          <w:lang w:val="fr-CA"/>
        </w:rPr>
        <w:t>donneurs</w:t>
      </w:r>
      <w:r>
        <w:rPr>
          <w:rFonts w:ascii="Arial" w:hAnsi="Arial"/>
          <w:sz w:val="24"/>
          <w:lang w:val="fr-CA"/>
        </w:rPr>
        <w:t> :</w:t>
      </w:r>
    </w:p>
    <w:p w:rsidR="00D8051C" w:rsidRDefault="00D8051C">
      <w:pPr>
        <w:ind w:left="1440"/>
        <w:rPr>
          <w:rFonts w:ascii="Arial" w:hAnsi="Arial"/>
          <w:sz w:val="24"/>
          <w:lang w:val="fr-CA"/>
        </w:rPr>
      </w:pPr>
    </w:p>
    <w:p w:rsidR="00D8051C" w:rsidRDefault="00D8051C">
      <w:pPr>
        <w:numPr>
          <w:ilvl w:val="0"/>
          <w:numId w:val="5"/>
        </w:numPr>
        <w:tabs>
          <w:tab w:val="clear" w:pos="360"/>
          <w:tab w:val="num" w:pos="2520"/>
        </w:tabs>
        <w:ind w:left="2520"/>
        <w:rPr>
          <w:rFonts w:ascii="Arial" w:hAnsi="Arial"/>
          <w:sz w:val="24"/>
          <w:lang w:val="fr-CA"/>
        </w:rPr>
      </w:pPr>
      <w:r>
        <w:rPr>
          <w:rFonts w:ascii="Arial" w:hAnsi="Arial"/>
          <w:sz w:val="24"/>
          <w:lang w:val="fr-CA"/>
        </w:rPr>
        <w:t>convient à la transfusion en effectuant une inspection visuelle. Voir GI.003 - Inspection visuelle du sang, des composants sanguins et des produits de fractionnement</w:t>
      </w:r>
    </w:p>
    <w:p w:rsidR="00D8051C" w:rsidRDefault="00D8051C">
      <w:pPr>
        <w:ind w:left="2160"/>
        <w:rPr>
          <w:rFonts w:ascii="Arial" w:hAnsi="Arial"/>
          <w:sz w:val="24"/>
          <w:lang w:val="fr-CA"/>
        </w:rPr>
      </w:pPr>
    </w:p>
    <w:p w:rsidR="00D8051C" w:rsidRDefault="00D8051C">
      <w:pPr>
        <w:numPr>
          <w:ilvl w:val="0"/>
          <w:numId w:val="5"/>
        </w:numPr>
        <w:tabs>
          <w:tab w:val="clear" w:pos="360"/>
          <w:tab w:val="num" w:pos="2520"/>
        </w:tabs>
        <w:ind w:left="2520"/>
        <w:rPr>
          <w:rFonts w:ascii="Arial" w:hAnsi="Arial"/>
          <w:sz w:val="24"/>
          <w:lang w:val="fr-CA"/>
        </w:rPr>
      </w:pPr>
      <w:r>
        <w:rPr>
          <w:rFonts w:ascii="Arial" w:hAnsi="Arial"/>
          <w:sz w:val="24"/>
          <w:lang w:val="fr-CA"/>
        </w:rPr>
        <w:t>n’a</w:t>
      </w:r>
      <w:r w:rsidR="002F0AC8">
        <w:rPr>
          <w:rFonts w:ascii="Arial" w:hAnsi="Arial"/>
          <w:sz w:val="24"/>
          <w:lang w:val="fr-CA"/>
        </w:rPr>
        <w:t>ura</w:t>
      </w:r>
      <w:r>
        <w:rPr>
          <w:rFonts w:ascii="Arial" w:hAnsi="Arial"/>
          <w:sz w:val="24"/>
          <w:lang w:val="fr-CA"/>
        </w:rPr>
        <w:t xml:space="preserve"> pas atteint sa date de péremption au moment de la transfusion</w:t>
      </w:r>
    </w:p>
    <w:p w:rsidR="00D8051C" w:rsidRDefault="00D8051C">
      <w:pPr>
        <w:rPr>
          <w:rFonts w:ascii="Arial" w:hAnsi="Arial"/>
          <w:sz w:val="24"/>
          <w:lang w:val="fr-CA"/>
        </w:rPr>
      </w:pPr>
    </w:p>
    <w:p w:rsidR="00D8051C" w:rsidRDefault="00D8051C">
      <w:pPr>
        <w:numPr>
          <w:ilvl w:val="0"/>
          <w:numId w:val="5"/>
        </w:numPr>
        <w:tabs>
          <w:tab w:val="clear" w:pos="360"/>
          <w:tab w:val="num" w:pos="2520"/>
        </w:tabs>
        <w:ind w:left="2520"/>
        <w:rPr>
          <w:rFonts w:ascii="Arial" w:hAnsi="Arial"/>
          <w:sz w:val="24"/>
          <w:lang w:val="fr-CA"/>
        </w:rPr>
      </w:pPr>
      <w:r>
        <w:rPr>
          <w:rFonts w:ascii="Arial" w:hAnsi="Arial"/>
          <w:sz w:val="24"/>
          <w:lang w:val="fr-CA"/>
        </w:rPr>
        <w:t xml:space="preserve">est de même groupe ABO et </w:t>
      </w:r>
      <w:r w:rsidR="00D00FEC">
        <w:rPr>
          <w:rFonts w:ascii="Arial" w:hAnsi="Arial"/>
          <w:sz w:val="24"/>
          <w:lang w:val="fr-CA"/>
        </w:rPr>
        <w:t xml:space="preserve">facteur </w:t>
      </w:r>
      <w:r>
        <w:rPr>
          <w:rFonts w:ascii="Arial" w:hAnsi="Arial"/>
          <w:sz w:val="24"/>
          <w:lang w:val="fr-CA"/>
        </w:rPr>
        <w:t xml:space="preserve">Rh que </w:t>
      </w:r>
      <w:r w:rsidR="00D00FEC">
        <w:rPr>
          <w:rFonts w:ascii="Arial" w:hAnsi="Arial"/>
          <w:sz w:val="24"/>
          <w:lang w:val="fr-CA"/>
        </w:rPr>
        <w:t>ceux du</w:t>
      </w:r>
      <w:r>
        <w:rPr>
          <w:rFonts w:ascii="Arial" w:hAnsi="Arial"/>
          <w:sz w:val="24"/>
          <w:lang w:val="fr-CA"/>
        </w:rPr>
        <w:t xml:space="preserve"> patient. Si une unité de donneur ayant un groupe ABO et</w:t>
      </w:r>
      <w:r w:rsidR="002D16E2">
        <w:rPr>
          <w:rFonts w:ascii="Arial" w:hAnsi="Arial"/>
          <w:sz w:val="24"/>
          <w:lang w:val="fr-CA"/>
        </w:rPr>
        <w:t>/</w:t>
      </w:r>
      <w:r>
        <w:rPr>
          <w:rFonts w:ascii="Arial" w:hAnsi="Arial"/>
          <w:sz w:val="24"/>
          <w:lang w:val="fr-CA"/>
        </w:rPr>
        <w:t>ou Rh différent a été choisi, inscrire une note explicative au bas du formulaire de demande ou de l’étiquette de compatibilité, p. ex. « Cette unité est acceptable pour la transfusion ».</w:t>
      </w:r>
    </w:p>
    <w:p w:rsidR="00D8051C" w:rsidRDefault="00D8051C">
      <w:pPr>
        <w:ind w:left="2160"/>
        <w:rPr>
          <w:rFonts w:ascii="Arial" w:hAnsi="Arial"/>
          <w:sz w:val="24"/>
          <w:lang w:val="fr-CA"/>
        </w:rPr>
      </w:pPr>
    </w:p>
    <w:p w:rsidR="00D8051C" w:rsidRDefault="00D8051C">
      <w:pPr>
        <w:numPr>
          <w:ilvl w:val="2"/>
          <w:numId w:val="1"/>
        </w:numPr>
        <w:rPr>
          <w:rFonts w:ascii="Arial" w:hAnsi="Arial"/>
          <w:sz w:val="24"/>
          <w:lang w:val="fr-CA"/>
        </w:rPr>
      </w:pPr>
      <w:r>
        <w:rPr>
          <w:rFonts w:ascii="Arial" w:hAnsi="Arial"/>
          <w:sz w:val="24"/>
          <w:lang w:val="fr-CA"/>
        </w:rPr>
        <w:t xml:space="preserve">Comparer les noms et le(s) numéro(s) d’identification sur l’étiquette de compatibilité et sur le formulaire de demande (ou à l’écran) pour s’assurer qu’ils sont </w:t>
      </w:r>
      <w:r w:rsidRPr="002F0AC8">
        <w:rPr>
          <w:rFonts w:ascii="Arial" w:hAnsi="Arial"/>
          <w:bCs/>
          <w:sz w:val="24"/>
          <w:lang w:val="fr-CA"/>
        </w:rPr>
        <w:t>identiques</w:t>
      </w:r>
      <w:r>
        <w:rPr>
          <w:rFonts w:ascii="Arial" w:hAnsi="Arial"/>
          <w:sz w:val="24"/>
          <w:lang w:val="fr-CA"/>
        </w:rPr>
        <w:t>.</w:t>
      </w:r>
    </w:p>
    <w:p w:rsidR="00D8051C" w:rsidRDefault="00D8051C">
      <w:pPr>
        <w:ind w:left="144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Placer les unités de donneurs dans le réfrigérateur à l’endroit où l’on place le sang ayant subi une épreuve de compatibilité. Placer les unités en ordre chronologique, l</w:t>
      </w:r>
      <w:r w:rsidR="00D00FEC">
        <w:rPr>
          <w:rFonts w:ascii="Arial" w:hAnsi="Arial"/>
          <w:sz w:val="24"/>
          <w:lang w:val="fr-CA"/>
        </w:rPr>
        <w:t>a</w:t>
      </w:r>
      <w:r>
        <w:rPr>
          <w:rFonts w:ascii="Arial" w:hAnsi="Arial"/>
          <w:sz w:val="24"/>
          <w:lang w:val="fr-CA"/>
        </w:rPr>
        <w:t xml:space="preserve"> plus vieille en avant.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Procéder à une vérification. Il faut s'assurer pour chaque patient des éléments suivants :</w:t>
      </w:r>
    </w:p>
    <w:p w:rsidR="00D8051C" w:rsidRDefault="00D8051C">
      <w:pPr>
        <w:ind w:left="720"/>
        <w:rPr>
          <w:rFonts w:ascii="Arial" w:hAnsi="Arial"/>
          <w:sz w:val="24"/>
          <w:lang w:val="fr-CA"/>
        </w:rPr>
      </w:pPr>
    </w:p>
    <w:p w:rsidR="00D8051C" w:rsidRDefault="00D8051C">
      <w:pPr>
        <w:numPr>
          <w:ilvl w:val="0"/>
          <w:numId w:val="7"/>
        </w:numPr>
        <w:tabs>
          <w:tab w:val="clear" w:pos="360"/>
          <w:tab w:val="num" w:pos="1800"/>
        </w:tabs>
        <w:ind w:left="1800"/>
        <w:rPr>
          <w:rFonts w:ascii="Arial" w:hAnsi="Arial"/>
          <w:sz w:val="24"/>
          <w:lang w:val="fr-CA"/>
        </w:rPr>
      </w:pPr>
      <w:r>
        <w:rPr>
          <w:rFonts w:ascii="Arial" w:hAnsi="Arial"/>
          <w:sz w:val="24"/>
          <w:lang w:val="fr-CA"/>
        </w:rPr>
        <w:t>le nom du patient et le(s) numéro(s) d'identification sont identiques sur tous les échantillons et sur le formulaire de demande</w:t>
      </w:r>
    </w:p>
    <w:p w:rsidR="00D8051C" w:rsidRDefault="00D8051C">
      <w:pPr>
        <w:ind w:left="1440"/>
        <w:rPr>
          <w:rFonts w:ascii="Arial" w:hAnsi="Arial"/>
          <w:sz w:val="24"/>
          <w:lang w:val="fr-CA"/>
        </w:rPr>
      </w:pPr>
    </w:p>
    <w:p w:rsidR="00D8051C" w:rsidRDefault="00D8051C">
      <w:pPr>
        <w:numPr>
          <w:ilvl w:val="0"/>
          <w:numId w:val="7"/>
        </w:numPr>
        <w:tabs>
          <w:tab w:val="clear" w:pos="360"/>
          <w:tab w:val="num" w:pos="1800"/>
        </w:tabs>
        <w:ind w:left="1800"/>
        <w:rPr>
          <w:rFonts w:ascii="Arial" w:hAnsi="Arial"/>
          <w:sz w:val="24"/>
          <w:lang w:val="fr-CA"/>
        </w:rPr>
      </w:pPr>
      <w:r>
        <w:rPr>
          <w:rFonts w:ascii="Arial" w:hAnsi="Arial"/>
          <w:sz w:val="24"/>
          <w:lang w:val="fr-CA"/>
        </w:rPr>
        <w:t>tous les résultats ont été inscrits</w:t>
      </w:r>
      <w:r>
        <w:rPr>
          <w:rFonts w:ascii="Arial" w:hAnsi="Arial"/>
          <w:sz w:val="24"/>
          <w:lang w:val="fr-CA"/>
        </w:rPr>
        <w:br/>
      </w:r>
    </w:p>
    <w:p w:rsidR="00D8051C" w:rsidRDefault="00D8051C">
      <w:pPr>
        <w:numPr>
          <w:ilvl w:val="0"/>
          <w:numId w:val="7"/>
        </w:numPr>
        <w:tabs>
          <w:tab w:val="clear" w:pos="360"/>
          <w:tab w:val="num" w:pos="1800"/>
        </w:tabs>
        <w:ind w:left="1800"/>
        <w:rPr>
          <w:rFonts w:ascii="Arial" w:hAnsi="Arial"/>
          <w:sz w:val="24"/>
          <w:lang w:val="fr-CA"/>
        </w:rPr>
      </w:pPr>
      <w:r>
        <w:rPr>
          <w:rFonts w:ascii="Arial" w:hAnsi="Arial"/>
          <w:sz w:val="24"/>
          <w:lang w:val="fr-CA"/>
        </w:rPr>
        <w:t>les résultats ont été interprétés et inscrits correctement</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Mettre ses initiales ou signer et inscrire l'heure et la date de la conclusion de l'épreuve sur le formulaire de demande ou à l'ordinateur.</w:t>
      </w:r>
    </w:p>
    <w:p w:rsidR="00D8051C" w:rsidRDefault="00D8051C">
      <w:pPr>
        <w:ind w:left="72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Documentation</w:t>
      </w:r>
    </w:p>
    <w:p w:rsidR="00D8051C" w:rsidRDefault="00D8051C">
      <w:pPr>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Une épreuve de compatibilité informatisée est interprétée comme étant compatible quand tous les critères </w:t>
      </w:r>
      <w:r w:rsidR="002F0AC8">
        <w:rPr>
          <w:rFonts w:ascii="Arial" w:hAnsi="Arial"/>
          <w:sz w:val="24"/>
          <w:lang w:val="fr-CA"/>
        </w:rPr>
        <w:t>s</w:t>
      </w:r>
      <w:r>
        <w:rPr>
          <w:rFonts w:ascii="Arial" w:hAnsi="Arial"/>
          <w:sz w:val="24"/>
          <w:lang w:val="fr-CA"/>
        </w:rPr>
        <w:t xml:space="preserve">ont </w:t>
      </w:r>
      <w:r w:rsidR="002F0AC8">
        <w:rPr>
          <w:rFonts w:ascii="Arial" w:hAnsi="Arial"/>
          <w:sz w:val="24"/>
          <w:lang w:val="fr-CA"/>
        </w:rPr>
        <w:t>respectés</w:t>
      </w:r>
      <w:r>
        <w:rPr>
          <w:rFonts w:ascii="Arial" w:hAnsi="Arial"/>
          <w:sz w:val="24"/>
          <w:lang w:val="fr-CA"/>
        </w:rPr>
        <w:t xml:space="preserve"> dans les champs de résultats.</w:t>
      </w:r>
    </w:p>
    <w:p w:rsidR="00D8051C" w:rsidRDefault="00D8051C">
      <w:pPr>
        <w:ind w:left="72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Remarques</w:t>
      </w:r>
    </w:p>
    <w:p w:rsidR="00D8051C" w:rsidRDefault="00D8051C">
      <w:pPr>
        <w:rPr>
          <w:rFonts w:ascii="Arial" w:hAnsi="Arial"/>
          <w:sz w:val="24"/>
          <w:lang w:val="fr-CA"/>
        </w:rPr>
      </w:pPr>
    </w:p>
    <w:p w:rsidR="00D8051C" w:rsidRDefault="00D8051C">
      <w:pPr>
        <w:numPr>
          <w:ilvl w:val="1"/>
          <w:numId w:val="1"/>
        </w:numPr>
        <w:rPr>
          <w:rFonts w:ascii="Arial" w:hAnsi="Arial" w:cs="Arial"/>
          <w:sz w:val="24"/>
          <w:lang w:val="fr-CA"/>
        </w:rPr>
      </w:pPr>
      <w:r>
        <w:rPr>
          <w:rFonts w:ascii="Arial" w:hAnsi="Arial"/>
          <w:sz w:val="24"/>
          <w:lang w:val="fr-CA"/>
        </w:rPr>
        <w:t>Utiliser l’épreuve de compatibilité informatisée pour tous les patients ayant des résultats négatifs au dépistage d’anticorps et aucun an</w:t>
      </w:r>
      <w:r>
        <w:rPr>
          <w:rFonts w:ascii="Arial" w:hAnsi="Arial" w:cs="Arial"/>
          <w:sz w:val="24"/>
          <w:lang w:val="fr-CA"/>
        </w:rPr>
        <w:t>técédent connu d’anticorps érythrocytaires cliniquement significatifs</w:t>
      </w:r>
      <w:r>
        <w:rPr>
          <w:rFonts w:ascii="Arial" w:hAnsi="Arial" w:cs="Arial"/>
          <w:sz w:val="24"/>
          <w:vertAlign w:val="superscript"/>
          <w:lang w:val="fr-CA"/>
        </w:rPr>
        <w:t>9.1</w:t>
      </w:r>
      <w:r>
        <w:rPr>
          <w:rFonts w:ascii="Arial" w:hAnsi="Arial" w:cs="Arial"/>
          <w:sz w:val="24"/>
          <w:lang w:val="fr-CA"/>
        </w:rPr>
        <w:t>.</w:t>
      </w:r>
    </w:p>
    <w:p w:rsidR="00D8051C" w:rsidRDefault="00D8051C">
      <w:pPr>
        <w:ind w:left="1440"/>
        <w:rPr>
          <w:rFonts w:ascii="Arial" w:hAnsi="Arial" w:cs="Arial"/>
          <w:sz w:val="24"/>
          <w:lang w:val="fr-CA"/>
        </w:rPr>
      </w:pPr>
    </w:p>
    <w:p w:rsidR="00D8051C" w:rsidRDefault="002D16E2">
      <w:pPr>
        <w:numPr>
          <w:ilvl w:val="1"/>
          <w:numId w:val="1"/>
        </w:numPr>
        <w:rPr>
          <w:rFonts w:ascii="Arial" w:hAnsi="Arial" w:cs="Arial"/>
          <w:sz w:val="24"/>
          <w:lang w:val="fr-CA"/>
        </w:rPr>
      </w:pPr>
      <w:r>
        <w:rPr>
          <w:rFonts w:ascii="Arial" w:hAnsi="Arial" w:cs="Arial"/>
          <w:sz w:val="24"/>
          <w:lang w:val="fr-CA"/>
        </w:rPr>
        <w:t>Le groupe ABO du patient doit être déterminé à deux reprises</w:t>
      </w:r>
      <w:r w:rsidR="00D8051C">
        <w:rPr>
          <w:rFonts w:ascii="Arial" w:hAnsi="Arial" w:cs="Arial"/>
          <w:sz w:val="24"/>
          <w:lang w:val="fr-CA"/>
        </w:rPr>
        <w:t xml:space="preserve">. </w:t>
      </w:r>
      <w:r w:rsidR="00D8051C">
        <w:rPr>
          <w:rFonts w:ascii="Arial" w:hAnsi="Arial" w:cs="Arial"/>
          <w:sz w:val="24"/>
          <w:szCs w:val="24"/>
          <w:lang w:val="fr-FR" w:eastAsia="fr-FR"/>
        </w:rPr>
        <w:t>Ceci doit inclure une</w:t>
      </w:r>
      <w:r w:rsidR="00D8051C">
        <w:rPr>
          <w:rFonts w:ascii="Arial" w:hAnsi="Arial" w:cs="Arial"/>
          <w:sz w:val="24"/>
          <w:lang w:val="fr-CA"/>
        </w:rPr>
        <w:t xml:space="preserve"> </w:t>
      </w:r>
      <w:r w:rsidR="00D8051C">
        <w:rPr>
          <w:rFonts w:ascii="Arial" w:hAnsi="Arial" w:cs="Arial"/>
          <w:sz w:val="24"/>
          <w:szCs w:val="24"/>
          <w:lang w:val="fr-FR" w:eastAsia="fr-FR"/>
        </w:rPr>
        <w:t>détermination du groupe ABO sur l'échantillon courant plus l'un</w:t>
      </w:r>
      <w:r>
        <w:rPr>
          <w:rFonts w:ascii="Arial" w:hAnsi="Arial" w:cs="Arial"/>
          <w:sz w:val="24"/>
          <w:szCs w:val="24"/>
          <w:lang w:val="fr-FR" w:eastAsia="fr-FR"/>
        </w:rPr>
        <w:t>e</w:t>
      </w:r>
      <w:r w:rsidR="00D8051C">
        <w:rPr>
          <w:rFonts w:ascii="Arial" w:hAnsi="Arial" w:cs="Arial"/>
          <w:sz w:val="24"/>
          <w:szCs w:val="24"/>
          <w:lang w:val="fr-FR" w:eastAsia="fr-FR"/>
        </w:rPr>
        <w:t xml:space="preserve"> des</w:t>
      </w:r>
      <w:r w:rsidR="00D8051C">
        <w:rPr>
          <w:rFonts w:ascii="Arial" w:hAnsi="Arial" w:cs="Arial"/>
          <w:sz w:val="24"/>
          <w:lang w:val="fr-CA"/>
        </w:rPr>
        <w:t xml:space="preserve"> </w:t>
      </w:r>
      <w:r>
        <w:rPr>
          <w:rFonts w:ascii="Arial" w:hAnsi="Arial" w:cs="Arial"/>
          <w:sz w:val="24"/>
          <w:szCs w:val="24"/>
          <w:lang w:val="fr-FR" w:eastAsia="fr-FR"/>
        </w:rPr>
        <w:t xml:space="preserve">étapes </w:t>
      </w:r>
      <w:r w:rsidR="00D8051C">
        <w:rPr>
          <w:rFonts w:ascii="Arial" w:hAnsi="Arial" w:cs="Arial"/>
          <w:sz w:val="24"/>
          <w:szCs w:val="24"/>
          <w:lang w:val="fr-FR" w:eastAsia="fr-FR"/>
        </w:rPr>
        <w:t>suivant</w:t>
      </w:r>
      <w:r>
        <w:rPr>
          <w:rFonts w:ascii="Arial" w:hAnsi="Arial" w:cs="Arial"/>
          <w:sz w:val="24"/>
          <w:szCs w:val="24"/>
          <w:lang w:val="fr-FR" w:eastAsia="fr-FR"/>
        </w:rPr>
        <w:t>e</w:t>
      </w:r>
      <w:r w:rsidR="00D8051C">
        <w:rPr>
          <w:rFonts w:ascii="Arial" w:hAnsi="Arial" w:cs="Arial"/>
          <w:sz w:val="24"/>
          <w:szCs w:val="24"/>
          <w:lang w:val="fr-FR" w:eastAsia="fr-FR"/>
        </w:rPr>
        <w:t>s</w:t>
      </w:r>
      <w:r w:rsidR="00D8051C">
        <w:rPr>
          <w:rFonts w:ascii="Arial" w:hAnsi="Arial" w:cs="Arial"/>
          <w:sz w:val="24"/>
          <w:vertAlign w:val="superscript"/>
          <w:lang w:val="fr-CA"/>
        </w:rPr>
        <w:t>9.1</w:t>
      </w:r>
      <w:r w:rsidR="00D8051C">
        <w:rPr>
          <w:rFonts w:ascii="Arial" w:hAnsi="Arial" w:cs="Arial"/>
          <w:sz w:val="24"/>
          <w:szCs w:val="24"/>
          <w:lang w:val="fr-FR" w:eastAsia="fr-FR"/>
        </w:rPr>
        <w:t> </w:t>
      </w:r>
      <w:r w:rsidR="00D8051C">
        <w:rPr>
          <w:rFonts w:ascii="Arial" w:hAnsi="Arial" w:cs="Arial"/>
          <w:sz w:val="24"/>
          <w:lang w:val="fr-CA"/>
        </w:rPr>
        <w:t>:</w:t>
      </w:r>
    </w:p>
    <w:p w:rsidR="00D8051C" w:rsidRDefault="00D8051C">
      <w:pPr>
        <w:ind w:left="720"/>
        <w:rPr>
          <w:rFonts w:ascii="Arial" w:hAnsi="Arial" w:cs="Arial"/>
          <w:sz w:val="24"/>
          <w:lang w:val="fr-CA"/>
        </w:rPr>
      </w:pPr>
    </w:p>
    <w:p w:rsidR="00D8051C" w:rsidRDefault="00EC3730">
      <w:pPr>
        <w:numPr>
          <w:ilvl w:val="0"/>
          <w:numId w:val="9"/>
        </w:numPr>
        <w:tabs>
          <w:tab w:val="clear" w:pos="360"/>
          <w:tab w:val="num" w:pos="1800"/>
        </w:tabs>
        <w:ind w:left="1800"/>
        <w:rPr>
          <w:rFonts w:ascii="Arial" w:hAnsi="Arial" w:cs="Arial"/>
          <w:sz w:val="24"/>
          <w:lang w:val="fr-CA"/>
        </w:rPr>
      </w:pPr>
      <w:r>
        <w:rPr>
          <w:rFonts w:ascii="Arial" w:hAnsi="Arial" w:cs="Arial"/>
          <w:sz w:val="24"/>
          <w:lang w:val="fr-CA"/>
        </w:rPr>
        <w:t>une deuxième épreuve indépendante f</w:t>
      </w:r>
      <w:r w:rsidR="00D8051C">
        <w:rPr>
          <w:rFonts w:ascii="Arial" w:hAnsi="Arial" w:cs="Arial"/>
          <w:sz w:val="24"/>
          <w:szCs w:val="24"/>
          <w:lang w:val="fr-FR" w:eastAsia="fr-FR"/>
        </w:rPr>
        <w:t>ait</w:t>
      </w:r>
      <w:r>
        <w:rPr>
          <w:rFonts w:ascii="Arial" w:hAnsi="Arial" w:cs="Arial"/>
          <w:sz w:val="24"/>
          <w:szCs w:val="24"/>
          <w:lang w:val="fr-FR" w:eastAsia="fr-FR"/>
        </w:rPr>
        <w:t>e</w:t>
      </w:r>
      <w:r w:rsidR="00D8051C">
        <w:rPr>
          <w:rFonts w:ascii="Arial" w:hAnsi="Arial" w:cs="Arial"/>
          <w:sz w:val="24"/>
          <w:szCs w:val="24"/>
          <w:lang w:val="fr-FR" w:eastAsia="fr-FR"/>
        </w:rPr>
        <w:t xml:space="preserve"> sur l'échantillon courant</w:t>
      </w:r>
    </w:p>
    <w:p w:rsidR="00D8051C" w:rsidRDefault="00D8051C">
      <w:pPr>
        <w:ind w:left="1440"/>
        <w:rPr>
          <w:rFonts w:ascii="Arial" w:hAnsi="Arial" w:cs="Arial"/>
          <w:sz w:val="24"/>
          <w:lang w:val="fr-CA"/>
        </w:rPr>
      </w:pPr>
    </w:p>
    <w:p w:rsidR="00D8051C" w:rsidRPr="00EC3730" w:rsidRDefault="00D8051C">
      <w:pPr>
        <w:numPr>
          <w:ilvl w:val="0"/>
          <w:numId w:val="9"/>
        </w:numPr>
        <w:tabs>
          <w:tab w:val="clear" w:pos="360"/>
          <w:tab w:val="num" w:pos="1800"/>
        </w:tabs>
        <w:ind w:left="1800"/>
        <w:rPr>
          <w:rFonts w:ascii="Arial" w:hAnsi="Arial" w:cs="Arial"/>
          <w:sz w:val="24"/>
          <w:lang w:val="fr-CA"/>
        </w:rPr>
      </w:pPr>
      <w:r>
        <w:rPr>
          <w:rFonts w:ascii="Arial" w:hAnsi="Arial" w:cs="Arial"/>
          <w:sz w:val="24"/>
          <w:lang w:val="fr-CA"/>
        </w:rPr>
        <w:t xml:space="preserve">la comparaison </w:t>
      </w:r>
      <w:r>
        <w:rPr>
          <w:rFonts w:ascii="Arial" w:hAnsi="Arial" w:cs="Arial"/>
          <w:sz w:val="24"/>
          <w:szCs w:val="24"/>
          <w:lang w:val="fr-FR" w:eastAsia="fr-FR"/>
        </w:rPr>
        <w:t>des résultats courants avec ceux du groupement ABO</w:t>
      </w:r>
      <w:r>
        <w:rPr>
          <w:rFonts w:ascii="Arial" w:hAnsi="Arial" w:cs="Arial"/>
          <w:sz w:val="24"/>
          <w:lang w:val="fr-CA"/>
        </w:rPr>
        <w:t xml:space="preserve"> </w:t>
      </w:r>
      <w:r>
        <w:rPr>
          <w:rFonts w:ascii="Arial" w:hAnsi="Arial" w:cs="Arial"/>
          <w:sz w:val="24"/>
          <w:szCs w:val="24"/>
          <w:lang w:val="fr-FR" w:eastAsia="fr-FR"/>
        </w:rPr>
        <w:t>déjà effectué et inscrit au dossier</w:t>
      </w:r>
      <w:r w:rsidR="00EC3730">
        <w:rPr>
          <w:rFonts w:ascii="Arial" w:hAnsi="Arial" w:cs="Arial"/>
          <w:sz w:val="24"/>
          <w:szCs w:val="24"/>
          <w:lang w:val="fr-FR" w:eastAsia="fr-FR"/>
        </w:rPr>
        <w:br/>
      </w:r>
    </w:p>
    <w:p w:rsidR="00EC3730" w:rsidRDefault="00EC3730">
      <w:pPr>
        <w:numPr>
          <w:ilvl w:val="0"/>
          <w:numId w:val="9"/>
        </w:numPr>
        <w:tabs>
          <w:tab w:val="clear" w:pos="360"/>
          <w:tab w:val="num" w:pos="1800"/>
        </w:tabs>
        <w:ind w:left="1800"/>
        <w:rPr>
          <w:rFonts w:ascii="Arial" w:hAnsi="Arial" w:cs="Arial"/>
          <w:sz w:val="24"/>
          <w:lang w:val="fr-CA"/>
        </w:rPr>
      </w:pPr>
      <w:r>
        <w:rPr>
          <w:rFonts w:ascii="Arial" w:hAnsi="Arial" w:cs="Arial"/>
          <w:sz w:val="24"/>
          <w:lang w:val="fr-CA"/>
        </w:rPr>
        <w:t>une épreuve de groupement faite sur un deuxième échantillon bien étiqueté</w:t>
      </w:r>
    </w:p>
    <w:p w:rsidR="00D8051C" w:rsidRDefault="00D8051C">
      <w:pPr>
        <w:ind w:left="1440"/>
        <w:rPr>
          <w:rFonts w:ascii="Arial" w:hAnsi="Arial" w:cs="Arial"/>
          <w:sz w:val="24"/>
          <w:lang w:val="fr-CA"/>
        </w:rPr>
      </w:pPr>
    </w:p>
    <w:p w:rsidR="00D8051C" w:rsidRDefault="00D8051C">
      <w:pPr>
        <w:numPr>
          <w:ilvl w:val="1"/>
          <w:numId w:val="1"/>
        </w:numPr>
        <w:rPr>
          <w:rFonts w:ascii="Arial" w:hAnsi="Arial"/>
          <w:sz w:val="24"/>
          <w:lang w:val="fr-CA"/>
        </w:rPr>
      </w:pPr>
      <w:r>
        <w:rPr>
          <w:rFonts w:ascii="Arial" w:hAnsi="Arial"/>
          <w:sz w:val="24"/>
          <w:lang w:val="fr-CA"/>
        </w:rPr>
        <w:t xml:space="preserve">Le système informatique </w:t>
      </w:r>
      <w:r w:rsidR="0072084C">
        <w:rPr>
          <w:rFonts w:ascii="Arial" w:hAnsi="Arial"/>
          <w:sz w:val="24"/>
          <w:lang w:val="fr-CA"/>
        </w:rPr>
        <w:t xml:space="preserve">utilisé pour l’épreuve de compatibilité informatisée </w:t>
      </w:r>
      <w:r>
        <w:rPr>
          <w:rFonts w:ascii="Arial" w:hAnsi="Arial"/>
          <w:sz w:val="24"/>
          <w:lang w:val="fr-CA"/>
        </w:rPr>
        <w:t xml:space="preserve">doit avertir l'utilisateur lors de divergences entre les résultats courants </w:t>
      </w:r>
      <w:r w:rsidR="0072084C">
        <w:rPr>
          <w:rFonts w:ascii="Arial" w:hAnsi="Arial"/>
          <w:sz w:val="24"/>
          <w:lang w:val="fr-CA"/>
        </w:rPr>
        <w:t>du</w:t>
      </w:r>
      <w:r>
        <w:rPr>
          <w:rFonts w:ascii="Arial" w:hAnsi="Arial"/>
          <w:sz w:val="24"/>
          <w:lang w:val="fr-CA"/>
        </w:rPr>
        <w:t xml:space="preserve"> groupe sanguin </w:t>
      </w:r>
      <w:r w:rsidR="0072084C">
        <w:rPr>
          <w:rFonts w:ascii="Arial" w:hAnsi="Arial"/>
          <w:sz w:val="24"/>
          <w:lang w:val="fr-CA"/>
        </w:rPr>
        <w:t>et/ou</w:t>
      </w:r>
      <w:r>
        <w:rPr>
          <w:rFonts w:ascii="Arial" w:hAnsi="Arial"/>
          <w:sz w:val="24"/>
          <w:lang w:val="fr-CA"/>
        </w:rPr>
        <w:t xml:space="preserve"> les résultats de groupe sanguin antérieurs au dossier</w:t>
      </w:r>
      <w:r>
        <w:rPr>
          <w:rFonts w:ascii="Arial" w:hAnsi="Arial"/>
          <w:sz w:val="24"/>
          <w:vertAlign w:val="superscript"/>
          <w:lang w:val="fr-CA"/>
        </w:rPr>
        <w:t>9.1</w:t>
      </w:r>
      <w:r>
        <w:rPr>
          <w:rFonts w:ascii="Arial" w:hAnsi="Arial"/>
          <w:sz w:val="24"/>
          <w:lang w:val="fr-CA"/>
        </w:rPr>
        <w:t>.</w:t>
      </w:r>
    </w:p>
    <w:p w:rsidR="00D8051C" w:rsidRDefault="00D8051C">
      <w:pPr>
        <w:ind w:left="720"/>
        <w:rPr>
          <w:rFonts w:ascii="Arial" w:hAnsi="Arial"/>
          <w:sz w:val="24"/>
          <w:lang w:val="fr-CA"/>
        </w:rPr>
      </w:pPr>
    </w:p>
    <w:p w:rsidR="00D8051C" w:rsidRDefault="00D8051C">
      <w:pPr>
        <w:numPr>
          <w:ilvl w:val="1"/>
          <w:numId w:val="1"/>
        </w:numPr>
        <w:rPr>
          <w:rFonts w:ascii="Arial" w:hAnsi="Arial"/>
          <w:sz w:val="24"/>
          <w:lang w:val="fr-CA"/>
        </w:rPr>
      </w:pPr>
      <w:r>
        <w:rPr>
          <w:rFonts w:ascii="Arial" w:hAnsi="Arial"/>
          <w:sz w:val="24"/>
          <w:lang w:val="fr-CA"/>
        </w:rPr>
        <w:t>S</w:t>
      </w:r>
      <w:r w:rsidR="00EC3730">
        <w:rPr>
          <w:rFonts w:ascii="Arial" w:hAnsi="Arial"/>
          <w:sz w:val="24"/>
          <w:lang w:val="fr-CA"/>
        </w:rPr>
        <w:t>i</w:t>
      </w:r>
      <w:r>
        <w:rPr>
          <w:rFonts w:ascii="Arial" w:hAnsi="Arial"/>
          <w:sz w:val="24"/>
          <w:lang w:val="fr-CA"/>
        </w:rPr>
        <w:t xml:space="preserve"> l’on se sert d’une épreuve de compatibilité informatisée, le groupe ABO des </w:t>
      </w:r>
      <w:r w:rsidR="00EC3730">
        <w:rPr>
          <w:rFonts w:ascii="Arial" w:hAnsi="Arial"/>
          <w:sz w:val="24"/>
          <w:lang w:val="fr-CA"/>
        </w:rPr>
        <w:t>globules rouges</w:t>
      </w:r>
      <w:r>
        <w:rPr>
          <w:rFonts w:ascii="Arial" w:hAnsi="Arial"/>
          <w:sz w:val="24"/>
          <w:lang w:val="fr-CA"/>
        </w:rPr>
        <w:t xml:space="preserve"> de donneurs doit être confirmé par des épreuves sérologiques dès leur réception par le </w:t>
      </w:r>
      <w:r w:rsidR="00EC3730">
        <w:rPr>
          <w:rFonts w:ascii="Arial" w:hAnsi="Arial"/>
          <w:sz w:val="24"/>
          <w:lang w:val="fr-CA"/>
        </w:rPr>
        <w:t>LMT</w:t>
      </w:r>
      <w:r>
        <w:rPr>
          <w:rFonts w:ascii="Arial" w:hAnsi="Arial"/>
          <w:sz w:val="24"/>
          <w:lang w:val="fr-CA"/>
        </w:rPr>
        <w:t>. Les résultats ABO doivent concorder avec ceux de l'étiquette d</w:t>
      </w:r>
      <w:r w:rsidR="00EC3730">
        <w:rPr>
          <w:rFonts w:ascii="Arial" w:hAnsi="Arial"/>
          <w:sz w:val="24"/>
          <w:lang w:val="fr-CA"/>
        </w:rPr>
        <w:t>e l’unité, e</w:t>
      </w:r>
      <w:r>
        <w:rPr>
          <w:rFonts w:ascii="Arial" w:hAnsi="Arial"/>
          <w:sz w:val="24"/>
          <w:lang w:val="fr-CA"/>
        </w:rPr>
        <w:t>t toute divergence doit faire l'objet d'une enquête, être élucidée et documentée</w:t>
      </w:r>
      <w:r>
        <w:rPr>
          <w:rFonts w:ascii="Arial" w:hAnsi="Arial"/>
          <w:sz w:val="24"/>
          <w:vertAlign w:val="superscript"/>
          <w:lang w:val="fr-CA"/>
        </w:rPr>
        <w:t>9.1</w:t>
      </w:r>
      <w:r>
        <w:rPr>
          <w:rFonts w:ascii="Arial" w:hAnsi="Arial"/>
          <w:sz w:val="24"/>
          <w:lang w:val="fr-CA"/>
        </w:rPr>
        <w:t>.</w:t>
      </w:r>
      <w:r w:rsidR="002F0AC8">
        <w:rPr>
          <w:rFonts w:ascii="Arial" w:hAnsi="Arial"/>
          <w:sz w:val="24"/>
          <w:lang w:val="fr-CA"/>
        </w:rPr>
        <w:t xml:space="preserve"> Toute divergence déterminée doit être signalée au fournisseur de sang.</w:t>
      </w:r>
    </w:p>
    <w:p w:rsidR="00D8051C" w:rsidRDefault="00D8051C">
      <w:pPr>
        <w:ind w:left="720"/>
        <w:rPr>
          <w:rFonts w:ascii="Arial" w:hAnsi="Arial"/>
          <w:sz w:val="24"/>
          <w:lang w:val="fr-CA"/>
        </w:rPr>
      </w:pPr>
    </w:p>
    <w:p w:rsidR="00D00FEC" w:rsidRDefault="00D8051C">
      <w:pPr>
        <w:numPr>
          <w:ilvl w:val="1"/>
          <w:numId w:val="1"/>
        </w:numPr>
        <w:rPr>
          <w:rFonts w:ascii="Arial" w:hAnsi="Arial"/>
          <w:sz w:val="24"/>
          <w:lang w:val="fr-CA"/>
        </w:rPr>
      </w:pPr>
      <w:r>
        <w:rPr>
          <w:rFonts w:ascii="Arial" w:hAnsi="Arial"/>
          <w:sz w:val="24"/>
          <w:lang w:val="fr-CA"/>
        </w:rPr>
        <w:t>Il y aura dans le système de compatibilité informatisée une base de données regroupant le numéro de l’unité de sang du donneur, le type de produit, sa date de péremption, son groupe ABO et son facteur Rh</w:t>
      </w:r>
      <w:r w:rsidR="0078318A">
        <w:rPr>
          <w:rFonts w:ascii="Arial" w:hAnsi="Arial"/>
          <w:sz w:val="24"/>
          <w:lang w:val="fr-CA"/>
        </w:rPr>
        <w:t xml:space="preserve"> (incluant l’interprétation de l’épreuve de confirmation de l’ABO). Les renseignements doivent être vérifiés avant la mise en circulation du produit sanguin </w:t>
      </w:r>
      <w:r>
        <w:rPr>
          <w:rFonts w:ascii="Arial" w:hAnsi="Arial"/>
          <w:sz w:val="24"/>
          <w:vertAlign w:val="superscript"/>
          <w:lang w:val="fr-CA"/>
        </w:rPr>
        <w:t>9.1</w:t>
      </w:r>
      <w:r>
        <w:rPr>
          <w:rFonts w:ascii="Arial" w:hAnsi="Arial"/>
          <w:sz w:val="24"/>
          <w:lang w:val="fr-CA"/>
        </w:rPr>
        <w:t>.</w:t>
      </w:r>
    </w:p>
    <w:p w:rsidR="00D8051C" w:rsidRDefault="00D8051C" w:rsidP="002F0AC8">
      <w:pPr>
        <w:ind w:left="1440"/>
        <w:rPr>
          <w:rFonts w:ascii="Arial" w:hAnsi="Arial"/>
          <w:sz w:val="24"/>
          <w:lang w:val="fr-CA"/>
        </w:rPr>
      </w:pPr>
    </w:p>
    <w:p w:rsidR="00D8051C" w:rsidRDefault="00D8051C">
      <w:pPr>
        <w:numPr>
          <w:ilvl w:val="0"/>
          <w:numId w:val="1"/>
        </w:numPr>
        <w:rPr>
          <w:rFonts w:ascii="Arial" w:hAnsi="Arial"/>
          <w:b/>
          <w:sz w:val="28"/>
          <w:lang w:val="fr-CA"/>
        </w:rPr>
      </w:pPr>
      <w:r>
        <w:rPr>
          <w:rFonts w:ascii="Arial" w:hAnsi="Arial"/>
          <w:b/>
          <w:sz w:val="28"/>
          <w:lang w:val="fr-CA"/>
        </w:rPr>
        <w:t>Références</w:t>
      </w:r>
    </w:p>
    <w:p w:rsidR="00D8051C" w:rsidRDefault="00D8051C">
      <w:pPr>
        <w:rPr>
          <w:rFonts w:ascii="Arial" w:hAnsi="Arial"/>
          <w:sz w:val="24"/>
          <w:lang w:val="fr-CA"/>
        </w:rPr>
      </w:pPr>
    </w:p>
    <w:p w:rsidR="00D8051C" w:rsidRPr="001C171B" w:rsidRDefault="00352957" w:rsidP="001C171B">
      <w:pPr>
        <w:numPr>
          <w:ilvl w:val="1"/>
          <w:numId w:val="1"/>
        </w:numPr>
        <w:rPr>
          <w:rFonts w:ascii="Arial" w:hAnsi="Arial"/>
          <w:sz w:val="24"/>
          <w:lang w:val="fr-CA"/>
        </w:rPr>
      </w:pPr>
      <w:r w:rsidRPr="000B6584">
        <w:rPr>
          <w:rFonts w:ascii="Arial" w:hAnsi="Arial"/>
          <w:i/>
          <w:sz w:val="24"/>
          <w:lang w:val="fr-FR"/>
        </w:rPr>
        <w:t>Standards for Hospital Transfusion Services</w:t>
      </w:r>
      <w:r w:rsidRPr="000B6584">
        <w:rPr>
          <w:rFonts w:ascii="Arial" w:hAnsi="Arial"/>
          <w:sz w:val="24"/>
          <w:lang w:val="fr-FR"/>
        </w:rPr>
        <w:t xml:space="preserve">, version 2 – septembre 2007. Société </w:t>
      </w:r>
      <w:r w:rsidRPr="001C171B">
        <w:rPr>
          <w:rFonts w:ascii="Arial" w:hAnsi="Arial"/>
          <w:sz w:val="24"/>
          <w:lang w:val="fr-CA"/>
        </w:rPr>
        <w:t xml:space="preserve">canadienne de médecine transfusionnelle, </w:t>
      </w:r>
      <w:r w:rsidR="0078318A">
        <w:rPr>
          <w:rFonts w:ascii="Arial" w:hAnsi="Arial"/>
          <w:sz w:val="24"/>
          <w:lang w:val="fr-CA"/>
        </w:rPr>
        <w:t xml:space="preserve">p. </w:t>
      </w:r>
      <w:r w:rsidRPr="001C171B">
        <w:rPr>
          <w:rFonts w:ascii="Arial" w:hAnsi="Arial"/>
          <w:sz w:val="24"/>
          <w:lang w:val="fr-CA"/>
        </w:rPr>
        <w:t>5.3.7.1, 5.3.7.4.5, 5.3.7.4</w:t>
      </w:r>
      <w:r w:rsidR="001C171B" w:rsidRPr="001C171B">
        <w:rPr>
          <w:rFonts w:ascii="Arial" w:hAnsi="Arial"/>
          <w:sz w:val="24"/>
          <w:lang w:val="fr-CA"/>
        </w:rPr>
        <w:t>.2, 5.3.7.4.3,</w:t>
      </w:r>
      <w:r w:rsidR="001C171B">
        <w:rPr>
          <w:rFonts w:ascii="Arial" w:hAnsi="Arial"/>
          <w:sz w:val="24"/>
          <w:lang w:val="fr-CA"/>
        </w:rPr>
        <w:t xml:space="preserve"> </w:t>
      </w:r>
      <w:r w:rsidR="001C171B" w:rsidRPr="001C171B">
        <w:rPr>
          <w:rFonts w:ascii="Arial" w:hAnsi="Arial"/>
          <w:sz w:val="24"/>
          <w:lang w:val="fr-CA"/>
        </w:rPr>
        <w:t>5.</w:t>
      </w:r>
      <w:r w:rsidR="0078318A">
        <w:rPr>
          <w:rFonts w:ascii="Arial" w:hAnsi="Arial"/>
          <w:sz w:val="24"/>
          <w:lang w:val="fr-CA"/>
        </w:rPr>
        <w:t>3</w:t>
      </w:r>
      <w:r w:rsidR="001C171B" w:rsidRPr="001C171B">
        <w:rPr>
          <w:rFonts w:ascii="Arial" w:hAnsi="Arial"/>
          <w:sz w:val="24"/>
          <w:lang w:val="fr-CA"/>
        </w:rPr>
        <w:t>.7.2.1, 5.2.3.3, 5.3.7.3, 5.7.2.1, 5.2.3.5, 5.3.1.6</w:t>
      </w:r>
      <w:r w:rsidR="00D8051C" w:rsidRPr="001C171B">
        <w:rPr>
          <w:rFonts w:ascii="Arial" w:hAnsi="Arial"/>
          <w:sz w:val="24"/>
          <w:lang w:val="fr-CA"/>
        </w:rPr>
        <w:t>.</w:t>
      </w:r>
    </w:p>
    <w:p w:rsidR="00D8051C" w:rsidRDefault="00D8051C">
      <w:pPr>
        <w:ind w:left="720"/>
        <w:rPr>
          <w:rFonts w:ascii="Arial" w:hAnsi="Arial"/>
          <w:sz w:val="24"/>
          <w:lang w:val="fr-CA"/>
        </w:rPr>
      </w:pPr>
    </w:p>
    <w:p w:rsidR="00D8051C" w:rsidRDefault="001C171B">
      <w:pPr>
        <w:numPr>
          <w:ilvl w:val="1"/>
          <w:numId w:val="1"/>
        </w:numPr>
        <w:rPr>
          <w:rFonts w:ascii="Arial" w:hAnsi="Arial"/>
          <w:sz w:val="24"/>
          <w:lang w:val="fr-CA"/>
        </w:rPr>
      </w:pPr>
      <w:r w:rsidRPr="000B6584">
        <w:rPr>
          <w:rFonts w:ascii="Arial" w:hAnsi="Arial"/>
          <w:sz w:val="24"/>
        </w:rPr>
        <w:t xml:space="preserve">ROBACK, JD, éd. </w:t>
      </w:r>
      <w:r w:rsidRPr="000B6584">
        <w:rPr>
          <w:rFonts w:ascii="Arial" w:hAnsi="Arial"/>
          <w:i/>
          <w:sz w:val="24"/>
        </w:rPr>
        <w:t>American Association of Blood Banks Technical Manual</w:t>
      </w:r>
      <w:r w:rsidRPr="000B6584">
        <w:rPr>
          <w:rFonts w:ascii="Arial" w:hAnsi="Arial"/>
          <w:sz w:val="24"/>
        </w:rPr>
        <w:t>, 16</w:t>
      </w:r>
      <w:r w:rsidRPr="000B6584">
        <w:rPr>
          <w:rFonts w:ascii="Arial" w:hAnsi="Arial"/>
          <w:sz w:val="24"/>
          <w:vertAlign w:val="superscript"/>
        </w:rPr>
        <w:t xml:space="preserve">e </w:t>
      </w:r>
      <w:r w:rsidRPr="000B6584">
        <w:rPr>
          <w:rFonts w:ascii="Arial" w:hAnsi="Arial"/>
          <w:sz w:val="24"/>
        </w:rPr>
        <w:t xml:space="preserve">éd. </w:t>
      </w:r>
      <w:r w:rsidRPr="001C171B">
        <w:rPr>
          <w:rFonts w:ascii="Arial" w:hAnsi="Arial"/>
          <w:sz w:val="24"/>
          <w:lang w:val="fr-CA"/>
        </w:rPr>
        <w:t xml:space="preserve">Bethesda, MD: American Association of Blood Banks (2008), p. </w:t>
      </w:r>
      <w:r>
        <w:rPr>
          <w:rFonts w:ascii="Arial" w:hAnsi="Arial"/>
          <w:sz w:val="24"/>
          <w:lang w:val="fr-CA"/>
        </w:rPr>
        <w:t>454</w:t>
      </w:r>
      <w:r w:rsidR="00D8051C">
        <w:rPr>
          <w:rFonts w:ascii="Arial" w:hAnsi="Arial"/>
          <w:sz w:val="24"/>
          <w:lang w:val="fr-CA"/>
        </w:rPr>
        <w:t>.</w:t>
      </w:r>
    </w:p>
    <w:p w:rsidR="00D8051C" w:rsidRDefault="00D8051C">
      <w:pPr>
        <w:rPr>
          <w:rFonts w:ascii="Arial" w:hAnsi="Arial"/>
          <w:sz w:val="24"/>
          <w:lang w:val="fr-CA"/>
        </w:rPr>
      </w:pPr>
    </w:p>
    <w:sectPr w:rsidR="00D8051C">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6CC" w:rsidRDefault="008E56CC">
      <w:r>
        <w:separator/>
      </w:r>
    </w:p>
  </w:endnote>
  <w:endnote w:type="continuationSeparator" w:id="0">
    <w:p w:rsidR="008E56CC" w:rsidRDefault="008E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87781">
      <w:trPr>
        <w:trHeight w:val="720"/>
      </w:trPr>
      <w:tc>
        <w:tcPr>
          <w:tcW w:w="1368" w:type="dxa"/>
        </w:tcPr>
        <w:p w:rsidR="00B87781" w:rsidRDefault="00B87781">
          <w:pPr>
            <w:pStyle w:val="Footer"/>
            <w:jc w:val="center"/>
            <w:rPr>
              <w:sz w:val="8"/>
            </w:rPr>
          </w:pPr>
        </w:p>
        <w:p w:rsidR="00B87781" w:rsidRDefault="008524A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52957" w:rsidRDefault="00352957" w:rsidP="00352957">
          <w:pPr>
            <w:pStyle w:val="Footer"/>
            <w:jc w:val="center"/>
            <w:rPr>
              <w:rFonts w:ascii="Arial" w:hAnsi="Arial"/>
              <w:sz w:val="18"/>
            </w:rPr>
          </w:pPr>
        </w:p>
        <w:p w:rsidR="00352957" w:rsidRPr="00D52543" w:rsidRDefault="00352957" w:rsidP="00352957">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352957" w:rsidRDefault="00352957" w:rsidP="00352957">
          <w:pPr>
            <w:pStyle w:val="Footer"/>
            <w:jc w:val="center"/>
            <w:rPr>
              <w:rFonts w:ascii="Arial" w:hAnsi="Arial"/>
              <w:sz w:val="18"/>
              <w:lang w:val="fr-CA"/>
            </w:rPr>
          </w:pPr>
        </w:p>
        <w:p w:rsidR="00352957" w:rsidRPr="00D52543" w:rsidRDefault="00352957" w:rsidP="00352957">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B87781" w:rsidRPr="000B6584" w:rsidRDefault="00B87781">
          <w:pPr>
            <w:pStyle w:val="Footer"/>
            <w:jc w:val="center"/>
            <w:rPr>
              <w:rFonts w:ascii="Arial" w:hAnsi="Arial"/>
              <w:sz w:val="18"/>
              <w:lang w:val="fr-FR"/>
            </w:rPr>
          </w:pPr>
        </w:p>
      </w:tc>
      <w:tc>
        <w:tcPr>
          <w:tcW w:w="1494" w:type="dxa"/>
        </w:tcPr>
        <w:p w:rsidR="00B87781" w:rsidRPr="000B6584" w:rsidRDefault="00B87781">
          <w:pPr>
            <w:pStyle w:val="Footer"/>
            <w:jc w:val="right"/>
            <w:rPr>
              <w:rFonts w:ascii="Arial" w:hAnsi="Arial"/>
              <w:sz w:val="18"/>
              <w:lang w:val="fr-FR"/>
            </w:rPr>
          </w:pPr>
        </w:p>
        <w:p w:rsidR="00B87781" w:rsidRDefault="00B87781">
          <w:pPr>
            <w:pStyle w:val="Footer"/>
            <w:jc w:val="right"/>
            <w:rPr>
              <w:rFonts w:ascii="Arial" w:hAnsi="Arial"/>
              <w:sz w:val="18"/>
            </w:rPr>
          </w:pPr>
          <w:r>
            <w:rPr>
              <w:rFonts w:ascii="Arial" w:hAnsi="Arial"/>
              <w:sz w:val="18"/>
            </w:rPr>
            <w:t>AR.009</w:t>
          </w:r>
          <w:r>
            <w:rPr>
              <w:rFonts w:ascii="Arial" w:hAnsi="Arial"/>
              <w:sz w:val="18"/>
            </w:rPr>
            <w:br/>
          </w:r>
        </w:p>
        <w:p w:rsidR="00B87781" w:rsidRDefault="00B8778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31C92">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31C92">
            <w:rPr>
              <w:rFonts w:ascii="Arial" w:hAnsi="Arial"/>
              <w:noProof/>
              <w:snapToGrid w:val="0"/>
              <w:sz w:val="18"/>
            </w:rPr>
            <w:t>5</w:t>
          </w:r>
          <w:r>
            <w:rPr>
              <w:rFonts w:ascii="Arial" w:hAnsi="Arial"/>
              <w:snapToGrid w:val="0"/>
              <w:sz w:val="18"/>
            </w:rPr>
            <w:fldChar w:fldCharType="end"/>
          </w:r>
        </w:p>
      </w:tc>
    </w:tr>
  </w:tbl>
  <w:p w:rsidR="00B87781" w:rsidRDefault="00B87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87781">
      <w:trPr>
        <w:trHeight w:val="720"/>
      </w:trPr>
      <w:tc>
        <w:tcPr>
          <w:tcW w:w="1368" w:type="dxa"/>
        </w:tcPr>
        <w:p w:rsidR="00B87781" w:rsidRDefault="00B87781">
          <w:pPr>
            <w:pStyle w:val="Footer"/>
            <w:jc w:val="center"/>
            <w:rPr>
              <w:rFonts w:ascii="Verdana" w:hAnsi="Verdana"/>
              <w:sz w:val="8"/>
            </w:rPr>
          </w:pPr>
        </w:p>
        <w:p w:rsidR="00B87781" w:rsidRDefault="008524A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52957" w:rsidRDefault="00352957" w:rsidP="00352957">
          <w:pPr>
            <w:pStyle w:val="Footer"/>
            <w:jc w:val="center"/>
            <w:rPr>
              <w:rFonts w:ascii="Arial" w:hAnsi="Arial"/>
              <w:sz w:val="18"/>
            </w:rPr>
          </w:pPr>
        </w:p>
        <w:p w:rsidR="00352957" w:rsidRPr="00D52543" w:rsidRDefault="00352957" w:rsidP="00352957">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352957" w:rsidRDefault="00352957" w:rsidP="00352957">
          <w:pPr>
            <w:pStyle w:val="Footer"/>
            <w:jc w:val="center"/>
            <w:rPr>
              <w:rFonts w:ascii="Arial" w:hAnsi="Arial"/>
              <w:sz w:val="18"/>
              <w:lang w:val="fr-CA"/>
            </w:rPr>
          </w:pPr>
        </w:p>
        <w:p w:rsidR="00352957" w:rsidRPr="00D52543" w:rsidRDefault="00352957" w:rsidP="00352957">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B87781" w:rsidRPr="000B6584" w:rsidRDefault="00B87781">
          <w:pPr>
            <w:pStyle w:val="Footer"/>
            <w:jc w:val="center"/>
            <w:rPr>
              <w:rFonts w:ascii="Arial" w:hAnsi="Arial"/>
              <w:sz w:val="18"/>
              <w:lang w:val="fr-FR"/>
            </w:rPr>
          </w:pPr>
        </w:p>
      </w:tc>
      <w:tc>
        <w:tcPr>
          <w:tcW w:w="1494" w:type="dxa"/>
        </w:tcPr>
        <w:p w:rsidR="00B87781" w:rsidRPr="000B6584" w:rsidRDefault="00B87781">
          <w:pPr>
            <w:pStyle w:val="Footer"/>
            <w:jc w:val="right"/>
            <w:rPr>
              <w:rFonts w:ascii="Arial" w:hAnsi="Arial"/>
              <w:sz w:val="18"/>
              <w:lang w:val="fr-FR"/>
            </w:rPr>
          </w:pPr>
        </w:p>
        <w:p w:rsidR="00B87781" w:rsidRDefault="00B87781">
          <w:pPr>
            <w:pStyle w:val="Footer"/>
            <w:jc w:val="right"/>
            <w:rPr>
              <w:rFonts w:ascii="Arial" w:hAnsi="Arial"/>
              <w:sz w:val="18"/>
            </w:rPr>
          </w:pPr>
          <w:r>
            <w:rPr>
              <w:rFonts w:ascii="Arial" w:hAnsi="Arial"/>
              <w:sz w:val="18"/>
            </w:rPr>
            <w:t>AR.009</w:t>
          </w:r>
          <w:r>
            <w:rPr>
              <w:rFonts w:ascii="Arial" w:hAnsi="Arial"/>
              <w:sz w:val="18"/>
            </w:rPr>
            <w:br/>
          </w:r>
        </w:p>
        <w:p w:rsidR="00B87781" w:rsidRDefault="00B8778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31C9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31C92">
            <w:rPr>
              <w:rFonts w:ascii="Arial" w:hAnsi="Arial"/>
              <w:noProof/>
              <w:snapToGrid w:val="0"/>
              <w:sz w:val="18"/>
            </w:rPr>
            <w:t>1</w:t>
          </w:r>
          <w:r>
            <w:rPr>
              <w:rFonts w:ascii="Arial" w:hAnsi="Arial"/>
              <w:snapToGrid w:val="0"/>
              <w:sz w:val="18"/>
            </w:rPr>
            <w:fldChar w:fldCharType="end"/>
          </w:r>
        </w:p>
      </w:tc>
    </w:tr>
  </w:tbl>
  <w:p w:rsidR="00B87781" w:rsidRDefault="00B8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6CC" w:rsidRDefault="008E56CC">
      <w:r>
        <w:separator/>
      </w:r>
    </w:p>
  </w:footnote>
  <w:footnote w:type="continuationSeparator" w:id="0">
    <w:p w:rsidR="008E56CC" w:rsidRDefault="008E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81" w:rsidRDefault="002B20A5">
    <w:pPr>
      <w:pStyle w:val="Header"/>
      <w:jc w:val="center"/>
      <w:rPr>
        <w:rFonts w:ascii="Arial" w:hAnsi="Arial"/>
        <w:b/>
        <w:color w:val="000000"/>
        <w:sz w:val="28"/>
        <w:lang w:val="fr-CA"/>
      </w:rPr>
    </w:pPr>
    <w:r>
      <w:rPr>
        <w:rFonts w:ascii="Arial" w:hAnsi="Arial"/>
        <w:b/>
        <w:color w:val="000000"/>
        <w:sz w:val="28"/>
        <w:lang w:val="fr-CA"/>
      </w:rPr>
      <w:t>Épreuve de c</w:t>
    </w:r>
    <w:r w:rsidR="00B87781">
      <w:rPr>
        <w:rFonts w:ascii="Arial" w:hAnsi="Arial"/>
        <w:b/>
        <w:color w:val="000000"/>
        <w:sz w:val="28"/>
        <w:lang w:val="fr-CA"/>
      </w:rPr>
      <w:t>ompatibilité informatisée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81" w:rsidRDefault="00B87781">
    <w:pPr>
      <w:pStyle w:val="Header"/>
      <w:tabs>
        <w:tab w:val="clear" w:pos="8640"/>
        <w:tab w:val="left" w:pos="5280"/>
      </w:tabs>
    </w:pPr>
  </w:p>
  <w:p w:rsidR="00B87781" w:rsidRDefault="00B87781">
    <w:pPr>
      <w:pStyle w:val="Header"/>
      <w:jc w:val="center"/>
      <w:rPr>
        <w:rFonts w:ascii="Arial" w:hAnsi="Arial" w:cs="Arial"/>
        <w:b/>
        <w:bCs/>
        <w:color w:val="000000"/>
        <w:sz w:val="22"/>
        <w:lang w:val="fr-CA"/>
      </w:rPr>
    </w:pPr>
    <w:r>
      <w:rPr>
        <w:rFonts w:ascii="Arial" w:hAnsi="Arial" w:cs="Arial"/>
        <w:b/>
        <w:bCs/>
        <w:color w:val="000000"/>
        <w:sz w:val="22"/>
        <w:lang w:val="fr-CA"/>
      </w:rPr>
      <w:t>PATHOLOGIE ET MÉDECINE DE LABORATOIRE</w:t>
    </w:r>
  </w:p>
  <w:p w:rsidR="00B87781" w:rsidRDefault="00B87781">
    <w:pPr>
      <w:pStyle w:val="Header"/>
      <w:jc w:val="center"/>
      <w:rPr>
        <w:rFonts w:ascii="Arial" w:hAnsi="Arial" w:cs="Arial"/>
        <w:b/>
        <w:bCs/>
        <w:color w:val="000000"/>
        <w:sz w:val="22"/>
        <w:lang w:val="fr-CA"/>
      </w:rPr>
    </w:pPr>
    <w:r>
      <w:rPr>
        <w:rFonts w:ascii="Arial" w:hAnsi="Arial" w:cs="Arial"/>
        <w:b/>
        <w:bCs/>
        <w:color w:val="000000"/>
        <w:sz w:val="22"/>
        <w:lang w:val="fr-CA"/>
      </w:rPr>
      <w:t>DIVISION DE LA MÉDECINE TRANSFUSIONNELLE</w:t>
    </w:r>
  </w:p>
  <w:p w:rsidR="00B87781" w:rsidRDefault="00B87781">
    <w:pPr>
      <w:pStyle w:val="Header"/>
      <w:jc w:val="center"/>
      <w:rPr>
        <w:rFonts w:ascii="Arial" w:hAnsi="Arial" w:cs="Arial"/>
        <w:b/>
        <w:bCs/>
        <w:color w:val="000000"/>
        <w:sz w:val="22"/>
        <w:lang w:val="fr-CA"/>
      </w:rPr>
    </w:pPr>
    <w:r>
      <w:rPr>
        <w:rFonts w:ascii="Arial" w:hAnsi="Arial" w:cs="Arial"/>
        <w:b/>
        <w:bCs/>
        <w:color w:val="000000"/>
        <w:sz w:val="22"/>
        <w:lang w:val="fr-CA"/>
      </w:rPr>
      <w:t>MANUEL DES DIRECTIVES DE TRAVAIL NORMALISÉES</w:t>
    </w:r>
  </w:p>
  <w:p w:rsidR="00B87781" w:rsidRDefault="00B87781">
    <w:pPr>
      <w:pStyle w:val="Header"/>
      <w:jc w:val="center"/>
      <w:rPr>
        <w:rFonts w:ascii="Arial" w:hAnsi="Arial" w:cs="Arial"/>
        <w:b/>
        <w:bCs/>
        <w:color w:val="000000"/>
        <w:sz w:val="22"/>
        <w:lang w:val="fr-CA"/>
      </w:rPr>
    </w:pPr>
  </w:p>
  <w:p w:rsidR="00B87781" w:rsidRDefault="00B87781">
    <w:pPr>
      <w:pStyle w:val="Header"/>
      <w:jc w:val="center"/>
      <w:rPr>
        <w:rFonts w:ascii="Arial" w:hAnsi="Arial"/>
        <w:b/>
        <w:color w:val="000000"/>
        <w:sz w:val="28"/>
        <w:lang w:val="fr-CA"/>
      </w:rPr>
    </w:pPr>
    <w:r>
      <w:rPr>
        <w:rFonts w:ascii="Arial" w:hAnsi="Arial"/>
        <w:b/>
        <w:color w:val="000000"/>
        <w:sz w:val="28"/>
        <w:lang w:val="fr-CA"/>
      </w:rPr>
      <w:t>Épreuve de compatibilité informatisée</w:t>
    </w:r>
  </w:p>
  <w:p w:rsidR="00B87781" w:rsidRDefault="00B87781">
    <w:pPr>
      <w:pStyle w:val="Header"/>
      <w:jc w:val="center"/>
      <w:rPr>
        <w:rFonts w:ascii="Arial" w:hAnsi="Arial"/>
        <w:b/>
        <w:color w:val="000000"/>
        <w:sz w:val="28"/>
        <w:lang w:val="fr-CA"/>
      </w:rPr>
    </w:pPr>
  </w:p>
  <w:p w:rsidR="00B87781" w:rsidRDefault="00B87781">
    <w:pPr>
      <w:pStyle w:val="Header"/>
      <w:jc w:val="center"/>
      <w:rPr>
        <w:rFonts w:ascii="Arial" w:hAnsi="Arial" w:cs="Arial"/>
        <w:b/>
        <w:bCs/>
        <w:color w:val="000000"/>
        <w:lang w:val="fr-CA"/>
      </w:rPr>
    </w:pPr>
    <w:r>
      <w:rPr>
        <w:rFonts w:ascii="Arial" w:hAnsi="Arial" w:cs="Arial"/>
        <w:b/>
        <w:bCs/>
        <w:color w:val="000000"/>
        <w:lang w:val="fr-CA"/>
      </w:rPr>
      <w:tab/>
    </w:r>
    <w:r w:rsidR="008524AC">
      <w:rPr>
        <w:rFonts w:ascii="Arial" w:hAnsi="Arial" w:cs="Arial"/>
        <w:noProof/>
        <w:color w:val="00000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206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I9kDYx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352957">
      <w:tc>
        <w:tcPr>
          <w:tcW w:w="4428" w:type="dxa"/>
        </w:tcPr>
        <w:p w:rsidR="00352957" w:rsidRDefault="00F36481" w:rsidP="003A22D8">
          <w:pPr>
            <w:pStyle w:val="Header"/>
            <w:rPr>
              <w:rFonts w:ascii="Arial" w:hAnsi="Arial" w:cs="Arial"/>
              <w:color w:val="000000"/>
              <w:lang w:val="fr-CA"/>
            </w:rPr>
          </w:pPr>
          <w:r>
            <w:rPr>
              <w:rFonts w:ascii="Arial" w:hAnsi="Arial" w:cs="Arial"/>
              <w:lang w:val="fr-CA"/>
            </w:rPr>
            <w:t>Approbation </w:t>
          </w:r>
          <w:r w:rsidR="00352957">
            <w:rPr>
              <w:rFonts w:ascii="Arial" w:hAnsi="Arial" w:cs="Arial"/>
              <w:lang w:val="fr-CA"/>
            </w:rPr>
            <w:t>: D</w:t>
          </w:r>
          <w:r w:rsidR="00352957" w:rsidRPr="00DB21A4">
            <w:rPr>
              <w:rFonts w:ascii="Arial" w:hAnsi="Arial" w:cs="Arial"/>
              <w:vertAlign w:val="superscript"/>
              <w:lang w:val="fr-CA"/>
            </w:rPr>
            <w:t xml:space="preserve">r </w:t>
          </w:r>
          <w:r w:rsidR="00352957">
            <w:rPr>
              <w:rFonts w:ascii="Arial" w:hAnsi="Arial" w:cs="Arial"/>
              <w:lang w:val="fr-CA"/>
            </w:rPr>
            <w:t>Antonio Giulivi</w:t>
          </w:r>
        </w:p>
      </w:tc>
      <w:tc>
        <w:tcPr>
          <w:tcW w:w="4428" w:type="dxa"/>
        </w:tcPr>
        <w:p w:rsidR="00352957" w:rsidRDefault="00352957">
          <w:pPr>
            <w:pStyle w:val="Header"/>
            <w:rPr>
              <w:rFonts w:ascii="Arial" w:hAnsi="Arial" w:cs="Arial"/>
              <w:color w:val="000000"/>
              <w:lang w:val="fr-CA"/>
            </w:rPr>
          </w:pPr>
          <w:r>
            <w:rPr>
              <w:rFonts w:ascii="Arial" w:hAnsi="Arial" w:cs="Arial"/>
              <w:color w:val="000000"/>
              <w:lang w:val="fr-CA"/>
            </w:rPr>
            <w:t>Document n</w:t>
          </w:r>
          <w:r>
            <w:rPr>
              <w:rFonts w:ascii="Arial" w:hAnsi="Arial" w:cs="Arial"/>
              <w:color w:val="000000"/>
              <w:vertAlign w:val="superscript"/>
              <w:lang w:val="fr-CA"/>
            </w:rPr>
            <w:t>o</w:t>
          </w:r>
          <w:r>
            <w:rPr>
              <w:rFonts w:ascii="Arial" w:hAnsi="Arial" w:cs="Arial"/>
              <w:color w:val="000000"/>
              <w:lang w:val="fr-CA"/>
            </w:rPr>
            <w:t xml:space="preserve"> : AR.009</w:t>
          </w:r>
        </w:p>
      </w:tc>
    </w:tr>
    <w:tr w:rsidR="00352957">
      <w:tc>
        <w:tcPr>
          <w:tcW w:w="4428" w:type="dxa"/>
        </w:tcPr>
        <w:p w:rsidR="00352957" w:rsidRDefault="00352957">
          <w:pPr>
            <w:pStyle w:val="Header"/>
            <w:rPr>
              <w:rFonts w:ascii="Arial" w:hAnsi="Arial" w:cs="Arial"/>
              <w:color w:val="000000"/>
              <w:lang w:val="fr-CA"/>
            </w:rPr>
          </w:pPr>
          <w:r>
            <w:rPr>
              <w:rFonts w:ascii="Arial" w:hAnsi="Arial" w:cs="Arial"/>
              <w:color w:val="000000"/>
              <w:lang w:val="fr-CA"/>
            </w:rPr>
            <w:t>Date de publication : 2006/08/01</w:t>
          </w:r>
        </w:p>
      </w:tc>
      <w:tc>
        <w:tcPr>
          <w:tcW w:w="4428" w:type="dxa"/>
        </w:tcPr>
        <w:p w:rsidR="00352957" w:rsidRDefault="00F36481">
          <w:pPr>
            <w:pStyle w:val="Header"/>
            <w:rPr>
              <w:rFonts w:ascii="Arial" w:hAnsi="Arial" w:cs="Arial"/>
              <w:color w:val="000000"/>
              <w:lang w:val="fr-CA"/>
            </w:rPr>
          </w:pPr>
          <w:r>
            <w:rPr>
              <w:rFonts w:ascii="Arial" w:hAnsi="Arial" w:cs="Arial"/>
              <w:color w:val="000000"/>
              <w:lang w:val="fr-CA"/>
            </w:rPr>
            <w:t>Catégorie </w:t>
          </w:r>
          <w:r w:rsidR="00352957">
            <w:rPr>
              <w:rFonts w:ascii="Arial" w:hAnsi="Arial" w:cs="Arial"/>
              <w:color w:val="000000"/>
              <w:lang w:val="fr-CA"/>
            </w:rPr>
            <w:t>: Analyses de routine</w:t>
          </w:r>
        </w:p>
      </w:tc>
    </w:tr>
    <w:tr w:rsidR="00352957">
      <w:tc>
        <w:tcPr>
          <w:tcW w:w="4428" w:type="dxa"/>
        </w:tcPr>
        <w:p w:rsidR="00352957" w:rsidRDefault="00352957" w:rsidP="003A22D8">
          <w:pPr>
            <w:pStyle w:val="Header"/>
            <w:rPr>
              <w:rFonts w:ascii="Arial" w:hAnsi="Arial" w:cs="Arial"/>
              <w:lang w:val="fr-CA"/>
            </w:rPr>
          </w:pPr>
          <w:r>
            <w:rPr>
              <w:rFonts w:ascii="Arial" w:hAnsi="Arial" w:cs="Arial"/>
              <w:lang w:val="fr-CA"/>
            </w:rPr>
            <w:t xml:space="preserve">Date de </w:t>
          </w:r>
          <w:r w:rsidR="00F36481">
            <w:rPr>
              <w:rFonts w:ascii="Arial" w:hAnsi="Arial" w:cs="Arial"/>
              <w:lang w:val="fr-CA"/>
            </w:rPr>
            <w:t>révision </w:t>
          </w:r>
          <w:r>
            <w:rPr>
              <w:rFonts w:ascii="Arial" w:hAnsi="Arial" w:cs="Arial"/>
              <w:lang w:val="fr-CA"/>
            </w:rPr>
            <w:t>: 2009/12/31</w:t>
          </w:r>
        </w:p>
      </w:tc>
      <w:tc>
        <w:tcPr>
          <w:tcW w:w="4428" w:type="dxa"/>
        </w:tcPr>
        <w:p w:rsidR="00352957" w:rsidRDefault="00F36481">
          <w:pPr>
            <w:pStyle w:val="Header"/>
            <w:rPr>
              <w:rFonts w:ascii="Arial" w:hAnsi="Arial" w:cs="Arial"/>
              <w:color w:val="000000"/>
              <w:lang w:val="fr-CA"/>
            </w:rPr>
          </w:pPr>
          <w:r>
            <w:rPr>
              <w:rFonts w:ascii="Arial" w:hAnsi="Arial" w:cs="Arial"/>
              <w:color w:val="000000"/>
              <w:lang w:val="fr-CA"/>
            </w:rPr>
            <w:t>Pages </w:t>
          </w:r>
          <w:r w:rsidR="00352957">
            <w:rPr>
              <w:rFonts w:ascii="Arial" w:hAnsi="Arial" w:cs="Arial"/>
              <w:color w:val="000000"/>
              <w:lang w:val="fr-CA"/>
            </w:rPr>
            <w:t xml:space="preserve">: </w:t>
          </w:r>
          <w:r w:rsidR="00352957">
            <w:rPr>
              <w:rFonts w:ascii="Arial" w:hAnsi="Arial" w:cs="Arial"/>
              <w:color w:val="000000"/>
              <w:lang w:val="fr-CA"/>
            </w:rPr>
            <w:fldChar w:fldCharType="begin"/>
          </w:r>
          <w:r w:rsidR="00352957">
            <w:rPr>
              <w:rFonts w:ascii="Arial" w:hAnsi="Arial" w:cs="Arial"/>
              <w:color w:val="000000"/>
              <w:lang w:val="fr-CA"/>
            </w:rPr>
            <w:instrText xml:space="preserve"> NUMPAGES </w:instrText>
          </w:r>
          <w:r w:rsidR="00352957">
            <w:rPr>
              <w:rFonts w:ascii="Arial" w:hAnsi="Arial" w:cs="Arial"/>
              <w:color w:val="000000"/>
              <w:lang w:val="fr-CA"/>
            </w:rPr>
            <w:fldChar w:fldCharType="separate"/>
          </w:r>
          <w:r w:rsidR="00631C92">
            <w:rPr>
              <w:rFonts w:ascii="Arial" w:hAnsi="Arial" w:cs="Arial"/>
              <w:noProof/>
              <w:color w:val="000000"/>
              <w:lang w:val="fr-CA"/>
            </w:rPr>
            <w:t>1</w:t>
          </w:r>
          <w:r w:rsidR="00352957">
            <w:rPr>
              <w:rFonts w:ascii="Arial" w:hAnsi="Arial" w:cs="Arial"/>
              <w:color w:val="000000"/>
              <w:lang w:val="fr-CA"/>
            </w:rPr>
            <w:fldChar w:fldCharType="end"/>
          </w:r>
        </w:p>
      </w:tc>
    </w:tr>
  </w:tbl>
  <w:p w:rsidR="00B87781" w:rsidRDefault="008524AC">
    <w:pPr>
      <w:pStyle w:val="Header"/>
      <w:tabs>
        <w:tab w:val="clear" w:pos="8640"/>
        <w:tab w:val="left" w:pos="4714"/>
      </w:tabs>
      <w:rPr>
        <w:lang w:val="fr-CA"/>
      </w:rPr>
    </w:pPr>
    <w:r>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2B4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SfYWN&#10;EgIAACgEAAAOAAAAAAAAAAAAAAAAAC4CAABkcnMvZTJvRG9jLnhtbFBLAQItABQABgAIAAAAIQAf&#10;PZp03AAAAAgBAAAPAAAAAAAAAAAAAAAAAGwEAABkcnMvZG93bnJldi54bWxQSwUGAAAAAAQABADz&#10;AAAAdQUAAAAA&#10;"/>
          </w:pict>
        </mc:Fallback>
      </mc:AlternateContent>
    </w:r>
    <w:r w:rsidR="00B87781">
      <w:rPr>
        <w:rFonts w:ascii="Arial" w:hAnsi="Arial" w:cs="Arial"/>
        <w:lang w:val="fr-CA"/>
      </w:rPr>
      <w:tab/>
    </w:r>
    <w:r w:rsidR="00B87781">
      <w:rPr>
        <w:rFonts w:ascii="Arial" w:hAnsi="Arial" w:cs="Arial"/>
        <w:lang w:val="fr-CA"/>
      </w:rPr>
      <w:tab/>
    </w:r>
  </w:p>
  <w:p w:rsidR="00B87781" w:rsidRDefault="00B8778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32"/>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A759E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2E805A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14A94EC4"/>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7195085"/>
    <w:multiLevelType w:val="multilevel"/>
    <w:tmpl w:val="9AF08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E53705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38B2510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C276A72"/>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42EC07B9"/>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604583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569C662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5ADA2592"/>
    <w:multiLevelType w:val="multilevel"/>
    <w:tmpl w:val="F790E3A0"/>
    <w:lvl w:ilvl="0">
      <w:start w:val="6"/>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FBA20FF"/>
    <w:multiLevelType w:val="hybridMultilevel"/>
    <w:tmpl w:val="1372828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45E3191"/>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4F232C2"/>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9"/>
  </w:num>
  <w:num w:numId="3">
    <w:abstractNumId w:val="5"/>
  </w:num>
  <w:num w:numId="4">
    <w:abstractNumId w:val="6"/>
  </w:num>
  <w:num w:numId="5">
    <w:abstractNumId w:val="7"/>
  </w:num>
  <w:num w:numId="6">
    <w:abstractNumId w:val="11"/>
  </w:num>
  <w:num w:numId="7">
    <w:abstractNumId w:val="2"/>
  </w:num>
  <w:num w:numId="8">
    <w:abstractNumId w:val="1"/>
  </w:num>
  <w:num w:numId="9">
    <w:abstractNumId w:val="10"/>
  </w:num>
  <w:num w:numId="10">
    <w:abstractNumId w:val="4"/>
  </w:num>
  <w:num w:numId="11">
    <w:abstractNumId w:val="12"/>
  </w:num>
  <w:num w:numId="12">
    <w:abstractNumId w:val="8"/>
  </w:num>
  <w:num w:numId="13">
    <w:abstractNumId w:val="0"/>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E4"/>
    <w:rsid w:val="000B6584"/>
    <w:rsid w:val="000F51D7"/>
    <w:rsid w:val="0015042F"/>
    <w:rsid w:val="00166AE9"/>
    <w:rsid w:val="00177D45"/>
    <w:rsid w:val="001C171B"/>
    <w:rsid w:val="002254E8"/>
    <w:rsid w:val="002302E4"/>
    <w:rsid w:val="00230AB9"/>
    <w:rsid w:val="002B20A5"/>
    <w:rsid w:val="002D16E2"/>
    <w:rsid w:val="002F0AC8"/>
    <w:rsid w:val="00352957"/>
    <w:rsid w:val="003A22D8"/>
    <w:rsid w:val="00427DF3"/>
    <w:rsid w:val="00514F90"/>
    <w:rsid w:val="00532705"/>
    <w:rsid w:val="00572CD8"/>
    <w:rsid w:val="00631C92"/>
    <w:rsid w:val="006829EC"/>
    <w:rsid w:val="0072084C"/>
    <w:rsid w:val="0078318A"/>
    <w:rsid w:val="007F5DC6"/>
    <w:rsid w:val="00824C80"/>
    <w:rsid w:val="008524AC"/>
    <w:rsid w:val="0088402F"/>
    <w:rsid w:val="008E56CC"/>
    <w:rsid w:val="00903AB1"/>
    <w:rsid w:val="009B075F"/>
    <w:rsid w:val="00AA02D9"/>
    <w:rsid w:val="00B856A8"/>
    <w:rsid w:val="00B87781"/>
    <w:rsid w:val="00BE23D0"/>
    <w:rsid w:val="00C168B1"/>
    <w:rsid w:val="00D00FEC"/>
    <w:rsid w:val="00D8051C"/>
    <w:rsid w:val="00D96BDE"/>
    <w:rsid w:val="00EC3730"/>
    <w:rsid w:val="00EF7C9C"/>
    <w:rsid w:val="00F0448F"/>
    <w:rsid w:val="00F36481"/>
    <w:rsid w:val="00F63215"/>
    <w:rsid w:val="00FF3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C0B03F-C14F-438F-94A5-54A31E1A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 w:type="paragraph" w:styleId="BalloonText">
    <w:name w:val="Balloon Text"/>
    <w:basedOn w:val="Normal"/>
    <w:semiHidden/>
    <w:rsid w:val="0023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RT.009 Computer Crossmatch</vt:lpstr>
    </vt:vector>
  </TitlesOfParts>
  <Company>The Ottawa Hospital</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RT.009 Computer Crossmatch</dc:title>
  <dc:subject/>
  <dc:creator>Transfusion Ontario Program Office</dc:creator>
  <cp:keywords/>
  <cp:lastModifiedBy>Nesrallah, Heather</cp:lastModifiedBy>
  <cp:revision>2</cp:revision>
  <cp:lastPrinted>2011-01-11T16:06:00Z</cp:lastPrinted>
  <dcterms:created xsi:type="dcterms:W3CDTF">2020-08-10T18:11:00Z</dcterms:created>
  <dcterms:modified xsi:type="dcterms:W3CDTF">2020-08-10T18:11:00Z</dcterms:modified>
</cp:coreProperties>
</file>