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DA" w:rsidRDefault="007476DA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bookmarkStart w:id="0" w:name="_GoBack"/>
      <w:bookmarkEnd w:id="0"/>
      <w:r>
        <w:rPr>
          <w:rFonts w:ascii="Arial" w:hAnsi="Arial"/>
          <w:b/>
          <w:sz w:val="28"/>
          <w:lang w:val="fr-CA"/>
        </w:rPr>
        <w:t>Principe</w:t>
      </w:r>
    </w:p>
    <w:p w:rsidR="007476DA" w:rsidRDefault="007476DA">
      <w:pPr>
        <w:pStyle w:val="BodyTextIndent"/>
        <w:rPr>
          <w:b/>
          <w:sz w:val="28"/>
          <w:lang w:val="fr-CA"/>
        </w:rPr>
      </w:pPr>
    </w:p>
    <w:p w:rsidR="007476DA" w:rsidRDefault="007476DA">
      <w:pPr>
        <w:pStyle w:val="BodyTextIndent"/>
        <w:rPr>
          <w:lang w:val="fr-CA"/>
        </w:rPr>
      </w:pPr>
      <w:r>
        <w:rPr>
          <w:lang w:val="fr-CA"/>
        </w:rPr>
        <w:t>Pour dépister la sensibilisation des globules rouges in vivo et identifier les protéines fixées à la surface des globules rouges.</w:t>
      </w:r>
    </w:p>
    <w:p w:rsidR="007476DA" w:rsidRDefault="007476DA">
      <w:pPr>
        <w:ind w:left="390"/>
        <w:rPr>
          <w:rFonts w:ascii="Arial" w:hAnsi="Arial"/>
          <w:sz w:val="24"/>
          <w:lang w:val="fr-CA"/>
        </w:rPr>
      </w:pP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Il faut d'abord laver à l'aide d'une solution saline une suspension à 3 % des cellules à tester. Ensuite, il faut ajouter les réactifs d'antiglobuline polyspécifiques (anti-IgG et C3) et</w:t>
      </w:r>
      <w:r w:rsidR="00461359">
        <w:rPr>
          <w:rFonts w:ascii="Arial" w:hAnsi="Arial"/>
          <w:sz w:val="24"/>
          <w:lang w:val="fr-CA"/>
        </w:rPr>
        <w:t>/</w:t>
      </w:r>
      <w:r>
        <w:rPr>
          <w:rFonts w:ascii="Arial" w:hAnsi="Arial"/>
          <w:sz w:val="24"/>
          <w:lang w:val="fr-CA"/>
        </w:rPr>
        <w:t>ou monospécifiques (anti-IgG et anti-C3) au culot de globules rouges lavés, mélanger, centrifuger et procéder à un examen microscopique.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color w:val="000000"/>
          <w:sz w:val="28"/>
          <w:lang w:val="fr-CA"/>
        </w:rPr>
        <w:t>Portée et politiques connexes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On utilise le test direct à l'antiglobuline (TDA) dans l'investigation de plusieurs états :</w:t>
      </w:r>
    </w:p>
    <w:p w:rsidR="007476DA" w:rsidRDefault="007476DA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>maladie hémolytique du nouveau-né</w:t>
      </w:r>
    </w:p>
    <w:p w:rsidR="007476DA" w:rsidRDefault="007476DA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anémie hémolytique autoimmune</w:t>
      </w:r>
    </w:p>
    <w:p w:rsidR="007476DA" w:rsidRDefault="007476DA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réactions transfusionnelles</w:t>
      </w:r>
    </w:p>
    <w:p w:rsidR="007476DA" w:rsidRDefault="007476DA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sensibilisation d'origine médicamenteuse.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Le TDA est nécessaire</w:t>
      </w:r>
      <w:r w:rsidR="00AD21A1">
        <w:rPr>
          <w:rFonts w:ascii="Arial" w:hAnsi="Arial"/>
          <w:sz w:val="24"/>
          <w:lang w:val="fr-CA"/>
        </w:rPr>
        <w:t> :</w:t>
      </w:r>
      <w:r w:rsidR="00461359">
        <w:rPr>
          <w:rFonts w:ascii="Arial" w:hAnsi="Arial"/>
          <w:sz w:val="24"/>
          <w:lang w:val="fr-CA"/>
        </w:rPr>
        <w:t xml:space="preserve"> 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AD21A1">
      <w:pPr>
        <w:numPr>
          <w:ilvl w:val="0"/>
          <w:numId w:val="9"/>
        </w:numPr>
        <w:tabs>
          <w:tab w:val="clear" w:pos="360"/>
          <w:tab w:val="num" w:pos="1800"/>
          <w:tab w:val="num" w:pos="1860"/>
        </w:tabs>
        <w:ind w:left="180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si </w:t>
      </w:r>
      <w:r w:rsidR="007476DA">
        <w:rPr>
          <w:rFonts w:ascii="Arial" w:hAnsi="Arial"/>
          <w:sz w:val="24"/>
          <w:lang w:val="fr-CA"/>
        </w:rPr>
        <w:t>l’identification de l’anticorps est nécessaire et qu’</w:t>
      </w:r>
      <w:r w:rsidR="00461359">
        <w:rPr>
          <w:rFonts w:ascii="Arial" w:hAnsi="Arial"/>
          <w:sz w:val="24"/>
          <w:lang w:val="fr-CA"/>
        </w:rPr>
        <w:t>un auto-témoin est impossible</w:t>
      </w:r>
      <w:r w:rsidR="007476DA">
        <w:rPr>
          <w:rFonts w:ascii="Arial" w:hAnsi="Arial"/>
          <w:sz w:val="24"/>
          <w:lang w:val="fr-CA"/>
        </w:rPr>
        <w:t xml:space="preserve"> (</w:t>
      </w:r>
      <w:r w:rsidR="00461359">
        <w:rPr>
          <w:rFonts w:ascii="Arial" w:hAnsi="Arial"/>
          <w:sz w:val="24"/>
          <w:lang w:val="fr-CA"/>
        </w:rPr>
        <w:t xml:space="preserve">p. </w:t>
      </w:r>
      <w:r w:rsidR="007476DA">
        <w:rPr>
          <w:rFonts w:ascii="Arial" w:hAnsi="Arial"/>
          <w:sz w:val="24"/>
          <w:lang w:val="fr-CA"/>
        </w:rPr>
        <w:t>ex. volume limité de plasma)</w:t>
      </w:r>
      <w:r>
        <w:rPr>
          <w:rFonts w:ascii="Arial" w:hAnsi="Arial"/>
          <w:sz w:val="24"/>
          <w:lang w:val="fr-CA"/>
        </w:rPr>
        <w:t>;</w:t>
      </w:r>
    </w:p>
    <w:p w:rsidR="007476DA" w:rsidRDefault="007476DA">
      <w:pPr>
        <w:tabs>
          <w:tab w:val="num" w:pos="1860"/>
        </w:tabs>
        <w:ind w:left="1440"/>
        <w:rPr>
          <w:rFonts w:ascii="Arial" w:hAnsi="Arial"/>
          <w:sz w:val="24"/>
          <w:lang w:val="fr-CA"/>
        </w:rPr>
      </w:pPr>
    </w:p>
    <w:p w:rsidR="007476DA" w:rsidRDefault="00AD21A1">
      <w:pPr>
        <w:numPr>
          <w:ilvl w:val="0"/>
          <w:numId w:val="9"/>
        </w:numPr>
        <w:tabs>
          <w:tab w:val="clear" w:pos="360"/>
          <w:tab w:val="num" w:pos="1800"/>
          <w:tab w:val="num" w:pos="1860"/>
        </w:tabs>
        <w:ind w:left="180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s’</w:t>
      </w:r>
      <w:r w:rsidR="00461359">
        <w:rPr>
          <w:rFonts w:ascii="Arial" w:hAnsi="Arial"/>
          <w:sz w:val="24"/>
          <w:lang w:val="fr-CA"/>
        </w:rPr>
        <w:t xml:space="preserve">il faut procéder au </w:t>
      </w:r>
      <w:r w:rsidR="007476DA">
        <w:rPr>
          <w:rFonts w:ascii="Arial" w:hAnsi="Arial"/>
          <w:sz w:val="24"/>
          <w:lang w:val="fr-CA"/>
        </w:rPr>
        <w:t xml:space="preserve">typage d’antigènes </w:t>
      </w:r>
      <w:r>
        <w:rPr>
          <w:rFonts w:ascii="Arial" w:hAnsi="Arial"/>
          <w:sz w:val="24"/>
          <w:lang w:val="fr-CA"/>
        </w:rPr>
        <w:t>par épreuve indirecte à l’antiglobuline</w:t>
      </w:r>
      <w:r w:rsidR="007476DA">
        <w:rPr>
          <w:rFonts w:ascii="Arial" w:hAnsi="Arial"/>
          <w:sz w:val="24"/>
          <w:lang w:val="fr-CA"/>
        </w:rPr>
        <w:t>.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F60CF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 w:rsidRPr="00F60CFA">
        <w:rPr>
          <w:rFonts w:ascii="Arial" w:hAnsi="Arial"/>
          <w:sz w:val="24"/>
          <w:lang w:val="fr-CA"/>
        </w:rPr>
        <w:t>Le réactif d'antiglobuline utilisé pour l'épreuve directe à l'antiglobuline doit contenir des anticorps anti-IgG et le composant du complément anti-C3d. Pour le sang du cordon qui constitue la seule exception, une antiglobuline anti-IgG monospécifique peut être utilisée</w:t>
      </w:r>
      <w:r w:rsidR="007476DA">
        <w:rPr>
          <w:rFonts w:ascii="Arial" w:hAnsi="Arial"/>
          <w:sz w:val="24"/>
          <w:vertAlign w:val="superscript"/>
          <w:lang w:val="fr-CA"/>
        </w:rPr>
        <w:t>9.1</w:t>
      </w:r>
      <w:r w:rsidR="007476DA">
        <w:rPr>
          <w:rFonts w:ascii="Arial" w:hAnsi="Arial"/>
          <w:sz w:val="24"/>
          <w:lang w:val="fr-CA"/>
        </w:rPr>
        <w:t>.</w:t>
      </w:r>
      <w:r w:rsidR="00FF1F4C">
        <w:rPr>
          <w:rFonts w:ascii="Arial" w:hAnsi="Arial"/>
          <w:sz w:val="24"/>
          <w:lang w:val="fr-CA"/>
        </w:rPr>
        <w:t xml:space="preserve"> Voir Remarque 8.4.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F60CF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 w:rsidRPr="00F60CFA">
        <w:rPr>
          <w:rFonts w:ascii="Arial" w:hAnsi="Arial"/>
          <w:sz w:val="24"/>
          <w:lang w:val="fr-CA"/>
        </w:rPr>
        <w:t xml:space="preserve">Si l'épreuve directe à l'antiglobuline faite à partir d'un échantillon sanguin coagulé met en évidence la présence de complément à la surface des globules rouges, l'épreuve </w:t>
      </w:r>
      <w:r w:rsidR="003C2B16">
        <w:rPr>
          <w:rFonts w:ascii="Arial" w:hAnsi="Arial"/>
          <w:sz w:val="24"/>
          <w:lang w:val="fr-CA"/>
        </w:rPr>
        <w:t>doit être reprise sur un échantillon prélevé sur EDTA</w:t>
      </w:r>
      <w:r w:rsidR="007476DA">
        <w:rPr>
          <w:rFonts w:ascii="Arial" w:hAnsi="Arial"/>
          <w:sz w:val="24"/>
          <w:vertAlign w:val="superscript"/>
          <w:lang w:val="fr-CA"/>
        </w:rPr>
        <w:t>9.1</w:t>
      </w:r>
      <w:r w:rsidR="007476DA">
        <w:rPr>
          <w:rFonts w:ascii="Arial" w:hAnsi="Arial"/>
          <w:sz w:val="24"/>
          <w:lang w:val="fr-CA"/>
        </w:rPr>
        <w:t>.</w:t>
      </w:r>
      <w:r w:rsidR="00930B5E">
        <w:rPr>
          <w:rFonts w:ascii="Arial" w:hAnsi="Arial"/>
          <w:sz w:val="24"/>
          <w:lang w:val="fr-CA"/>
        </w:rPr>
        <w:t xml:space="preserve"> Voir Remarque 8.1.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Tous les réactifs doivent être utilisés et vérifiés conformément aux recommandations et aux procédures du fournisseur</w:t>
      </w:r>
      <w:r w:rsidR="00930B5E">
        <w:rPr>
          <w:rFonts w:ascii="Arial" w:hAnsi="Arial"/>
          <w:sz w:val="24"/>
          <w:vertAlign w:val="superscript"/>
          <w:lang w:val="fr-CA"/>
        </w:rPr>
        <w:t>9.1</w:t>
      </w:r>
      <w:r>
        <w:rPr>
          <w:rFonts w:ascii="Arial" w:hAnsi="Arial"/>
          <w:sz w:val="24"/>
          <w:lang w:val="fr-CA"/>
        </w:rPr>
        <w:t>.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Échantillons</w:t>
      </w:r>
    </w:p>
    <w:p w:rsidR="007476DA" w:rsidRDefault="007476DA">
      <w:pPr>
        <w:rPr>
          <w:rFonts w:ascii="Arial" w:hAnsi="Arial"/>
          <w:sz w:val="24"/>
          <w:lang w:val="fr-CA"/>
        </w:rPr>
      </w:pP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Sang anticoagulé - tube EDTA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On peut utiliser les cellules provenant d'un échantillon coagulé. Toutefois, si l'anti-C3 révèle la présence d'un complément, il faut </w:t>
      </w:r>
      <w:r w:rsidR="00F60CFA">
        <w:rPr>
          <w:rFonts w:ascii="Arial" w:hAnsi="Arial"/>
          <w:sz w:val="24"/>
          <w:lang w:val="fr-CA"/>
        </w:rPr>
        <w:t xml:space="preserve">reprendre le test sur </w:t>
      </w:r>
      <w:r>
        <w:rPr>
          <w:rFonts w:ascii="Arial" w:hAnsi="Arial"/>
          <w:sz w:val="24"/>
          <w:lang w:val="fr-CA"/>
        </w:rPr>
        <w:t>un échantillon EDTA. Voir Remarque 8.1.</w:t>
      </w:r>
      <w:r w:rsidR="00C17E31">
        <w:rPr>
          <w:rFonts w:ascii="Arial" w:hAnsi="Arial"/>
          <w:sz w:val="24"/>
          <w:lang w:val="fr-CA"/>
        </w:rPr>
        <w:br/>
      </w:r>
    </w:p>
    <w:p w:rsidR="00C17E31" w:rsidRDefault="00C17E31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Un TDA positif sur un échantillon de sang de cordon coagulé est un résultat valide. Il n’est pas nécessaire de confirmer avec un échantillon prélevé sur EDTA.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 xml:space="preserve">Matériel 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Équipement :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centrifugeuse sérologique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laveur de cellules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microscope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Fournitures :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tubes 10 x 75 mm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pipettes sérologiques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Réactifs : 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 xml:space="preserve">globuline anti-humaine (GAH) polyspécifique </w:t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(anti-IgG, -C3)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anti-IgG monospécifique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anti-C3 monospécifique (anti-C3b, -C3d)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cellules recouvertes d'IgG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cellules recouvertes de C3</w:t>
      </w:r>
      <w:r>
        <w:rPr>
          <w:rFonts w:ascii="Arial" w:hAnsi="Arial"/>
          <w:sz w:val="24"/>
          <w:lang w:val="fr-CA"/>
        </w:rPr>
        <w:tab/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</w:r>
      <w:r>
        <w:rPr>
          <w:rFonts w:ascii="Arial" w:hAnsi="Arial"/>
          <w:sz w:val="24"/>
          <w:lang w:val="fr-CA"/>
        </w:rPr>
        <w:tab/>
        <w:t>albumine bovine sérique (ABS) à 6 %</w:t>
      </w:r>
      <w:r>
        <w:rPr>
          <w:rFonts w:ascii="Arial" w:hAnsi="Arial"/>
          <w:sz w:val="24"/>
          <w:lang w:val="fr-CA"/>
        </w:rPr>
        <w:tab/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Contrôle de la qualité</w:t>
      </w:r>
    </w:p>
    <w:p w:rsidR="007476DA" w:rsidRDefault="007476DA">
      <w:pPr>
        <w:rPr>
          <w:rFonts w:ascii="Arial" w:hAnsi="Arial"/>
          <w:sz w:val="24"/>
          <w:lang w:val="fr-CA"/>
        </w:rPr>
      </w:pP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Au moment de l'utilisation ou une fois par jour, selon le cas, vérifier l'efficacité des réactifs polyspécifiques et </w:t>
      </w:r>
      <w:r w:rsidR="00FF1F4C">
        <w:rPr>
          <w:rFonts w:ascii="Arial" w:hAnsi="Arial"/>
          <w:sz w:val="24"/>
          <w:lang w:val="fr-CA"/>
        </w:rPr>
        <w:t>à</w:t>
      </w:r>
      <w:r>
        <w:rPr>
          <w:rFonts w:ascii="Arial" w:hAnsi="Arial"/>
          <w:sz w:val="24"/>
          <w:lang w:val="fr-CA"/>
        </w:rPr>
        <w:t xml:space="preserve"> l'anti-IgG sur des cellules recouvertes d'IgG, de C3 et des cellules non sensibilisées.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F90BF2" w:rsidRDefault="00F90BF2">
      <w:pPr>
        <w:ind w:left="720"/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Procédure</w:t>
      </w:r>
    </w:p>
    <w:p w:rsidR="007476DA" w:rsidRDefault="007476DA">
      <w:pPr>
        <w:rPr>
          <w:rFonts w:ascii="Arial" w:hAnsi="Arial"/>
          <w:sz w:val="24"/>
          <w:lang w:val="fr-CA"/>
        </w:rPr>
      </w:pPr>
    </w:p>
    <w:p w:rsidR="00FF1F4C" w:rsidRDefault="007476D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Vérifi</w:t>
      </w:r>
      <w:r w:rsidR="00F64F3A">
        <w:rPr>
          <w:rFonts w:ascii="Arial" w:hAnsi="Arial"/>
          <w:sz w:val="24"/>
          <w:lang w:val="fr-CA"/>
        </w:rPr>
        <w:t>cation de l’</w:t>
      </w:r>
      <w:r>
        <w:rPr>
          <w:rFonts w:ascii="Arial" w:hAnsi="Arial"/>
          <w:sz w:val="24"/>
          <w:lang w:val="fr-CA"/>
        </w:rPr>
        <w:t xml:space="preserve">acceptabilité des échantillons </w:t>
      </w:r>
    </w:p>
    <w:p w:rsidR="007476DA" w:rsidRDefault="007476DA" w:rsidP="00FF1F4C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Voir PA.002 - Acceptation ou rejet des échantillons.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FF1F4C" w:rsidRDefault="007476D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Vérifi</w:t>
      </w:r>
      <w:r w:rsidR="00F64F3A">
        <w:rPr>
          <w:rFonts w:ascii="Arial" w:hAnsi="Arial"/>
          <w:sz w:val="24"/>
          <w:lang w:val="fr-CA"/>
        </w:rPr>
        <w:t>cation d</w:t>
      </w:r>
      <w:r>
        <w:rPr>
          <w:rFonts w:ascii="Arial" w:hAnsi="Arial"/>
          <w:sz w:val="24"/>
          <w:lang w:val="fr-CA"/>
        </w:rPr>
        <w:t xml:space="preserve">es antécédents médicaux du patient </w:t>
      </w:r>
    </w:p>
    <w:p w:rsidR="007476DA" w:rsidRDefault="007476DA" w:rsidP="00FF1F4C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Voir PA.003 - Vérification des antécédents médicaux du patient.</w:t>
      </w:r>
    </w:p>
    <w:p w:rsidR="007476DA" w:rsidRDefault="007476DA">
      <w:pPr>
        <w:rPr>
          <w:rFonts w:ascii="Arial" w:hAnsi="Arial"/>
          <w:sz w:val="24"/>
          <w:lang w:val="fr-CA"/>
        </w:rPr>
      </w:pPr>
    </w:p>
    <w:p w:rsidR="00FF1F4C" w:rsidRDefault="00FF1F4C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Étiquet</w:t>
      </w:r>
      <w:r w:rsidR="00F64F3A">
        <w:rPr>
          <w:rFonts w:ascii="Arial" w:hAnsi="Arial"/>
          <w:sz w:val="24"/>
          <w:lang w:val="fr-CA"/>
        </w:rPr>
        <w:t>age d</w:t>
      </w:r>
      <w:r>
        <w:rPr>
          <w:rFonts w:ascii="Arial" w:hAnsi="Arial"/>
          <w:sz w:val="24"/>
          <w:lang w:val="fr-CA"/>
        </w:rPr>
        <w:t>es tubes</w:t>
      </w:r>
    </w:p>
    <w:p w:rsidR="007476DA" w:rsidRDefault="007476DA" w:rsidP="00FF1F4C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Étiqueter 2 tubes avec le nom du patient et le réactif correspondant. On peut abréger le nom du patient en utilisant les 3 premières lettres de son nom de famille :</w:t>
      </w:r>
    </w:p>
    <w:p w:rsidR="007476DA" w:rsidRDefault="007476DA" w:rsidP="00FF1F4C">
      <w:pPr>
        <w:numPr>
          <w:ilvl w:val="0"/>
          <w:numId w:val="3"/>
        </w:numPr>
        <w:tabs>
          <w:tab w:val="clear" w:pos="360"/>
          <w:tab w:val="num" w:pos="1800"/>
          <w:tab w:val="left" w:pos="2552"/>
        </w:tabs>
        <w:ind w:left="1800" w:firstLine="327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étiqueter le premier tube : poly (pour polyspécifique)</w:t>
      </w:r>
    </w:p>
    <w:p w:rsidR="007476DA" w:rsidRDefault="007476DA" w:rsidP="00FF1F4C">
      <w:pPr>
        <w:numPr>
          <w:ilvl w:val="0"/>
          <w:numId w:val="3"/>
        </w:numPr>
        <w:tabs>
          <w:tab w:val="clear" w:pos="360"/>
          <w:tab w:val="num" w:pos="1800"/>
          <w:tab w:val="left" w:pos="2552"/>
        </w:tabs>
        <w:ind w:left="1800" w:firstLine="327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étiqueter le deuxième tube : tem (pour témoin)</w:t>
      </w:r>
    </w:p>
    <w:p w:rsidR="007476DA" w:rsidRDefault="007476DA">
      <w:pPr>
        <w:ind w:left="1440"/>
        <w:rPr>
          <w:rFonts w:ascii="Arial" w:hAnsi="Arial"/>
          <w:sz w:val="24"/>
          <w:lang w:val="fr-CA"/>
        </w:rPr>
      </w:pPr>
    </w:p>
    <w:p w:rsidR="00FF1F4C" w:rsidRDefault="00FF1F4C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P</w:t>
      </w:r>
      <w:r w:rsidR="007476DA">
        <w:rPr>
          <w:rFonts w:ascii="Arial" w:hAnsi="Arial"/>
          <w:sz w:val="24"/>
          <w:lang w:val="fr-CA"/>
        </w:rPr>
        <w:t>répar</w:t>
      </w:r>
      <w:r w:rsidR="00F64F3A">
        <w:rPr>
          <w:rFonts w:ascii="Arial" w:hAnsi="Arial"/>
          <w:sz w:val="24"/>
          <w:lang w:val="fr-CA"/>
        </w:rPr>
        <w:t>ation d’</w:t>
      </w:r>
      <w:r w:rsidR="007476DA">
        <w:rPr>
          <w:rFonts w:ascii="Arial" w:hAnsi="Arial"/>
          <w:sz w:val="24"/>
          <w:lang w:val="fr-CA"/>
        </w:rPr>
        <w:t>une suspension cellulaire à 3 %</w:t>
      </w:r>
      <w:r w:rsidR="00930B5E">
        <w:rPr>
          <w:rFonts w:ascii="Arial" w:hAnsi="Arial"/>
          <w:sz w:val="24"/>
          <w:lang w:val="fr-CA"/>
        </w:rPr>
        <w:t xml:space="preserve"> </w:t>
      </w:r>
    </w:p>
    <w:p w:rsidR="007476DA" w:rsidRDefault="00FF1F4C" w:rsidP="00FF1F4C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Mélanger l’échantillon du patient et v</w:t>
      </w:r>
      <w:r w:rsidR="00930B5E">
        <w:rPr>
          <w:rFonts w:ascii="Arial" w:hAnsi="Arial"/>
          <w:sz w:val="24"/>
          <w:lang w:val="fr-CA"/>
        </w:rPr>
        <w:t>oir AR.0</w:t>
      </w:r>
      <w:r w:rsidR="00F64F3A">
        <w:rPr>
          <w:rFonts w:ascii="Arial" w:hAnsi="Arial"/>
          <w:sz w:val="24"/>
          <w:lang w:val="fr-CA"/>
        </w:rPr>
        <w:t>03</w:t>
      </w:r>
      <w:r w:rsidR="00970AF4">
        <w:rPr>
          <w:rFonts w:ascii="Arial" w:hAnsi="Arial"/>
          <w:sz w:val="24"/>
          <w:lang w:val="fr-CA"/>
        </w:rPr>
        <w:t xml:space="preserve"> – Préparation d’une suspension de globules rouges à 3 %.</w:t>
      </w:r>
    </w:p>
    <w:p w:rsidR="007476DA" w:rsidRDefault="007476DA" w:rsidP="00FF1F4C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Mettre 1 goutte de suspension cellulaire </w:t>
      </w:r>
      <w:r w:rsidR="00970AF4">
        <w:rPr>
          <w:rFonts w:ascii="Arial" w:hAnsi="Arial"/>
          <w:sz w:val="24"/>
          <w:lang w:val="fr-CA"/>
        </w:rPr>
        <w:t xml:space="preserve">du patient </w:t>
      </w:r>
      <w:r>
        <w:rPr>
          <w:rFonts w:ascii="Arial" w:hAnsi="Arial"/>
          <w:sz w:val="24"/>
          <w:lang w:val="fr-CA"/>
        </w:rPr>
        <w:t>dans chaque tube étiqueté</w:t>
      </w:r>
      <w:r w:rsidR="00FF1F4C">
        <w:rPr>
          <w:rFonts w:ascii="Arial" w:hAnsi="Arial"/>
          <w:sz w:val="24"/>
          <w:lang w:val="fr-CA"/>
        </w:rPr>
        <w:t xml:space="preserve"> en 6.3</w:t>
      </w:r>
      <w:r>
        <w:rPr>
          <w:rFonts w:ascii="Arial" w:hAnsi="Arial"/>
          <w:sz w:val="24"/>
          <w:lang w:val="fr-CA"/>
        </w:rPr>
        <w:t>.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E</w:t>
      </w:r>
      <w:r w:rsidR="00F64F3A">
        <w:rPr>
          <w:rFonts w:ascii="Arial" w:hAnsi="Arial"/>
          <w:sz w:val="24"/>
          <w:lang w:val="fr-CA"/>
        </w:rPr>
        <w:t xml:space="preserve">xécution du </w:t>
      </w:r>
      <w:r>
        <w:rPr>
          <w:rFonts w:ascii="Arial" w:hAnsi="Arial"/>
          <w:sz w:val="24"/>
          <w:lang w:val="fr-CA"/>
        </w:rPr>
        <w:t>test à l'antiglobuline</w:t>
      </w:r>
      <w:r w:rsidR="00970AF4">
        <w:rPr>
          <w:rFonts w:ascii="Arial" w:hAnsi="Arial"/>
          <w:sz w:val="24"/>
          <w:lang w:val="fr-CA"/>
        </w:rPr>
        <w:t xml:space="preserve"> </w:t>
      </w:r>
    </w:p>
    <w:p w:rsidR="007476DA" w:rsidRPr="00AD21A1" w:rsidRDefault="007476DA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Laver les tubes 4 fois</w:t>
      </w:r>
      <w:r w:rsidR="00AD21A1">
        <w:rPr>
          <w:rFonts w:ascii="Arial" w:hAnsi="Arial"/>
          <w:sz w:val="24"/>
          <w:lang w:val="fr-CA"/>
        </w:rPr>
        <w:t xml:space="preserve"> avec la solution saline normale</w:t>
      </w:r>
      <w:r>
        <w:rPr>
          <w:rFonts w:ascii="Arial" w:hAnsi="Arial"/>
          <w:sz w:val="24"/>
          <w:lang w:val="fr-CA"/>
        </w:rPr>
        <w:t>.</w:t>
      </w:r>
      <w:r w:rsidR="00970AF4">
        <w:rPr>
          <w:rFonts w:ascii="Arial" w:hAnsi="Arial"/>
          <w:sz w:val="24"/>
          <w:lang w:val="fr-CA"/>
        </w:rPr>
        <w:t xml:space="preserve"> </w:t>
      </w:r>
      <w:r w:rsidR="00970AF4" w:rsidRPr="00AD21A1">
        <w:rPr>
          <w:rFonts w:ascii="Arial" w:hAnsi="Arial"/>
          <w:sz w:val="24"/>
          <w:lang w:val="fr-CA"/>
        </w:rPr>
        <w:t xml:space="preserve">Voir </w:t>
      </w:r>
      <w:r w:rsidR="00FF1F4C">
        <w:rPr>
          <w:rFonts w:ascii="Arial" w:hAnsi="Arial"/>
          <w:sz w:val="24"/>
          <w:lang w:val="fr-CA"/>
        </w:rPr>
        <w:t>AR</w:t>
      </w:r>
      <w:r w:rsidR="00AD21A1" w:rsidRPr="00AD21A1">
        <w:rPr>
          <w:rFonts w:ascii="Arial" w:hAnsi="Arial"/>
          <w:sz w:val="24"/>
          <w:lang w:val="fr-CA"/>
        </w:rPr>
        <w:t>.</w:t>
      </w:r>
      <w:r w:rsidR="00970AF4" w:rsidRPr="00AD21A1">
        <w:rPr>
          <w:rFonts w:ascii="Arial" w:hAnsi="Arial"/>
          <w:sz w:val="24"/>
          <w:lang w:val="fr-CA"/>
        </w:rPr>
        <w:t>00</w:t>
      </w:r>
      <w:r w:rsidR="00FF1F4C">
        <w:rPr>
          <w:rFonts w:ascii="Arial" w:hAnsi="Arial"/>
          <w:sz w:val="24"/>
          <w:lang w:val="fr-CA"/>
        </w:rPr>
        <w:t>2</w:t>
      </w:r>
      <w:r w:rsidR="00970AF4" w:rsidRPr="00AD21A1">
        <w:rPr>
          <w:rFonts w:ascii="Arial" w:hAnsi="Arial"/>
          <w:sz w:val="24"/>
          <w:lang w:val="fr-CA"/>
        </w:rPr>
        <w:t xml:space="preserve"> – Lavage </w:t>
      </w:r>
      <w:r w:rsidR="00AD21A1" w:rsidRPr="00AD21A1">
        <w:rPr>
          <w:rFonts w:ascii="Arial" w:hAnsi="Arial"/>
          <w:sz w:val="24"/>
          <w:lang w:val="fr-CA"/>
        </w:rPr>
        <w:t>automatisé ou manuel</w:t>
      </w:r>
      <w:r w:rsidR="00970AF4" w:rsidRPr="00AD21A1">
        <w:rPr>
          <w:rFonts w:ascii="Arial" w:hAnsi="Arial"/>
          <w:sz w:val="24"/>
          <w:lang w:val="fr-CA"/>
        </w:rPr>
        <w:t xml:space="preserve"> des cellules.</w:t>
      </w:r>
    </w:p>
    <w:p w:rsidR="007476DA" w:rsidRDefault="007476DA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Ajouter 2 gouttes de réactif polyspécifique au tube « poly ».</w:t>
      </w:r>
    </w:p>
    <w:p w:rsidR="007476DA" w:rsidRDefault="007476DA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Ajouter 2 gouttes d'ABS à 6 % au tube « tem ».</w:t>
      </w:r>
    </w:p>
    <w:p w:rsidR="007476DA" w:rsidRDefault="007476DA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Mélanger les tubes </w:t>
      </w:r>
      <w:r w:rsidRPr="00970AF4">
        <w:rPr>
          <w:rFonts w:ascii="Arial" w:hAnsi="Arial"/>
          <w:bCs/>
          <w:sz w:val="24"/>
          <w:lang w:val="fr-CA"/>
        </w:rPr>
        <w:t>immédiatement</w:t>
      </w:r>
      <w:r>
        <w:rPr>
          <w:rFonts w:ascii="Arial" w:hAnsi="Arial"/>
          <w:sz w:val="24"/>
          <w:lang w:val="fr-CA"/>
        </w:rPr>
        <w:t xml:space="preserve"> et centrifuger à 3400 rpm pendant 10 à 15 secondes.</w:t>
      </w:r>
    </w:p>
    <w:p w:rsidR="007476DA" w:rsidRDefault="007476DA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970AF4">
        <w:rPr>
          <w:rFonts w:ascii="Arial" w:hAnsi="Arial"/>
          <w:bCs/>
          <w:sz w:val="24"/>
          <w:lang w:val="fr-CA"/>
        </w:rPr>
        <w:t>Immédiatement</w:t>
      </w:r>
      <w:r>
        <w:rPr>
          <w:rFonts w:ascii="Arial" w:hAnsi="Arial"/>
          <w:sz w:val="24"/>
          <w:lang w:val="fr-CA"/>
        </w:rPr>
        <w:t xml:space="preserve"> après la centrifugation, remettre les cellules en suspension et faire une lecture macroscopique. Si la lecture est négative, faire une lecture microscopique. Voir Remarque 8.2.</w:t>
      </w:r>
    </w:p>
    <w:p w:rsidR="008C37FC" w:rsidRPr="009E03F2" w:rsidRDefault="007476DA" w:rsidP="008C37FC">
      <w:pPr>
        <w:numPr>
          <w:ilvl w:val="2"/>
          <w:numId w:val="2"/>
        </w:numPr>
        <w:ind w:left="2160"/>
        <w:rPr>
          <w:rFonts w:ascii="Arial" w:hAnsi="Arial"/>
          <w:sz w:val="24"/>
          <w:lang w:val="fr-CA"/>
        </w:rPr>
      </w:pPr>
      <w:r w:rsidRPr="009E03F2">
        <w:rPr>
          <w:rFonts w:ascii="Arial" w:hAnsi="Arial"/>
          <w:sz w:val="24"/>
          <w:lang w:val="fr-CA"/>
        </w:rPr>
        <w:t xml:space="preserve">Interpréter et inscrire les résultats. Voir </w:t>
      </w:r>
      <w:r w:rsidR="00FF1F4C" w:rsidRPr="009E03F2">
        <w:rPr>
          <w:rFonts w:ascii="Arial" w:hAnsi="Arial"/>
          <w:sz w:val="24"/>
          <w:lang w:val="fr-CA"/>
        </w:rPr>
        <w:t>AR</w:t>
      </w:r>
      <w:r w:rsidRPr="009E03F2">
        <w:rPr>
          <w:rFonts w:ascii="Arial" w:hAnsi="Arial"/>
          <w:sz w:val="24"/>
          <w:lang w:val="fr-CA"/>
        </w:rPr>
        <w:t>.00</w:t>
      </w:r>
      <w:r w:rsidR="00FF1F4C" w:rsidRPr="009E03F2">
        <w:rPr>
          <w:rFonts w:ascii="Arial" w:hAnsi="Arial"/>
          <w:sz w:val="24"/>
          <w:lang w:val="fr-CA"/>
        </w:rPr>
        <w:t>1</w:t>
      </w:r>
      <w:r w:rsidRPr="009E03F2">
        <w:rPr>
          <w:rFonts w:ascii="Arial" w:hAnsi="Arial"/>
          <w:sz w:val="24"/>
          <w:lang w:val="fr-CA"/>
        </w:rPr>
        <w:t xml:space="preserve"> - Lecture et </w:t>
      </w:r>
      <w:r w:rsidR="00002D86" w:rsidRPr="009E03F2">
        <w:rPr>
          <w:rFonts w:ascii="Arial" w:hAnsi="Arial"/>
          <w:sz w:val="24"/>
          <w:lang w:val="fr-CA"/>
        </w:rPr>
        <w:t xml:space="preserve">inscription </w:t>
      </w:r>
      <w:r w:rsidRPr="009E03F2">
        <w:rPr>
          <w:rFonts w:ascii="Arial" w:hAnsi="Arial"/>
          <w:sz w:val="24"/>
          <w:lang w:val="fr-CA"/>
        </w:rPr>
        <w:t>des réactions d'hémagglutination.</w:t>
      </w:r>
      <w:r w:rsidR="00FF1F4C" w:rsidRPr="009E03F2">
        <w:rPr>
          <w:rFonts w:ascii="Arial" w:hAnsi="Arial"/>
          <w:sz w:val="24"/>
          <w:lang w:val="fr-CA"/>
        </w:rPr>
        <w:br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4295"/>
      </w:tblGrid>
      <w:tr w:rsidR="008C37FC" w:rsidRPr="009427D7" w:rsidTr="009427D7">
        <w:tc>
          <w:tcPr>
            <w:tcW w:w="2864" w:type="dxa"/>
            <w:shd w:val="clear" w:color="auto" w:fill="DDD9C3"/>
          </w:tcPr>
          <w:p w:rsidR="008C37FC" w:rsidRPr="009427D7" w:rsidRDefault="008C37FC" w:rsidP="009427D7">
            <w:pPr>
              <w:rPr>
                <w:rFonts w:ascii="Arial" w:hAnsi="Arial"/>
                <w:b/>
                <w:i/>
                <w:sz w:val="24"/>
                <w:lang w:val="fr-CA"/>
              </w:rPr>
            </w:pPr>
            <w:r w:rsidRPr="009427D7">
              <w:rPr>
                <w:rFonts w:ascii="Arial" w:hAnsi="Arial"/>
                <w:b/>
                <w:i/>
                <w:sz w:val="24"/>
                <w:lang w:val="fr-CA"/>
              </w:rPr>
              <w:t>Si…</w:t>
            </w:r>
          </w:p>
        </w:tc>
        <w:tc>
          <w:tcPr>
            <w:tcW w:w="4390" w:type="dxa"/>
            <w:shd w:val="clear" w:color="auto" w:fill="DDD9C3"/>
          </w:tcPr>
          <w:p w:rsidR="008C37FC" w:rsidRPr="009427D7" w:rsidRDefault="008C37FC" w:rsidP="008C37FC">
            <w:pPr>
              <w:rPr>
                <w:rFonts w:ascii="Arial" w:hAnsi="Arial"/>
                <w:i/>
                <w:sz w:val="24"/>
                <w:lang w:val="fr-CA"/>
              </w:rPr>
            </w:pPr>
            <w:r w:rsidRPr="009427D7">
              <w:rPr>
                <w:rFonts w:ascii="Arial" w:hAnsi="Arial"/>
                <w:i/>
                <w:sz w:val="24"/>
                <w:lang w:val="fr-CA"/>
              </w:rPr>
              <w:t>vous devez…</w:t>
            </w:r>
          </w:p>
        </w:tc>
      </w:tr>
      <w:tr w:rsidR="00FF1F4C" w:rsidRPr="009427D7" w:rsidTr="009427D7">
        <w:tc>
          <w:tcPr>
            <w:tcW w:w="2864" w:type="dxa"/>
          </w:tcPr>
          <w:p w:rsidR="00FF1F4C" w:rsidRPr="009427D7" w:rsidRDefault="008C37FC" w:rsidP="008C37FC">
            <w:pPr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le résultat dans le tube qui contient le réactif polyspécifique est négatif,</w:t>
            </w:r>
          </w:p>
        </w:tc>
        <w:tc>
          <w:tcPr>
            <w:tcW w:w="4390" w:type="dxa"/>
          </w:tcPr>
          <w:p w:rsidR="008C37FC" w:rsidRPr="009427D7" w:rsidRDefault="008C37FC" w:rsidP="009427D7">
            <w:pPr>
              <w:numPr>
                <w:ilvl w:val="0"/>
                <w:numId w:val="14"/>
              </w:numPr>
              <w:ind w:left="288" w:hanging="288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Incuber à température ambiante pendant 5 minutes. Voir Remarque 8.3. et passer à l’étape 6.5</w:t>
            </w:r>
            <w:r w:rsidR="00F64F3A" w:rsidRPr="009427D7">
              <w:rPr>
                <w:rFonts w:ascii="Arial" w:hAnsi="Arial"/>
                <w:sz w:val="24"/>
                <w:lang w:val="fr-CA"/>
              </w:rPr>
              <w:t>.</w:t>
            </w:r>
          </w:p>
          <w:p w:rsidR="00FF1F4C" w:rsidRPr="009427D7" w:rsidRDefault="00FF1F4C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FF1F4C" w:rsidRPr="009427D7" w:rsidTr="009427D7">
        <w:tc>
          <w:tcPr>
            <w:tcW w:w="2864" w:type="dxa"/>
          </w:tcPr>
          <w:p w:rsidR="00FF1F4C" w:rsidRPr="009427D7" w:rsidRDefault="008C37FC">
            <w:pPr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le résultat dans le tube qui contient le réactif polyspécifique est négatif,</w:t>
            </w:r>
          </w:p>
        </w:tc>
        <w:tc>
          <w:tcPr>
            <w:tcW w:w="4390" w:type="dxa"/>
          </w:tcPr>
          <w:p w:rsidR="008C37FC" w:rsidRPr="009427D7" w:rsidRDefault="008C37FC" w:rsidP="009427D7">
            <w:pPr>
              <w:numPr>
                <w:ilvl w:val="0"/>
                <w:numId w:val="4"/>
              </w:numPr>
              <w:tabs>
                <w:tab w:val="clear" w:pos="360"/>
                <w:tab w:val="num" w:pos="288"/>
              </w:tabs>
              <w:ind w:left="146" w:hanging="146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Interpréter et inscrire les résultats. Voir PA.006 - Lecture et inscription des réactions d'hémagglutination.</w:t>
            </w:r>
          </w:p>
          <w:p w:rsidR="00FF1F4C" w:rsidRPr="009427D7" w:rsidRDefault="00FF1F4C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7476DA" w:rsidRDefault="007476DA">
      <w:pPr>
        <w:ind w:left="2160"/>
        <w:rPr>
          <w:rFonts w:ascii="Arial" w:hAnsi="Arial"/>
          <w:sz w:val="24"/>
          <w:lang w:val="fr-CA"/>
        </w:rPr>
      </w:pPr>
    </w:p>
    <w:p w:rsidR="008C37FC" w:rsidRDefault="008C37FC" w:rsidP="008C37FC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Incub</w:t>
      </w:r>
      <w:r w:rsidR="00F64F3A">
        <w:rPr>
          <w:rFonts w:ascii="Arial" w:hAnsi="Arial"/>
          <w:sz w:val="24"/>
          <w:lang w:val="fr-CA"/>
        </w:rPr>
        <w:t>ation</w:t>
      </w:r>
      <w:r>
        <w:rPr>
          <w:rFonts w:ascii="Arial" w:hAnsi="Arial"/>
          <w:sz w:val="24"/>
          <w:lang w:val="fr-CA"/>
        </w:rPr>
        <w:t xml:space="preserve"> 5 minutes à température ambiante</w:t>
      </w:r>
    </w:p>
    <w:p w:rsidR="008C37FC" w:rsidRDefault="008C37FC" w:rsidP="008C37FC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Incuber 5 minutes à température ambiante tous les tubes contenant </w:t>
      </w:r>
      <w:r w:rsidRPr="008C37FC">
        <w:rPr>
          <w:rFonts w:ascii="Arial" w:hAnsi="Arial"/>
          <w:sz w:val="24"/>
          <w:lang w:val="fr-CA"/>
        </w:rPr>
        <w:t>le réactif polyspécifique</w:t>
      </w:r>
      <w:r>
        <w:rPr>
          <w:rFonts w:ascii="Arial" w:hAnsi="Arial"/>
          <w:sz w:val="24"/>
          <w:lang w:val="fr-CA"/>
        </w:rPr>
        <w:t xml:space="preserve"> où il n’y a pas d’agglutination</w:t>
      </w:r>
    </w:p>
    <w:p w:rsidR="008C37FC" w:rsidRDefault="007476DA" w:rsidP="008C37FC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8C37FC">
        <w:rPr>
          <w:rFonts w:ascii="Arial" w:hAnsi="Arial"/>
          <w:sz w:val="24"/>
          <w:lang w:val="fr-CA"/>
        </w:rPr>
        <w:t xml:space="preserve">Centrifuger, remettre en suspension, faire une lecture macroscopique et </w:t>
      </w:r>
      <w:r w:rsidR="008C37FC">
        <w:rPr>
          <w:rFonts w:ascii="Arial" w:hAnsi="Arial"/>
          <w:sz w:val="24"/>
          <w:lang w:val="fr-CA"/>
        </w:rPr>
        <w:t>microscopique.</w:t>
      </w:r>
    </w:p>
    <w:p w:rsidR="007476DA" w:rsidRPr="008C37FC" w:rsidRDefault="008C37FC" w:rsidP="008C37FC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Interpréter et </w:t>
      </w:r>
      <w:r w:rsidR="003C2B16" w:rsidRPr="008C37FC">
        <w:rPr>
          <w:rFonts w:ascii="Arial" w:hAnsi="Arial"/>
          <w:sz w:val="24"/>
          <w:lang w:val="fr-CA"/>
        </w:rPr>
        <w:t xml:space="preserve">inscrire </w:t>
      </w:r>
      <w:r w:rsidR="007476DA" w:rsidRPr="008C37FC">
        <w:rPr>
          <w:rFonts w:ascii="Arial" w:hAnsi="Arial"/>
          <w:sz w:val="24"/>
          <w:lang w:val="fr-CA"/>
        </w:rPr>
        <w:t>les résultats.</w:t>
      </w:r>
      <w:r>
        <w:rPr>
          <w:rFonts w:ascii="Arial" w:hAnsi="Arial"/>
          <w:sz w:val="24"/>
          <w:lang w:val="fr-CA"/>
        </w:rPr>
        <w:t xml:space="preserve"> Voir AR.001 – Lecture et inscription des réactions d’hémagglutination.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4048"/>
      </w:tblGrid>
      <w:tr w:rsidR="009E03F2" w:rsidRPr="009427D7" w:rsidTr="009427D7">
        <w:tc>
          <w:tcPr>
            <w:tcW w:w="3118" w:type="dxa"/>
            <w:shd w:val="clear" w:color="auto" w:fill="DDD9C3"/>
          </w:tcPr>
          <w:p w:rsidR="009E03F2" w:rsidRPr="009427D7" w:rsidRDefault="009E03F2" w:rsidP="009427D7">
            <w:pPr>
              <w:rPr>
                <w:rFonts w:ascii="Arial" w:hAnsi="Arial"/>
                <w:b/>
                <w:i/>
                <w:sz w:val="24"/>
                <w:lang w:val="fr-CA"/>
              </w:rPr>
            </w:pPr>
            <w:r w:rsidRPr="009427D7">
              <w:rPr>
                <w:rFonts w:ascii="Arial" w:hAnsi="Arial"/>
                <w:b/>
                <w:i/>
                <w:sz w:val="24"/>
                <w:lang w:val="fr-CA"/>
              </w:rPr>
              <w:t>Si…</w:t>
            </w:r>
          </w:p>
        </w:tc>
        <w:tc>
          <w:tcPr>
            <w:tcW w:w="4136" w:type="dxa"/>
            <w:shd w:val="clear" w:color="auto" w:fill="DDD9C3"/>
          </w:tcPr>
          <w:p w:rsidR="009E03F2" w:rsidRPr="009427D7" w:rsidRDefault="009E03F2" w:rsidP="009427D7">
            <w:pPr>
              <w:rPr>
                <w:rFonts w:ascii="Arial" w:hAnsi="Arial"/>
                <w:i/>
                <w:sz w:val="24"/>
                <w:lang w:val="fr-CA"/>
              </w:rPr>
            </w:pPr>
            <w:r w:rsidRPr="009427D7">
              <w:rPr>
                <w:rFonts w:ascii="Arial" w:hAnsi="Arial"/>
                <w:i/>
                <w:sz w:val="24"/>
                <w:lang w:val="fr-CA"/>
              </w:rPr>
              <w:t>vous devez…</w:t>
            </w:r>
          </w:p>
        </w:tc>
      </w:tr>
      <w:tr w:rsidR="009E03F2" w:rsidRPr="009427D7" w:rsidTr="009427D7">
        <w:tc>
          <w:tcPr>
            <w:tcW w:w="3118" w:type="dxa"/>
          </w:tcPr>
          <w:p w:rsidR="009E03F2" w:rsidRPr="009427D7" w:rsidRDefault="009E03F2" w:rsidP="009E03F2">
            <w:pPr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le tube contenant le réactif polyspécifique est négatif,</w:t>
            </w:r>
          </w:p>
        </w:tc>
        <w:tc>
          <w:tcPr>
            <w:tcW w:w="4136" w:type="dxa"/>
          </w:tcPr>
          <w:p w:rsidR="00BD0B2C" w:rsidRPr="009427D7" w:rsidRDefault="009E03F2" w:rsidP="009427D7">
            <w:pPr>
              <w:numPr>
                <w:ilvl w:val="0"/>
                <w:numId w:val="14"/>
              </w:numPr>
              <w:ind w:left="288" w:hanging="288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Ajouter 1 goutte de cellules</w:t>
            </w:r>
            <w:r w:rsidR="00BD0B2C" w:rsidRPr="009427D7">
              <w:rPr>
                <w:rFonts w:ascii="Arial" w:hAnsi="Arial"/>
                <w:sz w:val="24"/>
                <w:lang w:val="fr-CA"/>
              </w:rPr>
              <w:t xml:space="preserve"> recouvertes d’IgG. </w:t>
            </w:r>
          </w:p>
          <w:p w:rsidR="009E03F2" w:rsidRPr="009427D7" w:rsidRDefault="00BD0B2C" w:rsidP="009427D7">
            <w:pPr>
              <w:numPr>
                <w:ilvl w:val="0"/>
                <w:numId w:val="14"/>
              </w:numPr>
              <w:ind w:left="288" w:hanging="288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Centrifuger, remettre en suspension, faire une lecture macroscopique et inscrire les résultats.</w:t>
            </w:r>
          </w:p>
          <w:p w:rsidR="009E03F2" w:rsidRPr="009427D7" w:rsidRDefault="009E03F2" w:rsidP="009427D7">
            <w:pPr>
              <w:numPr>
                <w:ilvl w:val="0"/>
                <w:numId w:val="14"/>
              </w:numPr>
              <w:ind w:left="288" w:hanging="288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En l'absence d'agglutination (à + 2), il faut répéter le test.</w:t>
            </w:r>
          </w:p>
          <w:p w:rsidR="009E03F2" w:rsidRPr="009427D7" w:rsidRDefault="009E03F2" w:rsidP="009427D7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9E03F2" w:rsidRPr="009427D7" w:rsidTr="009427D7">
        <w:tc>
          <w:tcPr>
            <w:tcW w:w="3118" w:type="dxa"/>
          </w:tcPr>
          <w:p w:rsidR="009E03F2" w:rsidRPr="009427D7" w:rsidRDefault="009E03F2" w:rsidP="009E03F2">
            <w:pPr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le résultat avec le réactif polyspécifique est négatif,</w:t>
            </w:r>
          </w:p>
        </w:tc>
        <w:tc>
          <w:tcPr>
            <w:tcW w:w="4136" w:type="dxa"/>
          </w:tcPr>
          <w:p w:rsidR="009E03F2" w:rsidRPr="009427D7" w:rsidRDefault="009E03F2" w:rsidP="009427D7">
            <w:pPr>
              <w:numPr>
                <w:ilvl w:val="0"/>
                <w:numId w:val="14"/>
              </w:numPr>
              <w:tabs>
                <w:tab w:val="num" w:pos="146"/>
              </w:tabs>
              <w:ind w:left="288" w:hanging="288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ab/>
            </w:r>
            <w:r w:rsidR="000A109C" w:rsidRPr="009427D7">
              <w:rPr>
                <w:rFonts w:ascii="Arial" w:hAnsi="Arial"/>
                <w:sz w:val="24"/>
                <w:lang w:val="fr-CA"/>
              </w:rPr>
              <w:t>I</w:t>
            </w:r>
            <w:r w:rsidR="00BD0B2C" w:rsidRPr="009427D7">
              <w:rPr>
                <w:rFonts w:ascii="Arial" w:hAnsi="Arial"/>
                <w:sz w:val="24"/>
                <w:lang w:val="fr-CA"/>
              </w:rPr>
              <w:t>nterpréter et inscrire les résultats. (voir 7.1 Documentation)</w:t>
            </w:r>
          </w:p>
        </w:tc>
      </w:tr>
      <w:tr w:rsidR="009E03F2" w:rsidRPr="009427D7" w:rsidTr="009427D7">
        <w:tc>
          <w:tcPr>
            <w:tcW w:w="3118" w:type="dxa"/>
          </w:tcPr>
          <w:p w:rsidR="009E03F2" w:rsidRPr="009427D7" w:rsidRDefault="009E03F2" w:rsidP="00BD0B2C">
            <w:pPr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 xml:space="preserve">Si le résultat avec le réactif polyspécifique est positif et que le résultat avec le témoin est négatif lors de l’analyse d’un échantillon </w:t>
            </w:r>
            <w:r w:rsidR="00BD0B2C" w:rsidRPr="009427D7">
              <w:rPr>
                <w:rFonts w:ascii="Arial" w:hAnsi="Arial"/>
                <w:sz w:val="24"/>
                <w:lang w:val="fr-CA"/>
              </w:rPr>
              <w:t>de</w:t>
            </w:r>
            <w:r w:rsidRPr="009427D7">
              <w:rPr>
                <w:rFonts w:ascii="Arial" w:hAnsi="Arial"/>
                <w:sz w:val="24"/>
                <w:lang w:val="fr-CA"/>
              </w:rPr>
              <w:t xml:space="preserve"> nouveau-né,</w:t>
            </w:r>
          </w:p>
        </w:tc>
        <w:tc>
          <w:tcPr>
            <w:tcW w:w="4136" w:type="dxa"/>
          </w:tcPr>
          <w:p w:rsidR="00BD0B2C" w:rsidRPr="009427D7" w:rsidRDefault="009E03F2" w:rsidP="009427D7">
            <w:pPr>
              <w:numPr>
                <w:ilvl w:val="0"/>
                <w:numId w:val="14"/>
              </w:numPr>
              <w:tabs>
                <w:tab w:val="num" w:pos="146"/>
              </w:tabs>
              <w:ind w:left="288" w:hanging="288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ab/>
            </w:r>
            <w:r w:rsidR="00BD0B2C" w:rsidRPr="009427D7">
              <w:rPr>
                <w:rFonts w:ascii="Arial" w:hAnsi="Arial"/>
                <w:sz w:val="24"/>
                <w:lang w:val="fr-CA"/>
              </w:rPr>
              <w:t>Voir Remarque 8.4.</w:t>
            </w:r>
          </w:p>
          <w:p w:rsidR="009E03F2" w:rsidRPr="009427D7" w:rsidRDefault="00BD0B2C" w:rsidP="009427D7">
            <w:pPr>
              <w:numPr>
                <w:ilvl w:val="0"/>
                <w:numId w:val="14"/>
              </w:numPr>
              <w:tabs>
                <w:tab w:val="num" w:pos="146"/>
              </w:tabs>
              <w:ind w:left="288" w:hanging="288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ab/>
            </w:r>
            <w:r w:rsidR="009E03F2" w:rsidRPr="009427D7">
              <w:rPr>
                <w:rFonts w:ascii="Arial" w:hAnsi="Arial"/>
                <w:sz w:val="24"/>
                <w:lang w:val="fr-CA"/>
              </w:rPr>
              <w:t xml:space="preserve">Interpréter et inscrire les résultats. (voir 7.1 </w:t>
            </w:r>
            <w:r w:rsidRPr="009427D7">
              <w:rPr>
                <w:rFonts w:ascii="Arial" w:hAnsi="Arial"/>
                <w:sz w:val="24"/>
                <w:lang w:val="fr-CA"/>
              </w:rPr>
              <w:t>Documentation</w:t>
            </w:r>
            <w:r w:rsidR="009E03F2" w:rsidRPr="009427D7">
              <w:rPr>
                <w:rFonts w:ascii="Arial" w:hAnsi="Arial"/>
                <w:sz w:val="24"/>
                <w:lang w:val="fr-CA"/>
              </w:rPr>
              <w:t>)</w:t>
            </w:r>
          </w:p>
        </w:tc>
      </w:tr>
      <w:tr w:rsidR="009E03F2" w:rsidRPr="009427D7" w:rsidTr="009427D7">
        <w:tc>
          <w:tcPr>
            <w:tcW w:w="3118" w:type="dxa"/>
          </w:tcPr>
          <w:p w:rsidR="009E03F2" w:rsidRPr="009427D7" w:rsidRDefault="009E03F2" w:rsidP="00BD0B2C">
            <w:pPr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 xml:space="preserve">Si le résultat avec le réactif polyspécifique est positif, que le résultat avec le témoin est négatif et qu’il ne s’agit pas d’un échantillon </w:t>
            </w:r>
            <w:r w:rsidR="00BD0B2C" w:rsidRPr="009427D7">
              <w:rPr>
                <w:rFonts w:ascii="Arial" w:hAnsi="Arial"/>
                <w:sz w:val="24"/>
                <w:lang w:val="fr-CA"/>
              </w:rPr>
              <w:t>de</w:t>
            </w:r>
            <w:r w:rsidRPr="009427D7">
              <w:rPr>
                <w:rFonts w:ascii="Arial" w:hAnsi="Arial"/>
                <w:sz w:val="24"/>
                <w:lang w:val="fr-CA"/>
              </w:rPr>
              <w:t xml:space="preserve"> nouveau-né,</w:t>
            </w:r>
          </w:p>
        </w:tc>
        <w:tc>
          <w:tcPr>
            <w:tcW w:w="4136" w:type="dxa"/>
          </w:tcPr>
          <w:p w:rsidR="009E03F2" w:rsidRPr="009427D7" w:rsidRDefault="000A109C" w:rsidP="009427D7">
            <w:pPr>
              <w:numPr>
                <w:ilvl w:val="0"/>
                <w:numId w:val="4"/>
              </w:numPr>
              <w:tabs>
                <w:tab w:val="clear" w:pos="360"/>
                <w:tab w:val="num" w:pos="288"/>
              </w:tabs>
              <w:ind w:left="146" w:hanging="146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É</w:t>
            </w:r>
            <w:r w:rsidR="00BD0B2C" w:rsidRPr="009427D7">
              <w:rPr>
                <w:rFonts w:ascii="Arial" w:hAnsi="Arial"/>
                <w:sz w:val="24"/>
                <w:lang w:val="fr-CA"/>
              </w:rPr>
              <w:t xml:space="preserve">tiqueter 2 tubes au nom du </w:t>
            </w:r>
            <w:r w:rsidR="00BD0B2C" w:rsidRPr="009427D7">
              <w:rPr>
                <w:rFonts w:ascii="Arial" w:hAnsi="Arial"/>
                <w:sz w:val="24"/>
                <w:lang w:val="fr-CA"/>
              </w:rPr>
              <w:tab/>
              <w:t xml:space="preserve">patient (l’un avec IgG et l’autre </w:t>
            </w:r>
            <w:r w:rsidRPr="009427D7">
              <w:rPr>
                <w:rFonts w:ascii="Arial" w:hAnsi="Arial"/>
                <w:sz w:val="24"/>
                <w:lang w:val="fr-CA"/>
              </w:rPr>
              <w:tab/>
            </w:r>
            <w:r w:rsidR="00BD0B2C" w:rsidRPr="009427D7">
              <w:rPr>
                <w:rFonts w:ascii="Arial" w:hAnsi="Arial"/>
                <w:sz w:val="24"/>
                <w:lang w:val="fr-CA"/>
              </w:rPr>
              <w:t>C3)</w:t>
            </w:r>
            <w:r w:rsidRPr="009427D7">
              <w:rPr>
                <w:rFonts w:ascii="Arial" w:hAnsi="Arial"/>
                <w:sz w:val="24"/>
                <w:lang w:val="fr-CA"/>
              </w:rPr>
              <w:t>.</w:t>
            </w:r>
          </w:p>
          <w:p w:rsidR="00BD0B2C" w:rsidRPr="009427D7" w:rsidRDefault="000A109C" w:rsidP="009427D7">
            <w:pPr>
              <w:numPr>
                <w:ilvl w:val="0"/>
                <w:numId w:val="4"/>
              </w:numPr>
              <w:tabs>
                <w:tab w:val="clear" w:pos="360"/>
                <w:tab w:val="num" w:pos="288"/>
              </w:tabs>
              <w:ind w:left="318" w:hanging="318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A</w:t>
            </w:r>
            <w:r w:rsidR="00BD0B2C" w:rsidRPr="009427D7">
              <w:rPr>
                <w:rFonts w:ascii="Arial" w:hAnsi="Arial"/>
                <w:sz w:val="24"/>
                <w:lang w:val="fr-CA"/>
              </w:rPr>
              <w:t>jouter 1 goutte de suspension cellulaire du patient à 3 % à chaque tube, puis reprendre à 6.6</w:t>
            </w:r>
            <w:r w:rsidRPr="009427D7">
              <w:rPr>
                <w:rFonts w:ascii="Arial" w:hAnsi="Arial"/>
                <w:sz w:val="24"/>
                <w:lang w:val="fr-CA"/>
              </w:rPr>
              <w:t>.</w:t>
            </w:r>
          </w:p>
        </w:tc>
      </w:tr>
    </w:tbl>
    <w:p w:rsidR="009E03F2" w:rsidRDefault="009E03F2">
      <w:pPr>
        <w:ind w:left="720"/>
        <w:rPr>
          <w:rFonts w:ascii="Arial" w:hAnsi="Arial"/>
          <w:sz w:val="24"/>
          <w:lang w:val="fr-CA"/>
        </w:rPr>
      </w:pPr>
    </w:p>
    <w:p w:rsidR="007476DA" w:rsidRDefault="00BD0B2C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E</w:t>
      </w:r>
      <w:r w:rsidR="00F64F3A">
        <w:rPr>
          <w:rFonts w:ascii="Arial" w:hAnsi="Arial"/>
          <w:sz w:val="24"/>
          <w:lang w:val="fr-CA"/>
        </w:rPr>
        <w:t>xécution du</w:t>
      </w:r>
      <w:r>
        <w:rPr>
          <w:rFonts w:ascii="Arial" w:hAnsi="Arial"/>
          <w:sz w:val="24"/>
          <w:lang w:val="fr-CA"/>
        </w:rPr>
        <w:t xml:space="preserve"> test à l'antiglobuline </w:t>
      </w:r>
      <w:r w:rsidR="00AD21A1">
        <w:rPr>
          <w:rFonts w:ascii="Arial" w:hAnsi="Arial"/>
          <w:sz w:val="24"/>
          <w:lang w:val="fr-CA"/>
        </w:rPr>
        <w:t>avec de l’anti-IgG monospécifique et de l’anti-C3</w:t>
      </w:r>
      <w:r>
        <w:rPr>
          <w:rFonts w:ascii="Arial" w:hAnsi="Arial"/>
          <w:sz w:val="24"/>
          <w:lang w:val="fr-CA"/>
        </w:rPr>
        <w:t>.</w:t>
      </w:r>
      <w:r w:rsidR="007476DA">
        <w:rPr>
          <w:rFonts w:ascii="Arial" w:hAnsi="Arial"/>
          <w:sz w:val="24"/>
          <w:lang w:val="fr-CA"/>
        </w:rPr>
        <w:br/>
      </w:r>
    </w:p>
    <w:p w:rsidR="007476DA" w:rsidRDefault="007476DA" w:rsidP="00D53846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Laver les tubes 4 fois</w:t>
      </w:r>
      <w:r w:rsidR="000F3435">
        <w:rPr>
          <w:rFonts w:ascii="Arial" w:hAnsi="Arial"/>
          <w:sz w:val="24"/>
          <w:lang w:val="fr-CA"/>
        </w:rPr>
        <w:t xml:space="preserve"> avec </w:t>
      </w:r>
      <w:r w:rsidR="009904C0">
        <w:rPr>
          <w:rFonts w:ascii="Arial" w:hAnsi="Arial"/>
          <w:sz w:val="24"/>
          <w:lang w:val="fr-CA"/>
        </w:rPr>
        <w:t>de la solution saline normale</w:t>
      </w:r>
      <w:r>
        <w:rPr>
          <w:rFonts w:ascii="Arial" w:hAnsi="Arial"/>
          <w:sz w:val="24"/>
          <w:lang w:val="fr-CA"/>
        </w:rPr>
        <w:t>.</w:t>
      </w:r>
    </w:p>
    <w:p w:rsidR="007476DA" w:rsidRDefault="007476DA" w:rsidP="00D53846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Ajouter 2 gouttes d'anti-IgG au tube « </w:t>
      </w:r>
      <w:r w:rsidR="000F3435">
        <w:rPr>
          <w:rFonts w:ascii="Arial" w:hAnsi="Arial"/>
          <w:sz w:val="24"/>
          <w:lang w:val="fr-CA"/>
        </w:rPr>
        <w:t>I</w:t>
      </w:r>
      <w:r>
        <w:rPr>
          <w:rFonts w:ascii="Arial" w:hAnsi="Arial"/>
          <w:sz w:val="24"/>
          <w:lang w:val="fr-CA"/>
        </w:rPr>
        <w:t>gG » et mélanger.</w:t>
      </w:r>
    </w:p>
    <w:p w:rsidR="007476DA" w:rsidRDefault="007476DA" w:rsidP="00D53846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Ajouter 2 gouttes d'anti-C3 au tube « C3 » et mélanger.</w:t>
      </w:r>
    </w:p>
    <w:p w:rsidR="007476DA" w:rsidRDefault="007476DA" w:rsidP="00D53846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Centrifuger </w:t>
      </w:r>
      <w:r w:rsidRPr="000F3435">
        <w:rPr>
          <w:rFonts w:ascii="Arial" w:hAnsi="Arial"/>
          <w:sz w:val="24"/>
          <w:lang w:val="fr-CA"/>
        </w:rPr>
        <w:t>immédiatement</w:t>
      </w:r>
      <w:r>
        <w:rPr>
          <w:rFonts w:ascii="Arial" w:hAnsi="Arial"/>
          <w:sz w:val="24"/>
          <w:lang w:val="fr-CA"/>
        </w:rPr>
        <w:t xml:space="preserve"> à 3400 rpm pendant 10 à 15 secondes; remettre en suspension; faire une lecture macroscopique et, si c'est négatif, faire une lecture microscopique.</w:t>
      </w:r>
    </w:p>
    <w:p w:rsidR="007476DA" w:rsidRDefault="00D53846" w:rsidP="00D53846">
      <w:pPr>
        <w:ind w:left="144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6.7.5</w:t>
      </w:r>
      <w:r>
        <w:rPr>
          <w:rFonts w:ascii="Arial" w:hAnsi="Arial"/>
          <w:sz w:val="24"/>
          <w:lang w:val="fr-CA"/>
        </w:rPr>
        <w:tab/>
      </w:r>
      <w:r w:rsidR="007476DA">
        <w:rPr>
          <w:rFonts w:ascii="Arial" w:hAnsi="Arial"/>
          <w:sz w:val="24"/>
          <w:lang w:val="fr-CA"/>
        </w:rPr>
        <w:t xml:space="preserve">Interpréter et inscrire les résultats pour le tube contenant </w:t>
      </w:r>
      <w:r w:rsidR="000A109C">
        <w:rPr>
          <w:rFonts w:ascii="Arial" w:hAnsi="Arial"/>
          <w:sz w:val="24"/>
          <w:lang w:val="fr-CA"/>
        </w:rPr>
        <w:tab/>
      </w:r>
      <w:r w:rsidR="007476DA">
        <w:rPr>
          <w:rFonts w:ascii="Arial" w:hAnsi="Arial"/>
          <w:sz w:val="24"/>
          <w:lang w:val="fr-CA"/>
        </w:rPr>
        <w:t>l</w:t>
      </w:r>
      <w:r w:rsidR="000A109C">
        <w:rPr>
          <w:rFonts w:ascii="Arial" w:hAnsi="Arial"/>
          <w:sz w:val="24"/>
          <w:lang w:val="fr-CA"/>
        </w:rPr>
        <w:t>’</w:t>
      </w:r>
      <w:r w:rsidR="007476DA">
        <w:rPr>
          <w:rFonts w:ascii="Arial" w:hAnsi="Arial"/>
          <w:sz w:val="24"/>
          <w:lang w:val="fr-CA"/>
        </w:rPr>
        <w:t xml:space="preserve">anti-IgG. Voir </w:t>
      </w:r>
      <w:r>
        <w:rPr>
          <w:rFonts w:ascii="Arial" w:hAnsi="Arial"/>
          <w:sz w:val="24"/>
          <w:lang w:val="fr-CA"/>
        </w:rPr>
        <w:t>AR</w:t>
      </w:r>
      <w:r w:rsidR="007476DA">
        <w:rPr>
          <w:rFonts w:ascii="Arial" w:hAnsi="Arial"/>
          <w:sz w:val="24"/>
          <w:lang w:val="fr-CA"/>
        </w:rPr>
        <w:t>.00</w:t>
      </w:r>
      <w:r>
        <w:rPr>
          <w:rFonts w:ascii="Arial" w:hAnsi="Arial"/>
          <w:sz w:val="24"/>
          <w:lang w:val="fr-CA"/>
        </w:rPr>
        <w:t>1</w:t>
      </w:r>
      <w:r w:rsidR="007476DA">
        <w:rPr>
          <w:rFonts w:ascii="Arial" w:hAnsi="Arial"/>
          <w:sz w:val="24"/>
          <w:lang w:val="fr-CA"/>
        </w:rPr>
        <w:t xml:space="preserve"> - Lecture et </w:t>
      </w:r>
      <w:r w:rsidR="00F60CFA">
        <w:rPr>
          <w:rFonts w:ascii="Arial" w:hAnsi="Arial"/>
          <w:sz w:val="24"/>
          <w:lang w:val="fr-CA"/>
        </w:rPr>
        <w:t>inscription</w:t>
      </w:r>
      <w:r w:rsidR="007476DA">
        <w:rPr>
          <w:rFonts w:ascii="Arial" w:hAnsi="Arial"/>
          <w:sz w:val="24"/>
          <w:lang w:val="fr-CA"/>
        </w:rPr>
        <w:t xml:space="preserve"> des réactions </w:t>
      </w:r>
      <w:r>
        <w:rPr>
          <w:rFonts w:ascii="Arial" w:hAnsi="Arial"/>
          <w:sz w:val="24"/>
          <w:lang w:val="fr-CA"/>
        </w:rPr>
        <w:tab/>
      </w:r>
      <w:r w:rsidR="007476DA">
        <w:rPr>
          <w:rFonts w:ascii="Arial" w:hAnsi="Arial"/>
          <w:sz w:val="24"/>
          <w:lang w:val="fr-CA"/>
        </w:rPr>
        <w:t>d'hémagglutination.</w:t>
      </w:r>
      <w:r w:rsidR="00F64F3A">
        <w:rPr>
          <w:rFonts w:ascii="Arial" w:hAnsi="Arial"/>
          <w:sz w:val="24"/>
          <w:lang w:val="fr-CA"/>
        </w:rPr>
        <w:br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4308"/>
      </w:tblGrid>
      <w:tr w:rsidR="00D53846" w:rsidRPr="009427D7" w:rsidTr="009427D7">
        <w:tc>
          <w:tcPr>
            <w:tcW w:w="2864" w:type="dxa"/>
            <w:shd w:val="clear" w:color="auto" w:fill="DDD9C3"/>
          </w:tcPr>
          <w:p w:rsidR="00D53846" w:rsidRPr="009427D7" w:rsidRDefault="00D53846" w:rsidP="009427D7">
            <w:pPr>
              <w:rPr>
                <w:rFonts w:ascii="Arial" w:hAnsi="Arial"/>
                <w:b/>
                <w:i/>
                <w:sz w:val="24"/>
                <w:lang w:val="fr-CA"/>
              </w:rPr>
            </w:pPr>
            <w:r w:rsidRPr="009427D7">
              <w:rPr>
                <w:rFonts w:ascii="Arial" w:hAnsi="Arial"/>
                <w:b/>
                <w:i/>
                <w:sz w:val="24"/>
                <w:lang w:val="fr-CA"/>
              </w:rPr>
              <w:t>Si…</w:t>
            </w:r>
          </w:p>
        </w:tc>
        <w:tc>
          <w:tcPr>
            <w:tcW w:w="4390" w:type="dxa"/>
            <w:shd w:val="clear" w:color="auto" w:fill="DDD9C3"/>
          </w:tcPr>
          <w:p w:rsidR="00D53846" w:rsidRPr="009427D7" w:rsidRDefault="00D53846" w:rsidP="009427D7">
            <w:pPr>
              <w:rPr>
                <w:rFonts w:ascii="Arial" w:hAnsi="Arial"/>
                <w:i/>
                <w:sz w:val="24"/>
                <w:lang w:val="fr-CA"/>
              </w:rPr>
            </w:pPr>
            <w:r w:rsidRPr="009427D7">
              <w:rPr>
                <w:rFonts w:ascii="Arial" w:hAnsi="Arial"/>
                <w:i/>
                <w:sz w:val="24"/>
                <w:lang w:val="fr-CA"/>
              </w:rPr>
              <w:t>vous devez…</w:t>
            </w:r>
          </w:p>
        </w:tc>
      </w:tr>
      <w:tr w:rsidR="00D53846" w:rsidRPr="009427D7" w:rsidTr="009427D7">
        <w:tc>
          <w:tcPr>
            <w:tcW w:w="2864" w:type="dxa"/>
          </w:tcPr>
          <w:p w:rsidR="00D53846" w:rsidRPr="009427D7" w:rsidRDefault="00D53846" w:rsidP="00D53846">
            <w:pPr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le résultat dans le tube qui contient le réactif anti-IgG est négatif,</w:t>
            </w:r>
          </w:p>
        </w:tc>
        <w:tc>
          <w:tcPr>
            <w:tcW w:w="4390" w:type="dxa"/>
          </w:tcPr>
          <w:p w:rsidR="00F64F3A" w:rsidRPr="009427D7" w:rsidRDefault="00D53846" w:rsidP="009427D7">
            <w:pPr>
              <w:numPr>
                <w:ilvl w:val="0"/>
                <w:numId w:val="14"/>
              </w:numPr>
              <w:ind w:left="288" w:hanging="288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ajouter 1 goutte de cellules recouvertes d'IgG au tube « IgG »; centrifuger, remettre en suspension, faire une lecture macroscopique et inscrire les résultats.</w:t>
            </w:r>
          </w:p>
          <w:p w:rsidR="00D53846" w:rsidRPr="009427D7" w:rsidRDefault="00D53846" w:rsidP="009427D7">
            <w:pPr>
              <w:ind w:left="288"/>
              <w:rPr>
                <w:rFonts w:ascii="Arial" w:hAnsi="Arial"/>
                <w:i/>
                <w:sz w:val="24"/>
                <w:lang w:val="fr-CA"/>
              </w:rPr>
            </w:pPr>
            <w:r w:rsidRPr="009427D7">
              <w:rPr>
                <w:rFonts w:ascii="Arial" w:hAnsi="Arial"/>
                <w:i/>
                <w:sz w:val="24"/>
                <w:lang w:val="fr-CA"/>
              </w:rPr>
              <w:t>En l'absence d'agglutination à + 2, il faut répéter le test.</w:t>
            </w:r>
          </w:p>
        </w:tc>
      </w:tr>
      <w:tr w:rsidR="00D53846" w:rsidRPr="009427D7" w:rsidTr="009427D7">
        <w:tc>
          <w:tcPr>
            <w:tcW w:w="2864" w:type="dxa"/>
          </w:tcPr>
          <w:p w:rsidR="00D53846" w:rsidRPr="009427D7" w:rsidRDefault="00D53846" w:rsidP="00D53846">
            <w:pPr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le résultat dans le tube qui contient le réactif anti-IgG est positif,</w:t>
            </w:r>
          </w:p>
        </w:tc>
        <w:tc>
          <w:tcPr>
            <w:tcW w:w="4390" w:type="dxa"/>
          </w:tcPr>
          <w:p w:rsidR="00D53846" w:rsidRPr="009427D7" w:rsidRDefault="00D53846" w:rsidP="009427D7">
            <w:pPr>
              <w:numPr>
                <w:ilvl w:val="0"/>
                <w:numId w:val="4"/>
              </w:numPr>
              <w:tabs>
                <w:tab w:val="clear" w:pos="360"/>
                <w:tab w:val="num" w:pos="288"/>
              </w:tabs>
              <w:ind w:left="288" w:hanging="283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interpréter et inscrire les résultats. Voir 7.1 - Documentation.</w:t>
            </w:r>
          </w:p>
          <w:p w:rsidR="00D53846" w:rsidRPr="009427D7" w:rsidRDefault="00D53846" w:rsidP="009427D7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D53846" w:rsidRDefault="00D53846" w:rsidP="00D53846">
      <w:pPr>
        <w:ind w:left="1440"/>
        <w:rPr>
          <w:rFonts w:ascii="Arial" w:hAnsi="Arial"/>
          <w:sz w:val="24"/>
          <w:lang w:val="fr-CA"/>
        </w:rPr>
      </w:pPr>
    </w:p>
    <w:p w:rsidR="000A109C" w:rsidRDefault="000A109C" w:rsidP="00D53846">
      <w:pPr>
        <w:ind w:left="144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6.7.6 </w:t>
      </w:r>
      <w:r>
        <w:rPr>
          <w:rFonts w:ascii="Arial" w:hAnsi="Arial"/>
          <w:sz w:val="24"/>
          <w:lang w:val="fr-CA"/>
        </w:rPr>
        <w:tab/>
        <w:t xml:space="preserve">Interpréter et inscrire les résultats pour le tube contenant </w:t>
      </w:r>
      <w:r>
        <w:rPr>
          <w:rFonts w:ascii="Arial" w:hAnsi="Arial"/>
          <w:sz w:val="24"/>
          <w:lang w:val="fr-CA"/>
        </w:rPr>
        <w:tab/>
        <w:t>l’anti-C3.</w:t>
      </w:r>
    </w:p>
    <w:p w:rsidR="00F64F3A" w:rsidRDefault="00F64F3A" w:rsidP="00D53846">
      <w:pPr>
        <w:ind w:left="1440"/>
        <w:rPr>
          <w:rFonts w:ascii="Arial" w:hAnsi="Arial"/>
          <w:sz w:val="24"/>
          <w:lang w:val="fr-CA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4310"/>
      </w:tblGrid>
      <w:tr w:rsidR="000A109C" w:rsidRPr="009427D7" w:rsidTr="009427D7">
        <w:tc>
          <w:tcPr>
            <w:tcW w:w="2864" w:type="dxa"/>
            <w:shd w:val="clear" w:color="auto" w:fill="DDD9C3"/>
          </w:tcPr>
          <w:p w:rsidR="000A109C" w:rsidRPr="009427D7" w:rsidRDefault="000A109C" w:rsidP="009427D7">
            <w:pPr>
              <w:rPr>
                <w:rFonts w:ascii="Arial" w:hAnsi="Arial"/>
                <w:b/>
                <w:i/>
                <w:sz w:val="24"/>
                <w:lang w:val="fr-CA"/>
              </w:rPr>
            </w:pPr>
            <w:r w:rsidRPr="009427D7">
              <w:rPr>
                <w:rFonts w:ascii="Arial" w:hAnsi="Arial"/>
                <w:b/>
                <w:i/>
                <w:sz w:val="24"/>
                <w:lang w:val="fr-CA"/>
              </w:rPr>
              <w:t>Si…</w:t>
            </w:r>
          </w:p>
        </w:tc>
        <w:tc>
          <w:tcPr>
            <w:tcW w:w="4390" w:type="dxa"/>
            <w:shd w:val="clear" w:color="auto" w:fill="DDD9C3"/>
          </w:tcPr>
          <w:p w:rsidR="000A109C" w:rsidRPr="009427D7" w:rsidRDefault="000A109C" w:rsidP="009427D7">
            <w:pPr>
              <w:rPr>
                <w:rFonts w:ascii="Arial" w:hAnsi="Arial"/>
                <w:i/>
                <w:sz w:val="24"/>
                <w:lang w:val="fr-CA"/>
              </w:rPr>
            </w:pPr>
            <w:r w:rsidRPr="009427D7">
              <w:rPr>
                <w:rFonts w:ascii="Arial" w:hAnsi="Arial"/>
                <w:i/>
                <w:sz w:val="24"/>
                <w:lang w:val="fr-CA"/>
              </w:rPr>
              <w:t>vous devez…</w:t>
            </w:r>
          </w:p>
        </w:tc>
      </w:tr>
      <w:tr w:rsidR="000A109C" w:rsidRPr="009427D7" w:rsidTr="009427D7">
        <w:tc>
          <w:tcPr>
            <w:tcW w:w="2864" w:type="dxa"/>
          </w:tcPr>
          <w:p w:rsidR="000A109C" w:rsidRPr="009427D7" w:rsidRDefault="000A109C" w:rsidP="000A109C">
            <w:pPr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le résultat dans le tube qui contient le réactif anti-C3 est négatif ou faiblement positif,</w:t>
            </w:r>
          </w:p>
        </w:tc>
        <w:tc>
          <w:tcPr>
            <w:tcW w:w="4390" w:type="dxa"/>
          </w:tcPr>
          <w:p w:rsidR="000A109C" w:rsidRPr="009427D7" w:rsidRDefault="000A109C" w:rsidP="009427D7">
            <w:pPr>
              <w:numPr>
                <w:ilvl w:val="0"/>
                <w:numId w:val="14"/>
              </w:numPr>
              <w:ind w:left="288" w:hanging="288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Incuber à température ambiante pendant 5 minutes. Voir Remarque 8.3.</w:t>
            </w:r>
          </w:p>
          <w:p w:rsidR="000A109C" w:rsidRPr="009427D7" w:rsidRDefault="000A109C" w:rsidP="009427D7">
            <w:pPr>
              <w:numPr>
                <w:ilvl w:val="0"/>
                <w:numId w:val="14"/>
              </w:numPr>
              <w:ind w:left="288" w:hanging="288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Centrifuger le tube qui contient l'anti-C3, remettre en suspension, faire une lecture macroscopique et microscopique, interpréter et inscrire les résultats.</w:t>
            </w:r>
          </w:p>
          <w:p w:rsidR="000A109C" w:rsidRPr="009427D7" w:rsidRDefault="000A109C" w:rsidP="009427D7">
            <w:pPr>
              <w:numPr>
                <w:ilvl w:val="0"/>
                <w:numId w:val="14"/>
              </w:numPr>
              <w:ind w:left="288" w:hanging="288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 xml:space="preserve">Après l’incubation : </w:t>
            </w:r>
          </w:p>
          <w:p w:rsidR="000A109C" w:rsidRPr="009427D7" w:rsidRDefault="000A109C" w:rsidP="009427D7">
            <w:pPr>
              <w:numPr>
                <w:ilvl w:val="1"/>
                <w:numId w:val="14"/>
              </w:numPr>
              <w:ind w:left="572" w:hanging="284"/>
              <w:rPr>
                <w:rFonts w:ascii="Arial" w:hAnsi="Arial"/>
                <w:i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 xml:space="preserve">si le tube contenant l’anti-C3 est négatif, ajouter 1 goutte de cellules recouvertes de C3 au tube C3, </w:t>
            </w:r>
            <w:r w:rsidR="00F852AE" w:rsidRPr="009427D7">
              <w:rPr>
                <w:rFonts w:ascii="Arial" w:hAnsi="Arial"/>
                <w:sz w:val="24"/>
                <w:lang w:val="fr-CA"/>
              </w:rPr>
              <w:t xml:space="preserve">centrifuger, </w:t>
            </w:r>
            <w:r w:rsidRPr="009427D7">
              <w:rPr>
                <w:rFonts w:ascii="Arial" w:hAnsi="Arial"/>
                <w:sz w:val="24"/>
                <w:lang w:val="fr-CA"/>
              </w:rPr>
              <w:t xml:space="preserve">remettre en suspension, faire une lecture macroscopique et microscopique, puis inscrire les résultats. </w:t>
            </w:r>
            <w:r w:rsidRPr="009427D7">
              <w:rPr>
                <w:rFonts w:ascii="Arial" w:hAnsi="Arial"/>
                <w:i/>
                <w:sz w:val="24"/>
                <w:lang w:val="fr-CA"/>
              </w:rPr>
              <w:t>En l'absence d'agglutination à + 2, répéter le test.</w:t>
            </w:r>
          </w:p>
          <w:p w:rsidR="000A109C" w:rsidRPr="009427D7" w:rsidRDefault="004F2EFC" w:rsidP="009427D7">
            <w:pPr>
              <w:numPr>
                <w:ilvl w:val="1"/>
                <w:numId w:val="14"/>
              </w:numPr>
              <w:ind w:left="713" w:hanging="425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Si le tube contenant l’anti-C3 est positif, interpréter et inscrire les résultats (voir 7.1 - Documentation)</w:t>
            </w:r>
          </w:p>
        </w:tc>
      </w:tr>
      <w:tr w:rsidR="000A109C" w:rsidRPr="009427D7" w:rsidTr="009427D7">
        <w:tc>
          <w:tcPr>
            <w:tcW w:w="2864" w:type="dxa"/>
          </w:tcPr>
          <w:p w:rsidR="000A109C" w:rsidRPr="009427D7" w:rsidRDefault="000A109C" w:rsidP="000A109C">
            <w:pPr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le résultat dans le tube qui contient le réactif anti-C3 est positif,</w:t>
            </w:r>
          </w:p>
        </w:tc>
        <w:tc>
          <w:tcPr>
            <w:tcW w:w="4390" w:type="dxa"/>
          </w:tcPr>
          <w:p w:rsidR="000A109C" w:rsidRPr="009427D7" w:rsidRDefault="000A109C" w:rsidP="009427D7">
            <w:pPr>
              <w:numPr>
                <w:ilvl w:val="0"/>
                <w:numId w:val="4"/>
              </w:numPr>
              <w:tabs>
                <w:tab w:val="clear" w:pos="360"/>
                <w:tab w:val="num" w:pos="288"/>
              </w:tabs>
              <w:ind w:left="288" w:hanging="283"/>
              <w:rPr>
                <w:rFonts w:ascii="Arial" w:hAnsi="Arial"/>
                <w:sz w:val="24"/>
                <w:lang w:val="fr-CA"/>
              </w:rPr>
            </w:pPr>
            <w:r w:rsidRPr="009427D7">
              <w:rPr>
                <w:rFonts w:ascii="Arial" w:hAnsi="Arial"/>
                <w:sz w:val="24"/>
                <w:lang w:val="fr-CA"/>
              </w:rPr>
              <w:t>interpréter et inscrire les résultats. Voir 7.1 - Documentation.</w:t>
            </w:r>
          </w:p>
          <w:p w:rsidR="000A109C" w:rsidRPr="009427D7" w:rsidRDefault="000A109C" w:rsidP="009427D7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7476DA" w:rsidRDefault="007476DA">
      <w:pPr>
        <w:ind w:left="2160"/>
        <w:rPr>
          <w:rFonts w:ascii="Arial" w:hAnsi="Arial"/>
          <w:sz w:val="24"/>
          <w:lang w:val="fr-CA"/>
        </w:rPr>
      </w:pPr>
    </w:p>
    <w:p w:rsidR="004F2EFC" w:rsidRDefault="007476D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Interpré</w:t>
      </w:r>
      <w:r w:rsidR="00F852AE">
        <w:rPr>
          <w:rFonts w:ascii="Arial" w:hAnsi="Arial"/>
          <w:sz w:val="24"/>
          <w:lang w:val="fr-CA"/>
        </w:rPr>
        <w:t>tation d</w:t>
      </w:r>
      <w:r>
        <w:rPr>
          <w:rFonts w:ascii="Arial" w:hAnsi="Arial"/>
          <w:sz w:val="24"/>
          <w:lang w:val="fr-CA"/>
        </w:rPr>
        <w:t xml:space="preserve">es résultats. </w:t>
      </w:r>
    </w:p>
    <w:p w:rsidR="007476DA" w:rsidRDefault="007476DA" w:rsidP="004F2EFC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Voir 7.</w:t>
      </w:r>
      <w:r w:rsidR="00002D86">
        <w:rPr>
          <w:rFonts w:ascii="Arial" w:hAnsi="Arial"/>
          <w:sz w:val="24"/>
          <w:lang w:val="fr-CA"/>
        </w:rPr>
        <w:t xml:space="preserve">1 </w:t>
      </w:r>
      <w:r>
        <w:rPr>
          <w:rFonts w:ascii="Arial" w:hAnsi="Arial"/>
          <w:sz w:val="24"/>
          <w:lang w:val="fr-CA"/>
        </w:rPr>
        <w:t xml:space="preserve">- </w:t>
      </w:r>
      <w:r w:rsidR="004F2EFC">
        <w:rPr>
          <w:rFonts w:ascii="Arial" w:hAnsi="Arial"/>
          <w:sz w:val="24"/>
          <w:lang w:val="fr-CA"/>
        </w:rPr>
        <w:t>Documentation</w:t>
      </w:r>
      <w:r>
        <w:rPr>
          <w:rFonts w:ascii="Arial" w:hAnsi="Arial"/>
          <w:sz w:val="24"/>
          <w:lang w:val="fr-CA"/>
        </w:rPr>
        <w:t>.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4F2EFC" w:rsidRDefault="00F852AE" w:rsidP="004F2EFC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V</w:t>
      </w:r>
      <w:r w:rsidR="007476DA" w:rsidRPr="004F2EFC">
        <w:rPr>
          <w:rFonts w:ascii="Arial" w:hAnsi="Arial"/>
          <w:sz w:val="24"/>
          <w:lang w:val="fr-CA"/>
        </w:rPr>
        <w:t>érification.</w:t>
      </w:r>
    </w:p>
    <w:p w:rsidR="007476DA" w:rsidRPr="004F2EFC" w:rsidRDefault="007476DA" w:rsidP="004F2EFC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4F2EFC">
        <w:rPr>
          <w:rFonts w:ascii="Arial" w:hAnsi="Arial"/>
          <w:sz w:val="24"/>
          <w:lang w:val="fr-CA"/>
        </w:rPr>
        <w:t>Pour chaque échantillon, il faut s'assurer des éléments suivants :</w:t>
      </w:r>
    </w:p>
    <w:p w:rsidR="007476DA" w:rsidRDefault="007476DA" w:rsidP="004F2EFC">
      <w:pPr>
        <w:numPr>
          <w:ilvl w:val="0"/>
          <w:numId w:val="6"/>
        </w:numPr>
        <w:tabs>
          <w:tab w:val="clear" w:pos="360"/>
          <w:tab w:val="num" w:pos="2268"/>
        </w:tabs>
        <w:ind w:left="2268" w:hanging="141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Le nom du patient et le numéro d'identification sont identiques sur tous les échantillons et sur le formulaire de demande.</w:t>
      </w:r>
    </w:p>
    <w:p w:rsidR="007476DA" w:rsidRDefault="007476DA" w:rsidP="004F2EFC">
      <w:pPr>
        <w:numPr>
          <w:ilvl w:val="0"/>
          <w:numId w:val="6"/>
        </w:numPr>
        <w:tabs>
          <w:tab w:val="clear" w:pos="360"/>
          <w:tab w:val="num" w:pos="2268"/>
        </w:tabs>
        <w:ind w:left="2268" w:hanging="141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Le nom du patient est identique sur tous les tubes et sur le </w:t>
      </w:r>
      <w:r w:rsidR="004F2EFC">
        <w:rPr>
          <w:rFonts w:ascii="Arial" w:hAnsi="Arial"/>
          <w:sz w:val="24"/>
          <w:lang w:val="fr-CA"/>
        </w:rPr>
        <w:t>f</w:t>
      </w:r>
      <w:r>
        <w:rPr>
          <w:rFonts w:ascii="Arial" w:hAnsi="Arial"/>
          <w:sz w:val="24"/>
          <w:lang w:val="fr-CA"/>
        </w:rPr>
        <w:t>ormulaire de demande.</w:t>
      </w:r>
    </w:p>
    <w:p w:rsidR="007476DA" w:rsidRDefault="007476DA" w:rsidP="004F2EFC">
      <w:pPr>
        <w:numPr>
          <w:ilvl w:val="0"/>
          <w:numId w:val="6"/>
        </w:numPr>
        <w:tabs>
          <w:tab w:val="clear" w:pos="360"/>
          <w:tab w:val="num" w:pos="2268"/>
        </w:tabs>
        <w:ind w:left="2268" w:hanging="141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Les résultats ont été interprétés </w:t>
      </w:r>
      <w:r w:rsidR="00002D86">
        <w:rPr>
          <w:rFonts w:ascii="Arial" w:hAnsi="Arial"/>
          <w:sz w:val="24"/>
          <w:lang w:val="fr-CA"/>
        </w:rPr>
        <w:t xml:space="preserve">et inscrits </w:t>
      </w:r>
      <w:r>
        <w:rPr>
          <w:rFonts w:ascii="Arial" w:hAnsi="Arial"/>
          <w:sz w:val="24"/>
          <w:lang w:val="fr-CA"/>
        </w:rPr>
        <w:t>correctement.</w:t>
      </w:r>
    </w:p>
    <w:p w:rsidR="007476DA" w:rsidRDefault="007476DA">
      <w:pPr>
        <w:rPr>
          <w:rFonts w:ascii="Arial" w:hAnsi="Arial"/>
          <w:sz w:val="24"/>
          <w:lang w:val="fr-CA"/>
        </w:rPr>
      </w:pPr>
    </w:p>
    <w:p w:rsidR="00E723CE" w:rsidRDefault="00F852AE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Conclusion de la procédure</w:t>
      </w:r>
    </w:p>
    <w:p w:rsidR="007476DA" w:rsidRDefault="007476DA" w:rsidP="00E723CE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Mettre ses initiales ou signer et </w:t>
      </w:r>
      <w:r w:rsidR="00E4500D">
        <w:rPr>
          <w:rFonts w:ascii="Arial" w:hAnsi="Arial"/>
          <w:sz w:val="24"/>
          <w:lang w:val="fr-CA"/>
        </w:rPr>
        <w:t xml:space="preserve">inscrire </w:t>
      </w:r>
      <w:r>
        <w:rPr>
          <w:rFonts w:ascii="Arial" w:hAnsi="Arial"/>
          <w:sz w:val="24"/>
          <w:lang w:val="fr-CA"/>
        </w:rPr>
        <w:t>l'heure et la date de la conclusion de l'épreuve sur le formulaire de demande ou à l'ordinateur.</w:t>
      </w:r>
    </w:p>
    <w:p w:rsidR="00E723CE" w:rsidRDefault="00E723CE" w:rsidP="00E723CE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 Noter que les résultats ont été vérifiés. Voir 7.0 - Documentation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Documentation</w:t>
      </w:r>
    </w:p>
    <w:p w:rsidR="007476DA" w:rsidRDefault="007476DA">
      <w:pPr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Interprétation</w:t>
      </w:r>
    </w:p>
    <w:p w:rsidR="007476DA" w:rsidRDefault="007476DA" w:rsidP="00F60CFA">
      <w:pPr>
        <w:keepNext/>
        <w:ind w:left="720"/>
        <w:rPr>
          <w:rFonts w:ascii="Arial" w:hAnsi="Arial"/>
          <w:sz w:val="24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10"/>
        <w:gridCol w:w="1608"/>
        <w:gridCol w:w="12"/>
        <w:gridCol w:w="1620"/>
        <w:gridCol w:w="2520"/>
      </w:tblGrid>
      <w:tr w:rsidR="007476DA">
        <w:trPr>
          <w:cantSplit/>
          <w:jc w:val="center"/>
        </w:trPr>
        <w:tc>
          <w:tcPr>
            <w:tcW w:w="1980" w:type="dxa"/>
          </w:tcPr>
          <w:p w:rsidR="007476DA" w:rsidRPr="004F2EFC" w:rsidRDefault="007476DA" w:rsidP="00F60CFA">
            <w:pPr>
              <w:keepNext/>
              <w:tabs>
                <w:tab w:val="left" w:pos="-1690"/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  <w:sz w:val="22"/>
                <w:lang w:val="fr-CA"/>
              </w:rPr>
            </w:pPr>
          </w:p>
          <w:p w:rsidR="007476DA" w:rsidRPr="004F2EFC" w:rsidRDefault="007476DA" w:rsidP="00F60CFA">
            <w:pPr>
              <w:keepNext/>
              <w:tabs>
                <w:tab w:val="left" w:pos="-1690"/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b/>
                <w:spacing w:val="-3"/>
                <w:sz w:val="22"/>
                <w:lang w:val="fr-CA"/>
              </w:rPr>
              <w:t>Polyspécifique</w:t>
            </w:r>
          </w:p>
        </w:tc>
        <w:tc>
          <w:tcPr>
            <w:tcW w:w="171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  <w:sz w:val="22"/>
                <w:lang w:val="fr-CA"/>
              </w:rPr>
            </w:pPr>
          </w:p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b/>
                <w:spacing w:val="-3"/>
                <w:sz w:val="22"/>
                <w:lang w:val="fr-CA"/>
              </w:rPr>
              <w:t xml:space="preserve">Témoin </w:t>
            </w:r>
          </w:p>
        </w:tc>
        <w:tc>
          <w:tcPr>
            <w:tcW w:w="1620" w:type="dxa"/>
            <w:gridSpan w:val="2"/>
          </w:tcPr>
          <w:p w:rsidR="007476DA" w:rsidRPr="004F2EFC" w:rsidRDefault="007476DA" w:rsidP="00F60CFA">
            <w:pPr>
              <w:pStyle w:val="Heading8"/>
              <w:jc w:val="center"/>
              <w:rPr>
                <w:rFonts w:ascii="Arial" w:hAnsi="Arial"/>
                <w:sz w:val="22"/>
                <w:lang w:val="fr-CA"/>
              </w:rPr>
            </w:pPr>
          </w:p>
          <w:p w:rsidR="007476DA" w:rsidRPr="004F2EFC" w:rsidRDefault="007476DA" w:rsidP="00F60CFA">
            <w:pPr>
              <w:pStyle w:val="Heading8"/>
              <w:jc w:val="center"/>
              <w:rPr>
                <w:rFonts w:ascii="Arial" w:hAnsi="Arial"/>
                <w:sz w:val="22"/>
                <w:lang w:val="fr-CA"/>
              </w:rPr>
            </w:pPr>
            <w:r w:rsidRPr="004F2EFC">
              <w:rPr>
                <w:rFonts w:ascii="Arial" w:hAnsi="Arial"/>
                <w:sz w:val="22"/>
                <w:lang w:val="fr-CA"/>
              </w:rPr>
              <w:t>Anti-IgG</w:t>
            </w:r>
          </w:p>
        </w:tc>
        <w:tc>
          <w:tcPr>
            <w:tcW w:w="16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  <w:sz w:val="22"/>
                <w:lang w:val="fr-CA"/>
              </w:rPr>
            </w:pPr>
          </w:p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b/>
                <w:spacing w:val="-3"/>
                <w:sz w:val="22"/>
                <w:lang w:val="fr-CA"/>
              </w:rPr>
              <w:t>Anti-C3</w:t>
            </w:r>
          </w:p>
        </w:tc>
        <w:tc>
          <w:tcPr>
            <w:tcW w:w="25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  <w:sz w:val="22"/>
                <w:lang w:val="fr-CA"/>
              </w:rPr>
            </w:pPr>
          </w:p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b/>
                <w:spacing w:val="-3"/>
                <w:sz w:val="22"/>
                <w:lang w:val="fr-CA"/>
              </w:rPr>
              <w:t xml:space="preserve">Interprétation du TDA </w:t>
            </w:r>
          </w:p>
        </w:tc>
      </w:tr>
      <w:tr w:rsidR="007476DA">
        <w:trPr>
          <w:cantSplit/>
          <w:jc w:val="center"/>
        </w:trPr>
        <w:tc>
          <w:tcPr>
            <w:tcW w:w="198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Négatif</w:t>
            </w:r>
          </w:p>
        </w:tc>
        <w:tc>
          <w:tcPr>
            <w:tcW w:w="171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Négatif</w:t>
            </w:r>
          </w:p>
        </w:tc>
        <w:tc>
          <w:tcPr>
            <w:tcW w:w="1620" w:type="dxa"/>
            <w:gridSpan w:val="2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Non testé</w:t>
            </w:r>
          </w:p>
        </w:tc>
        <w:tc>
          <w:tcPr>
            <w:tcW w:w="16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Non testé</w:t>
            </w:r>
          </w:p>
        </w:tc>
        <w:tc>
          <w:tcPr>
            <w:tcW w:w="25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Négatif</w:t>
            </w:r>
          </w:p>
        </w:tc>
      </w:tr>
      <w:tr w:rsidR="007476DA">
        <w:trPr>
          <w:cantSplit/>
          <w:jc w:val="center"/>
        </w:trPr>
        <w:tc>
          <w:tcPr>
            <w:tcW w:w="1980" w:type="dxa"/>
          </w:tcPr>
          <w:p w:rsidR="007476DA" w:rsidRPr="004F2EFC" w:rsidRDefault="000F3435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Faiblement p</w:t>
            </w:r>
            <w:r w:rsidR="007476DA" w:rsidRPr="004F2EFC">
              <w:rPr>
                <w:rFonts w:ascii="Arial" w:hAnsi="Arial"/>
                <w:spacing w:val="-3"/>
                <w:sz w:val="22"/>
                <w:lang w:val="fr-CA"/>
              </w:rPr>
              <w:t>ositif</w:t>
            </w:r>
          </w:p>
        </w:tc>
        <w:tc>
          <w:tcPr>
            <w:tcW w:w="171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Négatif</w:t>
            </w:r>
          </w:p>
        </w:tc>
        <w:tc>
          <w:tcPr>
            <w:tcW w:w="1620" w:type="dxa"/>
            <w:gridSpan w:val="2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Négatif</w:t>
            </w:r>
          </w:p>
        </w:tc>
        <w:tc>
          <w:tcPr>
            <w:tcW w:w="16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Négatif</w:t>
            </w:r>
          </w:p>
        </w:tc>
        <w:tc>
          <w:tcPr>
            <w:tcW w:w="25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Négatif - Voir 7.3</w:t>
            </w:r>
          </w:p>
        </w:tc>
      </w:tr>
      <w:tr w:rsidR="007476DA">
        <w:trPr>
          <w:cantSplit/>
          <w:jc w:val="center"/>
        </w:trPr>
        <w:tc>
          <w:tcPr>
            <w:tcW w:w="198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</w:p>
        </w:tc>
        <w:tc>
          <w:tcPr>
            <w:tcW w:w="171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</w:p>
        </w:tc>
        <w:tc>
          <w:tcPr>
            <w:tcW w:w="1620" w:type="dxa"/>
            <w:gridSpan w:val="2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</w:p>
        </w:tc>
        <w:tc>
          <w:tcPr>
            <w:tcW w:w="16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</w:p>
        </w:tc>
        <w:tc>
          <w:tcPr>
            <w:tcW w:w="25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</w:p>
        </w:tc>
      </w:tr>
      <w:tr w:rsidR="007476DA">
        <w:trPr>
          <w:cantSplit/>
          <w:jc w:val="center"/>
        </w:trPr>
        <w:tc>
          <w:tcPr>
            <w:tcW w:w="198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Positif</w:t>
            </w:r>
          </w:p>
        </w:tc>
        <w:tc>
          <w:tcPr>
            <w:tcW w:w="171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Négatif</w:t>
            </w:r>
          </w:p>
        </w:tc>
        <w:tc>
          <w:tcPr>
            <w:tcW w:w="1620" w:type="dxa"/>
            <w:gridSpan w:val="2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 xml:space="preserve">Positif </w:t>
            </w:r>
          </w:p>
        </w:tc>
        <w:tc>
          <w:tcPr>
            <w:tcW w:w="16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 xml:space="preserve">Positif </w:t>
            </w:r>
          </w:p>
        </w:tc>
        <w:tc>
          <w:tcPr>
            <w:tcW w:w="25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Positif - Voir 7.2</w:t>
            </w:r>
          </w:p>
        </w:tc>
      </w:tr>
      <w:tr w:rsidR="007476DA">
        <w:trPr>
          <w:cantSplit/>
          <w:jc w:val="center"/>
        </w:trPr>
        <w:tc>
          <w:tcPr>
            <w:tcW w:w="198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Positif</w:t>
            </w:r>
          </w:p>
        </w:tc>
        <w:tc>
          <w:tcPr>
            <w:tcW w:w="171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Négatif</w:t>
            </w:r>
          </w:p>
        </w:tc>
        <w:tc>
          <w:tcPr>
            <w:tcW w:w="1620" w:type="dxa"/>
            <w:gridSpan w:val="2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 xml:space="preserve">Positif </w:t>
            </w:r>
          </w:p>
        </w:tc>
        <w:tc>
          <w:tcPr>
            <w:tcW w:w="16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Négatif</w:t>
            </w:r>
          </w:p>
        </w:tc>
        <w:tc>
          <w:tcPr>
            <w:tcW w:w="25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Positif - Voir 7.2</w:t>
            </w:r>
          </w:p>
        </w:tc>
      </w:tr>
      <w:tr w:rsidR="007476DA">
        <w:trPr>
          <w:cantSplit/>
          <w:jc w:val="center"/>
        </w:trPr>
        <w:tc>
          <w:tcPr>
            <w:tcW w:w="198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Positif</w:t>
            </w:r>
          </w:p>
        </w:tc>
        <w:tc>
          <w:tcPr>
            <w:tcW w:w="171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Négatif</w:t>
            </w:r>
          </w:p>
        </w:tc>
        <w:tc>
          <w:tcPr>
            <w:tcW w:w="1620" w:type="dxa"/>
            <w:gridSpan w:val="2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Négatif</w:t>
            </w:r>
          </w:p>
        </w:tc>
        <w:tc>
          <w:tcPr>
            <w:tcW w:w="16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 xml:space="preserve">Positif </w:t>
            </w:r>
          </w:p>
        </w:tc>
        <w:tc>
          <w:tcPr>
            <w:tcW w:w="25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Positif - voir 7.2</w:t>
            </w:r>
          </w:p>
        </w:tc>
      </w:tr>
      <w:tr w:rsidR="007476DA">
        <w:trPr>
          <w:cantSplit/>
          <w:jc w:val="center"/>
        </w:trPr>
        <w:tc>
          <w:tcPr>
            <w:tcW w:w="198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</w:p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Positif</w:t>
            </w:r>
          </w:p>
        </w:tc>
        <w:tc>
          <w:tcPr>
            <w:tcW w:w="171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</w:p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 xml:space="preserve">Positif </w:t>
            </w:r>
          </w:p>
        </w:tc>
        <w:tc>
          <w:tcPr>
            <w:tcW w:w="1620" w:type="dxa"/>
            <w:gridSpan w:val="2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</w:p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 xml:space="preserve">Positif </w:t>
            </w:r>
          </w:p>
        </w:tc>
        <w:tc>
          <w:tcPr>
            <w:tcW w:w="16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</w:p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 xml:space="preserve">Positif </w:t>
            </w:r>
          </w:p>
        </w:tc>
        <w:tc>
          <w:tcPr>
            <w:tcW w:w="25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Inscription impossible Voir remarque 8.5.</w:t>
            </w:r>
          </w:p>
        </w:tc>
      </w:tr>
      <w:tr w:rsidR="007476DA">
        <w:trPr>
          <w:cantSplit/>
          <w:jc w:val="center"/>
        </w:trPr>
        <w:tc>
          <w:tcPr>
            <w:tcW w:w="9450" w:type="dxa"/>
            <w:gridSpan w:val="6"/>
          </w:tcPr>
          <w:p w:rsidR="007476DA" w:rsidRPr="004F2EFC" w:rsidRDefault="007476DA" w:rsidP="00F60CFA">
            <w:pPr>
              <w:pStyle w:val="Heading8"/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  <w:kern w:val="0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kern w:val="0"/>
                <w:sz w:val="22"/>
                <w:lang w:val="fr-CA"/>
              </w:rPr>
              <w:t>Documentation relative aux nouveau-nés seulement</w:t>
            </w:r>
          </w:p>
        </w:tc>
      </w:tr>
      <w:tr w:rsidR="007476DA">
        <w:trPr>
          <w:jc w:val="center"/>
        </w:trPr>
        <w:tc>
          <w:tcPr>
            <w:tcW w:w="198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Positi</w:t>
            </w:r>
            <w:r w:rsidR="00F60CFA" w:rsidRPr="004F2EFC">
              <w:rPr>
                <w:rFonts w:ascii="Arial" w:hAnsi="Arial"/>
                <w:spacing w:val="-3"/>
                <w:sz w:val="22"/>
                <w:lang w:val="fr-CA"/>
              </w:rPr>
              <w:t>f</w:t>
            </w:r>
          </w:p>
        </w:tc>
        <w:tc>
          <w:tcPr>
            <w:tcW w:w="171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Négatif</w:t>
            </w:r>
          </w:p>
        </w:tc>
        <w:tc>
          <w:tcPr>
            <w:tcW w:w="1608" w:type="dxa"/>
          </w:tcPr>
          <w:p w:rsidR="007476DA" w:rsidRPr="004F2EFC" w:rsidRDefault="007476DA" w:rsidP="00F60CFA">
            <w:pPr>
              <w:pStyle w:val="Heading7"/>
              <w:rPr>
                <w:sz w:val="22"/>
              </w:rPr>
            </w:pPr>
            <w:r w:rsidRPr="004F2EFC">
              <w:rPr>
                <w:sz w:val="22"/>
              </w:rPr>
              <w:t>Non testé</w:t>
            </w:r>
          </w:p>
        </w:tc>
        <w:tc>
          <w:tcPr>
            <w:tcW w:w="1632" w:type="dxa"/>
            <w:gridSpan w:val="2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>Non testé</w:t>
            </w:r>
          </w:p>
        </w:tc>
        <w:tc>
          <w:tcPr>
            <w:tcW w:w="2520" w:type="dxa"/>
          </w:tcPr>
          <w:p w:rsidR="007476DA" w:rsidRPr="004F2EFC" w:rsidRDefault="007476DA" w:rsidP="00F60CFA">
            <w:pPr>
              <w:keepNext/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/>
                <w:spacing w:val="-3"/>
                <w:sz w:val="22"/>
                <w:lang w:val="fr-CA"/>
              </w:rPr>
            </w:pPr>
            <w:r w:rsidRPr="004F2EFC">
              <w:rPr>
                <w:rFonts w:ascii="Arial" w:hAnsi="Arial"/>
                <w:spacing w:val="-3"/>
                <w:sz w:val="22"/>
                <w:lang w:val="fr-CA"/>
              </w:rPr>
              <w:t xml:space="preserve">Positif </w:t>
            </w:r>
          </w:p>
        </w:tc>
      </w:tr>
      <w:tr w:rsidR="007476DA">
        <w:trPr>
          <w:jc w:val="center"/>
        </w:trPr>
        <w:tc>
          <w:tcPr>
            <w:tcW w:w="1980" w:type="dxa"/>
          </w:tcPr>
          <w:p w:rsidR="007476DA" w:rsidRPr="004F2EFC" w:rsidRDefault="007476DA" w:rsidP="00F60CFA">
            <w:pPr>
              <w:keepNext/>
              <w:tabs>
                <w:tab w:val="left" w:pos="835"/>
                <w:tab w:val="left" w:pos="1809"/>
                <w:tab w:val="left" w:pos="2660"/>
                <w:tab w:val="left" w:pos="8870"/>
              </w:tabs>
              <w:rPr>
                <w:rFonts w:ascii="Arial" w:hAnsi="Arial"/>
                <w:sz w:val="22"/>
                <w:lang w:val="fr-CA"/>
              </w:rPr>
            </w:pPr>
            <w:r w:rsidRPr="004F2EFC">
              <w:rPr>
                <w:rFonts w:ascii="Arial" w:hAnsi="Arial"/>
                <w:sz w:val="22"/>
                <w:lang w:val="fr-CA"/>
              </w:rPr>
              <w:t xml:space="preserve">Non </w:t>
            </w:r>
            <w:r w:rsidR="00F60CFA" w:rsidRPr="004F2EFC">
              <w:rPr>
                <w:rFonts w:ascii="Arial" w:hAnsi="Arial"/>
                <w:sz w:val="22"/>
                <w:lang w:val="fr-CA"/>
              </w:rPr>
              <w:t>t</w:t>
            </w:r>
            <w:r w:rsidRPr="004F2EFC">
              <w:rPr>
                <w:rFonts w:ascii="Arial" w:hAnsi="Arial"/>
                <w:sz w:val="22"/>
                <w:lang w:val="fr-CA"/>
              </w:rPr>
              <w:t>esté</w:t>
            </w:r>
          </w:p>
        </w:tc>
        <w:tc>
          <w:tcPr>
            <w:tcW w:w="1710" w:type="dxa"/>
          </w:tcPr>
          <w:p w:rsidR="007476DA" w:rsidRPr="004F2EFC" w:rsidRDefault="007476DA" w:rsidP="00F60CFA">
            <w:pPr>
              <w:keepNext/>
              <w:tabs>
                <w:tab w:val="left" w:pos="835"/>
                <w:tab w:val="left" w:pos="1809"/>
                <w:tab w:val="left" w:pos="2660"/>
                <w:tab w:val="left" w:pos="8870"/>
              </w:tabs>
              <w:rPr>
                <w:rFonts w:ascii="Arial" w:hAnsi="Arial"/>
                <w:sz w:val="22"/>
                <w:lang w:val="fr-CA"/>
              </w:rPr>
            </w:pPr>
            <w:r w:rsidRPr="004F2EFC">
              <w:rPr>
                <w:rFonts w:ascii="Arial" w:hAnsi="Arial"/>
                <w:sz w:val="22"/>
                <w:lang w:val="fr-CA"/>
              </w:rPr>
              <w:t>Négatif</w:t>
            </w:r>
          </w:p>
        </w:tc>
        <w:tc>
          <w:tcPr>
            <w:tcW w:w="1608" w:type="dxa"/>
          </w:tcPr>
          <w:p w:rsidR="007476DA" w:rsidRPr="004F2EFC" w:rsidRDefault="007476DA" w:rsidP="00F60CFA">
            <w:pPr>
              <w:keepNext/>
              <w:tabs>
                <w:tab w:val="left" w:pos="835"/>
                <w:tab w:val="left" w:pos="1809"/>
                <w:tab w:val="left" w:pos="2660"/>
                <w:tab w:val="left" w:pos="8870"/>
              </w:tabs>
              <w:rPr>
                <w:rFonts w:ascii="Arial" w:hAnsi="Arial"/>
                <w:sz w:val="22"/>
                <w:lang w:val="fr-CA"/>
              </w:rPr>
            </w:pPr>
            <w:r w:rsidRPr="004F2EFC">
              <w:rPr>
                <w:rFonts w:ascii="Arial" w:hAnsi="Arial"/>
                <w:sz w:val="22"/>
                <w:lang w:val="fr-CA"/>
              </w:rPr>
              <w:t>Positif</w:t>
            </w:r>
          </w:p>
        </w:tc>
        <w:tc>
          <w:tcPr>
            <w:tcW w:w="1632" w:type="dxa"/>
            <w:gridSpan w:val="2"/>
          </w:tcPr>
          <w:p w:rsidR="007476DA" w:rsidRPr="004F2EFC" w:rsidRDefault="007476DA" w:rsidP="00F60CFA">
            <w:pPr>
              <w:pStyle w:val="Heading1"/>
              <w:tabs>
                <w:tab w:val="left" w:pos="835"/>
                <w:tab w:val="left" w:pos="1809"/>
                <w:tab w:val="left" w:pos="2660"/>
                <w:tab w:val="left" w:pos="8870"/>
              </w:tabs>
              <w:rPr>
                <w:sz w:val="22"/>
                <w:lang w:val="fr-CA"/>
              </w:rPr>
            </w:pPr>
            <w:r w:rsidRPr="004F2EFC">
              <w:rPr>
                <w:sz w:val="22"/>
                <w:lang w:val="fr-CA"/>
              </w:rPr>
              <w:t>Non testé</w:t>
            </w:r>
          </w:p>
        </w:tc>
        <w:tc>
          <w:tcPr>
            <w:tcW w:w="2520" w:type="dxa"/>
          </w:tcPr>
          <w:p w:rsidR="007476DA" w:rsidRPr="004F2EFC" w:rsidRDefault="007476DA" w:rsidP="00F60CFA">
            <w:pPr>
              <w:keepNext/>
              <w:tabs>
                <w:tab w:val="left" w:pos="835"/>
                <w:tab w:val="left" w:pos="1809"/>
                <w:tab w:val="left" w:pos="2660"/>
                <w:tab w:val="left" w:pos="8870"/>
              </w:tabs>
              <w:rPr>
                <w:rFonts w:ascii="Arial" w:hAnsi="Arial"/>
                <w:sz w:val="22"/>
                <w:lang w:val="fr-CA"/>
              </w:rPr>
            </w:pPr>
            <w:r w:rsidRPr="004F2EFC">
              <w:rPr>
                <w:rFonts w:ascii="Arial" w:hAnsi="Arial"/>
                <w:sz w:val="22"/>
                <w:lang w:val="fr-CA"/>
              </w:rPr>
              <w:t>Positif</w:t>
            </w:r>
          </w:p>
        </w:tc>
      </w:tr>
      <w:tr w:rsidR="007476DA">
        <w:trPr>
          <w:trHeight w:val="134"/>
          <w:jc w:val="center"/>
        </w:trPr>
        <w:tc>
          <w:tcPr>
            <w:tcW w:w="1980" w:type="dxa"/>
          </w:tcPr>
          <w:p w:rsidR="007476DA" w:rsidRPr="004F2EFC" w:rsidRDefault="007476DA" w:rsidP="00F60CFA">
            <w:pPr>
              <w:keepNext/>
              <w:tabs>
                <w:tab w:val="left" w:pos="835"/>
                <w:tab w:val="left" w:pos="1809"/>
                <w:tab w:val="left" w:pos="2660"/>
                <w:tab w:val="left" w:pos="8870"/>
              </w:tabs>
              <w:rPr>
                <w:rFonts w:ascii="Arial" w:hAnsi="Arial"/>
                <w:sz w:val="22"/>
                <w:lang w:val="fr-CA"/>
              </w:rPr>
            </w:pPr>
            <w:r w:rsidRPr="004F2EFC">
              <w:rPr>
                <w:rFonts w:ascii="Arial" w:hAnsi="Arial"/>
                <w:sz w:val="22"/>
                <w:lang w:val="fr-CA"/>
              </w:rPr>
              <w:t xml:space="preserve">Non </w:t>
            </w:r>
            <w:r w:rsidR="00F60CFA" w:rsidRPr="004F2EFC">
              <w:rPr>
                <w:rFonts w:ascii="Arial" w:hAnsi="Arial"/>
                <w:sz w:val="22"/>
                <w:lang w:val="fr-CA"/>
              </w:rPr>
              <w:t>t</w:t>
            </w:r>
            <w:r w:rsidRPr="004F2EFC">
              <w:rPr>
                <w:rFonts w:ascii="Arial" w:hAnsi="Arial"/>
                <w:sz w:val="22"/>
                <w:lang w:val="fr-CA"/>
              </w:rPr>
              <w:t>esté</w:t>
            </w:r>
          </w:p>
        </w:tc>
        <w:tc>
          <w:tcPr>
            <w:tcW w:w="1710" w:type="dxa"/>
          </w:tcPr>
          <w:p w:rsidR="007476DA" w:rsidRPr="004F2EFC" w:rsidRDefault="007476DA" w:rsidP="00F60CFA">
            <w:pPr>
              <w:keepNext/>
              <w:tabs>
                <w:tab w:val="left" w:pos="835"/>
                <w:tab w:val="left" w:pos="1809"/>
                <w:tab w:val="left" w:pos="2660"/>
                <w:tab w:val="left" w:pos="8870"/>
              </w:tabs>
              <w:rPr>
                <w:rFonts w:ascii="Arial" w:hAnsi="Arial"/>
                <w:sz w:val="22"/>
                <w:lang w:val="fr-CA"/>
              </w:rPr>
            </w:pPr>
            <w:r w:rsidRPr="004F2EFC">
              <w:rPr>
                <w:rFonts w:ascii="Arial" w:hAnsi="Arial"/>
                <w:sz w:val="22"/>
                <w:lang w:val="fr-CA"/>
              </w:rPr>
              <w:t>Négatif</w:t>
            </w:r>
          </w:p>
        </w:tc>
        <w:tc>
          <w:tcPr>
            <w:tcW w:w="1608" w:type="dxa"/>
          </w:tcPr>
          <w:p w:rsidR="007476DA" w:rsidRPr="004F2EFC" w:rsidRDefault="007476DA" w:rsidP="00F60CFA">
            <w:pPr>
              <w:keepNext/>
              <w:tabs>
                <w:tab w:val="left" w:pos="835"/>
                <w:tab w:val="left" w:pos="1809"/>
                <w:tab w:val="left" w:pos="2660"/>
                <w:tab w:val="left" w:pos="8870"/>
              </w:tabs>
              <w:rPr>
                <w:rFonts w:ascii="Arial" w:hAnsi="Arial"/>
                <w:sz w:val="22"/>
                <w:lang w:val="fr-CA"/>
              </w:rPr>
            </w:pPr>
            <w:r w:rsidRPr="004F2EFC">
              <w:rPr>
                <w:rFonts w:ascii="Arial" w:hAnsi="Arial"/>
                <w:sz w:val="22"/>
                <w:lang w:val="fr-CA"/>
              </w:rPr>
              <w:t>Négatif</w:t>
            </w:r>
          </w:p>
        </w:tc>
        <w:tc>
          <w:tcPr>
            <w:tcW w:w="1632" w:type="dxa"/>
            <w:gridSpan w:val="2"/>
          </w:tcPr>
          <w:p w:rsidR="007476DA" w:rsidRPr="004F2EFC" w:rsidRDefault="007476DA" w:rsidP="00F60CFA">
            <w:pPr>
              <w:keepNext/>
              <w:tabs>
                <w:tab w:val="left" w:pos="835"/>
                <w:tab w:val="left" w:pos="1809"/>
                <w:tab w:val="left" w:pos="2660"/>
                <w:tab w:val="left" w:pos="8870"/>
              </w:tabs>
              <w:rPr>
                <w:rFonts w:ascii="Arial" w:hAnsi="Arial"/>
                <w:sz w:val="22"/>
                <w:lang w:val="fr-CA"/>
              </w:rPr>
            </w:pPr>
            <w:r w:rsidRPr="004F2EFC">
              <w:rPr>
                <w:rFonts w:ascii="Arial" w:hAnsi="Arial"/>
                <w:sz w:val="22"/>
                <w:lang w:val="fr-CA"/>
              </w:rPr>
              <w:t>Non testé</w:t>
            </w:r>
          </w:p>
        </w:tc>
        <w:tc>
          <w:tcPr>
            <w:tcW w:w="2520" w:type="dxa"/>
          </w:tcPr>
          <w:p w:rsidR="007476DA" w:rsidRPr="004F2EFC" w:rsidRDefault="007476DA" w:rsidP="00F60CFA">
            <w:pPr>
              <w:keepNext/>
              <w:tabs>
                <w:tab w:val="left" w:pos="835"/>
                <w:tab w:val="left" w:pos="1809"/>
                <w:tab w:val="left" w:pos="2660"/>
                <w:tab w:val="left" w:pos="8870"/>
              </w:tabs>
              <w:rPr>
                <w:rFonts w:ascii="Arial" w:hAnsi="Arial"/>
                <w:sz w:val="22"/>
                <w:lang w:val="fr-CA"/>
              </w:rPr>
            </w:pPr>
            <w:r w:rsidRPr="004F2EFC">
              <w:rPr>
                <w:rFonts w:ascii="Arial" w:hAnsi="Arial"/>
                <w:sz w:val="22"/>
                <w:lang w:val="fr-CA"/>
              </w:rPr>
              <w:t>Négatif</w:t>
            </w:r>
          </w:p>
        </w:tc>
      </w:tr>
    </w:tbl>
    <w:p w:rsidR="007476DA" w:rsidRDefault="007476DA">
      <w:pPr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Si le TDA est positif quant à la GAH polyspécifique, l'anti-IgG et/ou l'anti-C3 et que le témoin est négatif, obtenir la liste des médicaments que prend le patient et les antécédents récents de transfusion (trois </w:t>
      </w:r>
      <w:r w:rsidR="00F60CFA">
        <w:rPr>
          <w:rFonts w:ascii="Arial" w:hAnsi="Arial"/>
          <w:sz w:val="24"/>
          <w:lang w:val="fr-CA"/>
        </w:rPr>
        <w:t xml:space="preserve">derniers </w:t>
      </w:r>
      <w:r>
        <w:rPr>
          <w:rFonts w:ascii="Arial" w:hAnsi="Arial"/>
          <w:sz w:val="24"/>
          <w:lang w:val="fr-CA"/>
        </w:rPr>
        <w:t xml:space="preserve">mois). Pour obtenir des antécédents précis, il </w:t>
      </w:r>
      <w:r w:rsidR="00F60CFA">
        <w:rPr>
          <w:rFonts w:ascii="Arial" w:hAnsi="Arial"/>
          <w:sz w:val="24"/>
          <w:lang w:val="fr-CA"/>
        </w:rPr>
        <w:t>faudra peut-être</w:t>
      </w:r>
      <w:r>
        <w:rPr>
          <w:rFonts w:ascii="Arial" w:hAnsi="Arial"/>
          <w:sz w:val="24"/>
          <w:lang w:val="fr-CA"/>
        </w:rPr>
        <w:t xml:space="preserve"> consulter le patient ou sa famille, l’infirmière et/ou le médecin. Voir AC.005 - Investigation d’un test direct à l’antiglobuline positif (TDA).</w:t>
      </w:r>
    </w:p>
    <w:p w:rsidR="007476DA" w:rsidRDefault="007476DA">
      <w:pPr>
        <w:ind w:left="720"/>
        <w:rPr>
          <w:rFonts w:ascii="Arial" w:hAnsi="Arial"/>
          <w:lang w:val="fr-CA"/>
        </w:rPr>
      </w:pPr>
    </w:p>
    <w:p w:rsidR="007476DA" w:rsidRDefault="007476D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Si le TDA est faiblement positif quant à la </w:t>
      </w:r>
      <w:r w:rsidR="00E4500D">
        <w:rPr>
          <w:rFonts w:ascii="Arial" w:hAnsi="Arial"/>
          <w:sz w:val="24"/>
          <w:lang w:val="fr-CA"/>
        </w:rPr>
        <w:t xml:space="preserve">GAH </w:t>
      </w:r>
      <w:r>
        <w:rPr>
          <w:rFonts w:ascii="Arial" w:hAnsi="Arial"/>
          <w:sz w:val="24"/>
          <w:lang w:val="fr-CA"/>
        </w:rPr>
        <w:t>polyspécifique mais négatif quant à l'anti-IgG, l'anti-C3 et le témoin, il faut répéter le test et s'assurer que la technique, l'ajout des réactifs et les durées d'incubation sont corrects. Si on peut reproduire les résultats, signaler un TDA négatif.</w:t>
      </w:r>
    </w:p>
    <w:p w:rsidR="007476DA" w:rsidRDefault="007476DA">
      <w:pPr>
        <w:ind w:left="720"/>
        <w:rPr>
          <w:rFonts w:ascii="Arial" w:hAnsi="Arial"/>
          <w:lang w:val="fr-CA"/>
        </w:rPr>
      </w:pPr>
    </w:p>
    <w:p w:rsidR="007476DA" w:rsidRDefault="007476DA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color w:val="000000"/>
          <w:sz w:val="28"/>
          <w:lang w:val="fr-CA"/>
        </w:rPr>
        <w:t>Remarques</w:t>
      </w:r>
    </w:p>
    <w:p w:rsidR="007476DA" w:rsidRDefault="007476DA">
      <w:pPr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En effectuant le test avec un échantillon coagulé, il est possible de détecter des faux résultats positifs attribuables au revêtement in vitro des cellules par le complément.</w:t>
      </w:r>
    </w:p>
    <w:p w:rsidR="00CD54A1" w:rsidRDefault="00CD54A1" w:rsidP="00CD54A1">
      <w:pPr>
        <w:ind w:left="720"/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Il faut lire les résultats immédiatement après la centrifugation. Tout retard pourrait permettre aux IgG de se dissocier des globules rouges; leur concentration serait alors trop faible pour qu'on puisse les déceler ou les IgG pourraient neutraliser la GAH et donner un faux résultat négatif.</w:t>
      </w:r>
    </w:p>
    <w:p w:rsidR="007476DA" w:rsidRDefault="007476DA">
      <w:pPr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Pour stimuler les réactions anti-complément faibles, il faut incuber les tubes qui contiennent les globules rouges / la GAH polyspécifique ou les globules rouges / l'anti-C3 pendant 5 minutes à température ambiante après la lecture initiale des résultats. Centrifuger et procéder à une autre lecture.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Pr="00F852AE" w:rsidRDefault="007476D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 w:rsidRPr="00F852AE">
        <w:rPr>
          <w:rFonts w:ascii="Arial" w:hAnsi="Arial"/>
          <w:sz w:val="24"/>
          <w:lang w:val="fr-CA"/>
        </w:rPr>
        <w:t xml:space="preserve">Si le test </w:t>
      </w:r>
      <w:r w:rsidR="00E723CE" w:rsidRPr="00F852AE">
        <w:rPr>
          <w:rFonts w:ascii="Arial" w:hAnsi="Arial"/>
          <w:sz w:val="24"/>
          <w:lang w:val="fr-CA"/>
        </w:rPr>
        <w:t>porte sur un échantillon de nouveau-né</w:t>
      </w:r>
      <w:r w:rsidR="005A64ED" w:rsidRPr="00F852AE">
        <w:rPr>
          <w:rFonts w:ascii="Arial" w:hAnsi="Arial"/>
          <w:sz w:val="24"/>
          <w:lang w:val="fr-CA"/>
        </w:rPr>
        <w:t xml:space="preserve"> </w:t>
      </w:r>
      <w:r w:rsidR="00E723CE" w:rsidRPr="00F852AE">
        <w:rPr>
          <w:rFonts w:ascii="Arial" w:hAnsi="Arial"/>
          <w:sz w:val="24"/>
          <w:lang w:val="fr-CA"/>
        </w:rPr>
        <w:t>ou de cordon, on peut se servir d’</w:t>
      </w:r>
      <w:r w:rsidRPr="00F852AE">
        <w:rPr>
          <w:rFonts w:ascii="Arial" w:hAnsi="Arial"/>
          <w:sz w:val="24"/>
          <w:lang w:val="fr-CA"/>
        </w:rPr>
        <w:t xml:space="preserve">anti-IgG </w:t>
      </w:r>
      <w:r w:rsidR="00E723CE" w:rsidRPr="00F852AE">
        <w:rPr>
          <w:rFonts w:ascii="Arial" w:hAnsi="Arial"/>
          <w:sz w:val="24"/>
          <w:lang w:val="fr-CA"/>
        </w:rPr>
        <w:t>seulement</w:t>
      </w:r>
      <w:r w:rsidR="006A432F" w:rsidRPr="00F852AE">
        <w:rPr>
          <w:rFonts w:ascii="Arial" w:hAnsi="Arial"/>
          <w:sz w:val="24"/>
          <w:lang w:val="fr-CA"/>
        </w:rPr>
        <w:t xml:space="preserve">, </w:t>
      </w:r>
      <w:r w:rsidR="005A64ED" w:rsidRPr="00F852AE">
        <w:rPr>
          <w:rFonts w:ascii="Arial" w:hAnsi="Arial"/>
          <w:sz w:val="24"/>
          <w:lang w:val="fr-CA"/>
        </w:rPr>
        <w:t>puisqu’on assiste rarement à</w:t>
      </w:r>
      <w:r w:rsidR="00F852AE" w:rsidRPr="00F852AE">
        <w:rPr>
          <w:rFonts w:ascii="Arial" w:hAnsi="Arial"/>
          <w:sz w:val="24"/>
          <w:lang w:val="fr-CA"/>
        </w:rPr>
        <w:t xml:space="preserve"> un résultat de maladie hémolytique du nouveau-né en raison d’une  s</w:t>
      </w:r>
      <w:r w:rsidR="006A432F" w:rsidRPr="00F852AE">
        <w:rPr>
          <w:rFonts w:ascii="Arial" w:hAnsi="Arial"/>
          <w:sz w:val="24"/>
          <w:lang w:val="fr-CA"/>
        </w:rPr>
        <w:t xml:space="preserve">ensibilisation </w:t>
      </w:r>
      <w:r w:rsidR="005A64ED" w:rsidRPr="00F852AE">
        <w:rPr>
          <w:rFonts w:ascii="Arial" w:hAnsi="Arial"/>
          <w:sz w:val="24"/>
          <w:lang w:val="fr-CA"/>
        </w:rPr>
        <w:t>aux anticorps anti IgG des cellules maternelles et à une activation du complément</w:t>
      </w:r>
      <w:r w:rsidR="005E1490" w:rsidRPr="00F852AE">
        <w:rPr>
          <w:rFonts w:ascii="Arial" w:hAnsi="Arial"/>
          <w:sz w:val="24"/>
          <w:lang w:val="fr-CA"/>
        </w:rPr>
        <w:t xml:space="preserve"> avec de tels échantillons</w:t>
      </w:r>
      <w:r w:rsidR="005A64ED" w:rsidRPr="00F852AE">
        <w:rPr>
          <w:rFonts w:ascii="Arial" w:hAnsi="Arial"/>
          <w:sz w:val="24"/>
          <w:vertAlign w:val="superscript"/>
          <w:lang w:val="fr-CA"/>
        </w:rPr>
        <w:t>9.1</w:t>
      </w:r>
      <w:r w:rsidR="005A64ED" w:rsidRPr="00F852AE">
        <w:rPr>
          <w:rFonts w:ascii="Arial" w:hAnsi="Arial"/>
          <w:sz w:val="24"/>
          <w:lang w:val="fr-CA"/>
        </w:rPr>
        <w:t>.</w:t>
      </w:r>
    </w:p>
    <w:p w:rsidR="007476DA" w:rsidRDefault="007476DA">
      <w:pPr>
        <w:ind w:left="720"/>
        <w:rPr>
          <w:rFonts w:ascii="Arial" w:hAnsi="Arial"/>
          <w:sz w:val="24"/>
          <w:lang w:val="fr-CA"/>
        </w:rPr>
      </w:pPr>
    </w:p>
    <w:p w:rsidR="007476DA" w:rsidRDefault="007476DA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 w:rsidRPr="00492148">
        <w:rPr>
          <w:rFonts w:ascii="Arial" w:hAnsi="Arial"/>
          <w:sz w:val="24"/>
          <w:lang w:val="fr-CA"/>
        </w:rPr>
        <w:t>La présence d’un témoin positif pourrait être attribuable à une forte agglutination froide d</w:t>
      </w:r>
      <w:r>
        <w:rPr>
          <w:rFonts w:ascii="Arial" w:hAnsi="Arial"/>
          <w:sz w:val="24"/>
          <w:lang w:val="fr-CA"/>
        </w:rPr>
        <w:t>ans le plasma du patient. Le cas échéant, répéter le TDA mais laver toutes les cellules à l’aide d’un</w:t>
      </w:r>
      <w:r w:rsidR="009904C0">
        <w:rPr>
          <w:rFonts w:ascii="Arial" w:hAnsi="Arial"/>
          <w:sz w:val="24"/>
          <w:lang w:val="fr-CA"/>
        </w:rPr>
        <w:t>e solution saline normale</w:t>
      </w:r>
      <w:r>
        <w:rPr>
          <w:rFonts w:ascii="Arial" w:hAnsi="Arial"/>
          <w:sz w:val="24"/>
          <w:lang w:val="fr-CA"/>
        </w:rPr>
        <w:t xml:space="preserve"> à 37 °C avant d’ajouter les réactifs.</w:t>
      </w:r>
    </w:p>
    <w:p w:rsidR="007476DA" w:rsidRDefault="007476DA">
      <w:pPr>
        <w:rPr>
          <w:rFonts w:ascii="Arial" w:hAnsi="Arial"/>
          <w:sz w:val="24"/>
          <w:lang w:val="fr-CA"/>
        </w:rPr>
      </w:pPr>
    </w:p>
    <w:p w:rsidR="005A64ED" w:rsidRDefault="00492148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Consulter à la </w:t>
      </w:r>
      <w:r w:rsidRPr="00043A5C">
        <w:rPr>
          <w:rFonts w:ascii="Arial" w:hAnsi="Arial"/>
          <w:sz w:val="24"/>
          <w:lang w:val="fr-CA"/>
        </w:rPr>
        <w:t>page 9 le</w:t>
      </w:r>
      <w:r>
        <w:rPr>
          <w:rFonts w:ascii="Arial" w:hAnsi="Arial"/>
          <w:sz w:val="24"/>
          <w:lang w:val="fr-CA"/>
        </w:rPr>
        <w:t xml:space="preserve"> </w:t>
      </w:r>
      <w:r w:rsidR="007476DA">
        <w:rPr>
          <w:rFonts w:ascii="Arial" w:hAnsi="Arial"/>
          <w:sz w:val="24"/>
          <w:lang w:val="fr-CA"/>
        </w:rPr>
        <w:t xml:space="preserve">Tableau 1 </w:t>
      </w:r>
      <w:r>
        <w:rPr>
          <w:rFonts w:ascii="Arial" w:hAnsi="Arial"/>
          <w:sz w:val="24"/>
          <w:lang w:val="fr-CA"/>
        </w:rPr>
        <w:t xml:space="preserve">regroupant les </w:t>
      </w:r>
      <w:r w:rsidR="007476DA">
        <w:rPr>
          <w:rFonts w:ascii="Arial" w:hAnsi="Arial"/>
          <w:sz w:val="24"/>
          <w:lang w:val="fr-CA"/>
        </w:rPr>
        <w:t xml:space="preserve">médicaments </w:t>
      </w:r>
      <w:r w:rsidR="000F3435">
        <w:rPr>
          <w:rFonts w:ascii="Arial" w:hAnsi="Arial"/>
          <w:sz w:val="24"/>
          <w:lang w:val="fr-CA"/>
        </w:rPr>
        <w:t>dont le lien avec un</w:t>
      </w:r>
      <w:r w:rsidR="007476DA">
        <w:rPr>
          <w:rFonts w:ascii="Arial" w:hAnsi="Arial"/>
          <w:sz w:val="24"/>
          <w:lang w:val="fr-CA"/>
        </w:rPr>
        <w:t xml:space="preserve"> TDA positif</w:t>
      </w:r>
      <w:r w:rsidR="000F3435">
        <w:rPr>
          <w:rFonts w:ascii="Arial" w:hAnsi="Arial"/>
          <w:sz w:val="24"/>
          <w:lang w:val="fr-CA"/>
        </w:rPr>
        <w:t xml:space="preserve"> est connu</w:t>
      </w:r>
      <w:r w:rsidR="007476DA">
        <w:rPr>
          <w:rFonts w:ascii="Arial" w:hAnsi="Arial"/>
          <w:sz w:val="24"/>
          <w:lang w:val="fr-CA"/>
        </w:rPr>
        <w:t>.</w:t>
      </w:r>
    </w:p>
    <w:p w:rsidR="007476DA" w:rsidRDefault="005A64ED" w:rsidP="00F90BF2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sz w:val="24"/>
          <w:lang w:val="fr-CA"/>
        </w:rPr>
        <w:br w:type="page"/>
      </w:r>
      <w:r w:rsidR="007476DA">
        <w:rPr>
          <w:rFonts w:ascii="Arial" w:hAnsi="Arial"/>
          <w:b/>
          <w:sz w:val="28"/>
          <w:lang w:val="fr-CA"/>
        </w:rPr>
        <w:t xml:space="preserve">Références </w:t>
      </w:r>
    </w:p>
    <w:p w:rsidR="007476DA" w:rsidRDefault="007476DA">
      <w:pPr>
        <w:rPr>
          <w:rFonts w:ascii="Arial" w:hAnsi="Arial"/>
          <w:sz w:val="24"/>
          <w:lang w:val="fr-CA"/>
        </w:rPr>
      </w:pPr>
    </w:p>
    <w:p w:rsidR="007476DA" w:rsidRDefault="00930B5E">
      <w:pPr>
        <w:numPr>
          <w:ilvl w:val="1"/>
          <w:numId w:val="7"/>
        </w:numPr>
        <w:rPr>
          <w:rFonts w:ascii="Arial" w:hAnsi="Arial"/>
          <w:sz w:val="24"/>
          <w:lang w:val="fr-CA"/>
        </w:rPr>
      </w:pPr>
      <w:r w:rsidRPr="009904C0">
        <w:rPr>
          <w:rFonts w:ascii="Arial" w:hAnsi="Arial"/>
          <w:i/>
          <w:sz w:val="24"/>
          <w:lang w:val="fr-CA"/>
        </w:rPr>
        <w:t>Standards for Hospital Transfusion Services</w:t>
      </w:r>
      <w:r w:rsidRPr="009904C0">
        <w:rPr>
          <w:rFonts w:ascii="Arial" w:hAnsi="Arial"/>
          <w:sz w:val="24"/>
          <w:lang w:val="fr-CA"/>
        </w:rPr>
        <w:t xml:space="preserve">, version </w:t>
      </w:r>
      <w:r w:rsidR="006A432F" w:rsidRPr="009904C0">
        <w:rPr>
          <w:rFonts w:ascii="Arial" w:hAnsi="Arial"/>
          <w:sz w:val="24"/>
          <w:lang w:val="fr-CA"/>
        </w:rPr>
        <w:t>3</w:t>
      </w:r>
      <w:r w:rsidRPr="009904C0">
        <w:rPr>
          <w:rFonts w:ascii="Arial" w:hAnsi="Arial"/>
          <w:sz w:val="24"/>
          <w:lang w:val="fr-CA"/>
        </w:rPr>
        <w:t xml:space="preserve"> – </w:t>
      </w:r>
      <w:r w:rsidR="006A432F" w:rsidRPr="009904C0">
        <w:rPr>
          <w:rFonts w:ascii="Arial" w:hAnsi="Arial"/>
          <w:sz w:val="24"/>
          <w:lang w:val="fr-CA"/>
        </w:rPr>
        <w:t>février</w:t>
      </w:r>
      <w:r w:rsidRPr="009904C0">
        <w:rPr>
          <w:rFonts w:ascii="Arial" w:hAnsi="Arial"/>
          <w:sz w:val="24"/>
          <w:lang w:val="fr-CA"/>
        </w:rPr>
        <w:t xml:space="preserve"> 20</w:t>
      </w:r>
      <w:r w:rsidR="006A432F" w:rsidRPr="009904C0">
        <w:rPr>
          <w:rFonts w:ascii="Arial" w:hAnsi="Arial"/>
          <w:sz w:val="24"/>
          <w:lang w:val="fr-CA"/>
        </w:rPr>
        <w:t>11</w:t>
      </w:r>
      <w:r w:rsidRPr="009904C0">
        <w:rPr>
          <w:rFonts w:ascii="Arial" w:hAnsi="Arial"/>
          <w:sz w:val="24"/>
          <w:lang w:val="fr-CA"/>
        </w:rPr>
        <w:t xml:space="preserve"> Société </w:t>
      </w:r>
      <w:r>
        <w:rPr>
          <w:rFonts w:ascii="Arial" w:hAnsi="Arial"/>
          <w:sz w:val="24"/>
          <w:lang w:val="fr-CA"/>
        </w:rPr>
        <w:t>canadienne de médecine transfusionnelle</w:t>
      </w:r>
      <w:r w:rsidRPr="009904C0">
        <w:rPr>
          <w:rFonts w:ascii="Arial" w:hAnsi="Arial"/>
          <w:sz w:val="24"/>
          <w:lang w:val="fr-CA"/>
        </w:rPr>
        <w:t xml:space="preserve">, </w:t>
      </w:r>
      <w:r w:rsidR="00043A5C" w:rsidRPr="009904C0">
        <w:rPr>
          <w:rFonts w:ascii="Arial" w:hAnsi="Arial"/>
          <w:sz w:val="24"/>
          <w:lang w:val="fr-CA"/>
        </w:rPr>
        <w:t xml:space="preserve">p. </w:t>
      </w:r>
      <w:r w:rsidRPr="009904C0">
        <w:rPr>
          <w:rFonts w:ascii="Arial" w:hAnsi="Arial"/>
          <w:sz w:val="24"/>
          <w:lang w:val="fr-CA"/>
        </w:rPr>
        <w:t>5.3.6.1, 5.3.6.2, 5.3.1.1</w:t>
      </w:r>
      <w:r w:rsidR="007476DA">
        <w:rPr>
          <w:rFonts w:ascii="Arial" w:hAnsi="Arial"/>
          <w:sz w:val="24"/>
          <w:lang w:val="fr-CA"/>
        </w:rPr>
        <w:t>.</w:t>
      </w:r>
    </w:p>
    <w:p w:rsidR="00F90BF2" w:rsidRPr="00F90BF2" w:rsidRDefault="00F90BF2" w:rsidP="00F90BF2">
      <w:pPr>
        <w:ind w:left="1440"/>
        <w:rPr>
          <w:rFonts w:ascii="Arial" w:hAnsi="Arial"/>
          <w:sz w:val="24"/>
          <w:lang w:val="fr-CA"/>
        </w:rPr>
      </w:pPr>
    </w:p>
    <w:p w:rsidR="007476DA" w:rsidRDefault="00930B5E">
      <w:pPr>
        <w:numPr>
          <w:ilvl w:val="1"/>
          <w:numId w:val="7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</w:rPr>
        <w:t xml:space="preserve">ROBACK JD, éd. </w:t>
      </w:r>
      <w:r w:rsidRPr="00043A5C">
        <w:rPr>
          <w:rFonts w:ascii="Arial" w:hAnsi="Arial"/>
          <w:i/>
          <w:sz w:val="24"/>
        </w:rPr>
        <w:t>American Association of Blood Banks Technical Manual</w:t>
      </w:r>
      <w:r>
        <w:rPr>
          <w:rFonts w:ascii="Arial" w:hAnsi="Arial"/>
          <w:sz w:val="24"/>
        </w:rPr>
        <w:t>, 1</w:t>
      </w:r>
      <w:r w:rsidR="006A432F">
        <w:rPr>
          <w:rFonts w:ascii="Arial" w:hAnsi="Arial"/>
          <w:sz w:val="24"/>
        </w:rPr>
        <w:t>7</w:t>
      </w:r>
      <w:r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éd. Bethesda, MD:  American Association of Blood Banks </w:t>
      </w:r>
      <w:r w:rsidR="00043A5C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2008</w:t>
      </w:r>
      <w:r w:rsidR="00043A5C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, </w:t>
      </w:r>
      <w:r w:rsidR="00043A5C">
        <w:rPr>
          <w:rFonts w:ascii="Arial" w:hAnsi="Arial"/>
          <w:sz w:val="24"/>
        </w:rPr>
        <w:t xml:space="preserve">p. </w:t>
      </w:r>
      <w:r>
        <w:rPr>
          <w:rFonts w:ascii="Arial" w:hAnsi="Arial"/>
          <w:sz w:val="24"/>
        </w:rPr>
        <w:t>49</w:t>
      </w:r>
      <w:r w:rsidR="006A432F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-</w:t>
      </w:r>
      <w:r w:rsidR="006A432F">
        <w:rPr>
          <w:rFonts w:ascii="Arial" w:hAnsi="Arial"/>
          <w:sz w:val="24"/>
        </w:rPr>
        <w:t>299; 905-906</w:t>
      </w:r>
      <w:r w:rsidR="007476DA">
        <w:rPr>
          <w:rFonts w:ascii="Arial" w:hAnsi="Arial"/>
          <w:sz w:val="24"/>
          <w:lang w:val="fr-CA"/>
        </w:rPr>
        <w:t>.</w:t>
      </w:r>
    </w:p>
    <w:p w:rsidR="00F90BF2" w:rsidRPr="00F90BF2" w:rsidRDefault="00F90BF2" w:rsidP="00F90BF2">
      <w:pPr>
        <w:ind w:left="1440"/>
        <w:rPr>
          <w:rFonts w:ascii="Arial" w:hAnsi="Arial"/>
          <w:sz w:val="24"/>
          <w:lang w:val="en-CA"/>
        </w:rPr>
      </w:pPr>
    </w:p>
    <w:p w:rsidR="007476DA" w:rsidRPr="009904C0" w:rsidRDefault="00930B5E">
      <w:pPr>
        <w:numPr>
          <w:ilvl w:val="1"/>
          <w:numId w:val="7"/>
        </w:numPr>
        <w:rPr>
          <w:rFonts w:ascii="Arial" w:hAnsi="Arial"/>
          <w:sz w:val="24"/>
          <w:lang w:val="en-CA"/>
        </w:rPr>
      </w:pPr>
      <w:r>
        <w:rPr>
          <w:rFonts w:ascii="Arial" w:hAnsi="Arial"/>
          <w:sz w:val="24"/>
        </w:rPr>
        <w:t xml:space="preserve">JUDD, WJ. </w:t>
      </w:r>
      <w:r w:rsidRPr="00043A5C">
        <w:rPr>
          <w:rFonts w:ascii="Arial" w:hAnsi="Arial"/>
          <w:i/>
          <w:sz w:val="24"/>
        </w:rPr>
        <w:t>Methods in Immunohematology</w:t>
      </w:r>
      <w:r>
        <w:rPr>
          <w:rFonts w:ascii="Arial" w:hAnsi="Arial"/>
          <w:sz w:val="24"/>
        </w:rPr>
        <w:t>, 3</w:t>
      </w:r>
      <w:r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éd. Bethesda, MD: American Association of Blood Banks </w:t>
      </w:r>
      <w:r w:rsidR="00043A5C">
        <w:rPr>
          <w:rFonts w:ascii="Arial" w:hAnsi="Arial"/>
          <w:sz w:val="24"/>
        </w:rPr>
        <w:t>(</w:t>
      </w:r>
      <w:r>
        <w:rPr>
          <w:rFonts w:ascii="Arial" w:hAnsi="Arial"/>
          <w:sz w:val="24"/>
        </w:rPr>
        <w:t>2008</w:t>
      </w:r>
      <w:r w:rsidR="00043A5C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, </w:t>
      </w:r>
      <w:r w:rsidR="00043A5C">
        <w:rPr>
          <w:rFonts w:ascii="Arial" w:hAnsi="Arial"/>
          <w:sz w:val="24"/>
        </w:rPr>
        <w:t xml:space="preserve">p. </w:t>
      </w:r>
      <w:r>
        <w:rPr>
          <w:rFonts w:ascii="Arial" w:hAnsi="Arial"/>
          <w:sz w:val="24"/>
        </w:rPr>
        <w:t>418-42</w:t>
      </w:r>
      <w:r w:rsidR="006A432F">
        <w:rPr>
          <w:rFonts w:ascii="Arial" w:hAnsi="Arial"/>
          <w:sz w:val="24"/>
        </w:rPr>
        <w:t>0</w:t>
      </w:r>
      <w:r w:rsidR="007476DA" w:rsidRPr="009904C0">
        <w:rPr>
          <w:rFonts w:ascii="Arial" w:hAnsi="Arial"/>
          <w:sz w:val="24"/>
          <w:lang w:val="en-CA"/>
        </w:rPr>
        <w:t>.</w:t>
      </w:r>
    </w:p>
    <w:p w:rsidR="007476DA" w:rsidRPr="009904C0" w:rsidRDefault="007476DA">
      <w:pPr>
        <w:ind w:left="720"/>
        <w:rPr>
          <w:rFonts w:ascii="Arial" w:hAnsi="Arial"/>
          <w:sz w:val="24"/>
          <w:lang w:val="en-CA"/>
        </w:rPr>
      </w:pPr>
    </w:p>
    <w:p w:rsidR="00A343B2" w:rsidRDefault="00A343B2" w:rsidP="00A343B2">
      <w:pPr>
        <w:pStyle w:val="ListParagraph"/>
        <w:numPr>
          <w:ilvl w:val="0"/>
          <w:numId w:val="12"/>
        </w:numPr>
        <w:contextualSpacing/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</w:p>
    <w:p w:rsidR="00E723CE" w:rsidRDefault="00E723CE" w:rsidP="00E723CE">
      <w:pPr>
        <w:pStyle w:val="ListParagraph"/>
        <w:ind w:left="720"/>
        <w:contextualSpacing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5346"/>
      </w:tblGrid>
      <w:tr w:rsidR="00E723CE" w:rsidRPr="00AA3396" w:rsidTr="002A1A63">
        <w:trPr>
          <w:cantSplit/>
        </w:trPr>
        <w:tc>
          <w:tcPr>
            <w:tcW w:w="3369" w:type="dxa"/>
            <w:shd w:val="clear" w:color="auto" w:fill="F2F2F2"/>
          </w:tcPr>
          <w:p w:rsidR="00E723CE" w:rsidRPr="004050E8" w:rsidRDefault="00E723CE" w:rsidP="009427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487" w:type="dxa"/>
            <w:shd w:val="clear" w:color="auto" w:fill="F2F2F2"/>
          </w:tcPr>
          <w:p w:rsidR="00E723CE" w:rsidRPr="004050E8" w:rsidRDefault="00E723CE" w:rsidP="009427D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E723CE" w:rsidRPr="00AA3396" w:rsidTr="002A1A63">
        <w:trPr>
          <w:cantSplit/>
          <w:trHeight w:val="1923"/>
        </w:trPr>
        <w:tc>
          <w:tcPr>
            <w:tcW w:w="3369" w:type="dxa"/>
          </w:tcPr>
          <w:p w:rsidR="00E723CE" w:rsidRPr="00AA3396" w:rsidRDefault="00E723CE" w:rsidP="009427D7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31 janvier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2014 </w:t>
            </w:r>
          </w:p>
        </w:tc>
        <w:tc>
          <w:tcPr>
            <w:tcW w:w="5487" w:type="dxa"/>
          </w:tcPr>
          <w:p w:rsidR="00E723CE" w:rsidRPr="00AA3396" w:rsidRDefault="00E723CE" w:rsidP="00E723CE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A3396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E723CE" w:rsidRPr="001A23E9" w:rsidRDefault="00E723CE" w:rsidP="00E723CE">
            <w:pPr>
              <w:pStyle w:val="ListParagraph"/>
              <w:keepLines/>
              <w:widowControl w:val="0"/>
              <w:numPr>
                <w:ilvl w:val="0"/>
                <w:numId w:val="17"/>
              </w:numPr>
              <w:contextualSpacing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Cha</w:t>
            </w:r>
            <w:r w:rsidRPr="001A23E9">
              <w:rPr>
                <w:rFonts w:ascii="Arial" w:hAnsi="Arial"/>
                <w:sz w:val="22"/>
                <w:szCs w:val="22"/>
                <w:lang w:val="fr-CA"/>
              </w:rPr>
              <w:t>ngement du numéro du document</w:t>
            </w:r>
            <w:r w:rsidR="006A432F" w:rsidRPr="001A23E9">
              <w:rPr>
                <w:rFonts w:ascii="Arial" w:hAnsi="Arial"/>
                <w:sz w:val="22"/>
                <w:szCs w:val="22"/>
                <w:lang w:val="fr-CA"/>
              </w:rPr>
              <w:t>,</w:t>
            </w:r>
            <w:r w:rsidRPr="001A23E9">
              <w:rPr>
                <w:rFonts w:ascii="Arial" w:hAnsi="Arial"/>
                <w:sz w:val="22"/>
                <w:szCs w:val="22"/>
                <w:lang w:val="fr-CA"/>
              </w:rPr>
              <w:t xml:space="preserve"> maintenant AR.00</w:t>
            </w:r>
            <w:r w:rsidR="006A432F" w:rsidRPr="001A23E9">
              <w:rPr>
                <w:rFonts w:ascii="Arial" w:hAnsi="Arial"/>
                <w:sz w:val="22"/>
                <w:szCs w:val="22"/>
                <w:lang w:val="fr-CA"/>
              </w:rPr>
              <w:t>7 et mise à jour des références</w:t>
            </w:r>
            <w:r w:rsidR="001A23E9" w:rsidRPr="001A23E9">
              <w:rPr>
                <w:rFonts w:ascii="Arial" w:hAnsi="Arial"/>
                <w:sz w:val="22"/>
                <w:szCs w:val="22"/>
                <w:lang w:val="fr-CA"/>
              </w:rPr>
              <w:t xml:space="preserve"> à d’autres procédures connexes</w:t>
            </w:r>
            <w:r w:rsidRPr="001A23E9">
              <w:rPr>
                <w:rFonts w:ascii="Arial" w:hAnsi="Arial"/>
                <w:sz w:val="22"/>
                <w:szCs w:val="22"/>
                <w:lang w:val="fr-CA"/>
              </w:rPr>
              <w:t>.</w:t>
            </w:r>
          </w:p>
          <w:p w:rsidR="001A23E9" w:rsidRPr="001A23E9" w:rsidRDefault="001A23E9" w:rsidP="001A23E9">
            <w:pPr>
              <w:numPr>
                <w:ilvl w:val="0"/>
                <w:numId w:val="19"/>
              </w:numPr>
              <w:rPr>
                <w:rFonts w:ascii="Arial" w:hAnsi="Arial"/>
                <w:b/>
                <w:sz w:val="28"/>
                <w:szCs w:val="28"/>
                <w:lang w:val="fr-CA"/>
              </w:rPr>
            </w:pPr>
            <w:r w:rsidRPr="001A23E9">
              <w:rPr>
                <w:rFonts w:ascii="Arial" w:hAnsi="Arial"/>
                <w:sz w:val="22"/>
                <w:szCs w:val="22"/>
                <w:lang w:val="fr-CA"/>
              </w:rPr>
              <w:t xml:space="preserve">Section 2.2 – ajout d’une référence à la Remarque  8.4 </w:t>
            </w:r>
          </w:p>
          <w:p w:rsidR="001A23E9" w:rsidRPr="001A23E9" w:rsidRDefault="001A23E9" w:rsidP="001A23E9">
            <w:pPr>
              <w:numPr>
                <w:ilvl w:val="0"/>
                <w:numId w:val="19"/>
              </w:numPr>
              <w:rPr>
                <w:rFonts w:ascii="Arial" w:hAnsi="Arial"/>
                <w:b/>
                <w:sz w:val="28"/>
                <w:szCs w:val="28"/>
                <w:lang w:val="fr-CA"/>
              </w:rPr>
            </w:pPr>
            <w:r w:rsidRPr="001A23E9">
              <w:rPr>
                <w:rFonts w:ascii="Arial" w:hAnsi="Arial"/>
                <w:sz w:val="22"/>
                <w:szCs w:val="22"/>
                <w:lang w:val="fr-CA"/>
              </w:rPr>
              <w:t xml:space="preserve">Section 6.0 – 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mise en page et correction des références </w:t>
            </w:r>
            <w:r w:rsidRPr="001A23E9">
              <w:rPr>
                <w:rFonts w:ascii="Arial" w:hAnsi="Arial"/>
                <w:sz w:val="22"/>
                <w:szCs w:val="22"/>
                <w:lang w:val="fr-CA"/>
              </w:rPr>
              <w:t xml:space="preserve">6.6 </w:t>
            </w:r>
            <w:r>
              <w:rPr>
                <w:rFonts w:ascii="Arial" w:hAnsi="Arial"/>
                <w:sz w:val="22"/>
                <w:szCs w:val="22"/>
                <w:lang w:val="fr-CA"/>
              </w:rPr>
              <w:t xml:space="preserve">à </w:t>
            </w:r>
            <w:r w:rsidRPr="001A23E9">
              <w:rPr>
                <w:rFonts w:ascii="Arial" w:hAnsi="Arial"/>
                <w:sz w:val="22"/>
                <w:szCs w:val="22"/>
                <w:lang w:val="fr-CA"/>
              </w:rPr>
              <w:t xml:space="preserve">6.4; 6.9 </w:t>
            </w:r>
            <w:r>
              <w:rPr>
                <w:rFonts w:ascii="Arial" w:hAnsi="Arial"/>
                <w:sz w:val="22"/>
                <w:szCs w:val="22"/>
                <w:lang w:val="fr-CA"/>
              </w:rPr>
              <w:t>et</w:t>
            </w:r>
            <w:r w:rsidRPr="001A23E9">
              <w:rPr>
                <w:rFonts w:ascii="Arial" w:hAnsi="Arial"/>
                <w:sz w:val="22"/>
                <w:szCs w:val="22"/>
                <w:lang w:val="fr-CA"/>
              </w:rPr>
              <w:t xml:space="preserve"> 6.10</w:t>
            </w:r>
          </w:p>
          <w:p w:rsidR="001A23E9" w:rsidRPr="001A23E9" w:rsidRDefault="001A23E9" w:rsidP="001A23E9">
            <w:pPr>
              <w:numPr>
                <w:ilvl w:val="0"/>
                <w:numId w:val="17"/>
              </w:numPr>
              <w:rPr>
                <w:rFonts w:ascii="Arial" w:hAnsi="Arial"/>
                <w:sz w:val="22"/>
                <w:lang w:val="fr-CA"/>
              </w:rPr>
            </w:pPr>
            <w:r w:rsidRPr="001A23E9">
              <w:rPr>
                <w:rFonts w:ascii="Arial" w:hAnsi="Arial"/>
                <w:sz w:val="22"/>
                <w:szCs w:val="22"/>
                <w:lang w:val="fr-CA"/>
              </w:rPr>
              <w:tab/>
              <w:t>Modification du libellé de la section 8.4 pour inclure l’emploi approprié d’anti-IgG avec des échantillons de nouveau-né ou de cordon</w:t>
            </w:r>
            <w:r w:rsidR="002A1A63">
              <w:rPr>
                <w:rFonts w:ascii="Arial" w:hAnsi="Arial"/>
                <w:sz w:val="22"/>
                <w:szCs w:val="22"/>
                <w:lang w:val="fr-CA"/>
              </w:rPr>
              <w:t>; modification de la page où se trouve le tableau 1.</w:t>
            </w:r>
            <w:r w:rsidRPr="001A23E9">
              <w:rPr>
                <w:rFonts w:ascii="Arial" w:hAnsi="Arial"/>
                <w:sz w:val="22"/>
                <w:szCs w:val="22"/>
                <w:lang w:val="fr-CA"/>
              </w:rPr>
              <w:t xml:space="preserve"> </w:t>
            </w:r>
          </w:p>
          <w:p w:rsidR="00E723CE" w:rsidRPr="00AA3396" w:rsidRDefault="001A23E9" w:rsidP="001A23E9">
            <w:pPr>
              <w:numPr>
                <w:ilvl w:val="0"/>
                <w:numId w:val="17"/>
              </w:numPr>
              <w:rPr>
                <w:rFonts w:ascii="Arial" w:hAnsi="Arial"/>
                <w:sz w:val="22"/>
                <w:szCs w:val="22"/>
                <w:lang w:val="fr-CA"/>
              </w:rPr>
            </w:pPr>
            <w:r w:rsidRPr="001A23E9">
              <w:rPr>
                <w:rFonts w:ascii="Arial" w:hAnsi="Arial"/>
                <w:sz w:val="22"/>
                <w:lang w:val="fr-CA"/>
              </w:rPr>
              <w:t xml:space="preserve">Mise à jour des références pour inclure les versions les plus récentes du document principal et du tableau </w:t>
            </w:r>
            <w:r w:rsidRPr="001A23E9">
              <w:rPr>
                <w:rFonts w:ascii="Arial" w:hAnsi="Arial"/>
                <w:sz w:val="22"/>
                <w:szCs w:val="22"/>
                <w:lang w:val="fr-CA"/>
              </w:rPr>
              <w:t>1</w:t>
            </w:r>
          </w:p>
        </w:tc>
      </w:tr>
    </w:tbl>
    <w:p w:rsidR="00E723CE" w:rsidRPr="00B1018F" w:rsidRDefault="00E723CE" w:rsidP="00E723CE">
      <w:pPr>
        <w:rPr>
          <w:rFonts w:ascii="Arial" w:hAnsi="Arial"/>
          <w:sz w:val="18"/>
          <w:lang w:val="fr-CA"/>
        </w:rPr>
      </w:pPr>
    </w:p>
    <w:p w:rsidR="00E723CE" w:rsidRDefault="00E723CE">
      <w:pPr>
        <w:pStyle w:val="Heading8"/>
        <w:jc w:val="center"/>
        <w:rPr>
          <w:rFonts w:ascii="Arial" w:hAnsi="Arial"/>
          <w:lang w:val="fr-CA"/>
        </w:rPr>
      </w:pPr>
    </w:p>
    <w:p w:rsidR="007476DA" w:rsidRDefault="006A432F">
      <w:pPr>
        <w:pStyle w:val="Heading8"/>
        <w:jc w:val="center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br w:type="page"/>
      </w:r>
      <w:r w:rsidR="007476DA">
        <w:rPr>
          <w:rFonts w:ascii="Arial" w:hAnsi="Arial"/>
          <w:lang w:val="fr-CA"/>
        </w:rPr>
        <w:t>Tableau 1</w:t>
      </w:r>
    </w:p>
    <w:p w:rsidR="007476DA" w:rsidRDefault="007476DA">
      <w:pPr>
        <w:jc w:val="center"/>
        <w:rPr>
          <w:rFonts w:ascii="Arial" w:hAnsi="Arial"/>
          <w:sz w:val="24"/>
          <w:lang w:val="fr-CA"/>
        </w:rPr>
      </w:pPr>
    </w:p>
    <w:p w:rsidR="007476DA" w:rsidRPr="00492148" w:rsidRDefault="007476DA">
      <w:pPr>
        <w:rPr>
          <w:rFonts w:ascii="Arial" w:hAnsi="Arial"/>
          <w:color w:val="000000"/>
          <w:sz w:val="24"/>
          <w:lang w:val="fr-CA"/>
        </w:rPr>
      </w:pPr>
      <w:r w:rsidRPr="00492148">
        <w:rPr>
          <w:rFonts w:ascii="Arial" w:hAnsi="Arial"/>
          <w:color w:val="000000"/>
          <w:sz w:val="24"/>
          <w:lang w:val="fr-CA"/>
        </w:rPr>
        <w:t xml:space="preserve">De nombreux médicaments sont associés à un TDA positif, </w:t>
      </w:r>
      <w:r w:rsidR="00492148" w:rsidRPr="00492148">
        <w:rPr>
          <w:rFonts w:ascii="Arial" w:hAnsi="Arial"/>
          <w:color w:val="000000"/>
          <w:sz w:val="24"/>
          <w:lang w:val="fr-CA"/>
        </w:rPr>
        <w:t xml:space="preserve">dont les suivants :  </w:t>
      </w:r>
    </w:p>
    <w:p w:rsidR="007476DA" w:rsidRPr="00492148" w:rsidRDefault="007476DA">
      <w:pPr>
        <w:rPr>
          <w:rFonts w:ascii="Arial" w:hAnsi="Arial"/>
          <w:color w:val="000000"/>
          <w:sz w:val="24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1944"/>
        <w:gridCol w:w="2970"/>
        <w:gridCol w:w="2430"/>
      </w:tblGrid>
      <w:tr w:rsidR="007476DA" w:rsidRPr="00492148">
        <w:trPr>
          <w:jc w:val="center"/>
        </w:trPr>
        <w:tc>
          <w:tcPr>
            <w:tcW w:w="2214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 w:rsidRPr="00492148">
              <w:rPr>
                <w:rFonts w:ascii="Arial" w:hAnsi="Arial"/>
                <w:color w:val="000000"/>
                <w:sz w:val="24"/>
                <w:lang w:val="fr-CA"/>
              </w:rPr>
              <w:t>MÉCANISME</w:t>
            </w:r>
          </w:p>
        </w:tc>
        <w:tc>
          <w:tcPr>
            <w:tcW w:w="1944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 w:rsidRPr="00492148">
              <w:rPr>
                <w:rFonts w:ascii="Arial" w:hAnsi="Arial"/>
                <w:color w:val="000000"/>
                <w:sz w:val="24"/>
                <w:lang w:val="fr-CA"/>
              </w:rPr>
              <w:t xml:space="preserve">MÉDICAMENT </w:t>
            </w:r>
          </w:p>
        </w:tc>
        <w:tc>
          <w:tcPr>
            <w:tcW w:w="2970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 w:rsidRPr="00492148">
              <w:rPr>
                <w:rFonts w:ascii="Arial" w:hAnsi="Arial"/>
                <w:color w:val="000000"/>
                <w:sz w:val="24"/>
                <w:lang w:val="fr-CA"/>
              </w:rPr>
              <w:t xml:space="preserve">CATÉGORIE D’IMMUNOGLOBULINE </w:t>
            </w:r>
          </w:p>
        </w:tc>
        <w:tc>
          <w:tcPr>
            <w:tcW w:w="2430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sz w:val="24"/>
                <w:lang w:val="fr-CA"/>
              </w:rPr>
            </w:pPr>
            <w:r w:rsidRPr="00492148">
              <w:rPr>
                <w:rFonts w:ascii="Arial" w:hAnsi="Arial"/>
                <w:color w:val="000000"/>
                <w:sz w:val="24"/>
                <w:lang w:val="fr-CA"/>
              </w:rPr>
              <w:t>ACTIVITÉ</w:t>
            </w:r>
          </w:p>
        </w:tc>
      </w:tr>
      <w:tr w:rsidR="007476DA" w:rsidRPr="00492148">
        <w:trPr>
          <w:jc w:val="center"/>
        </w:trPr>
        <w:tc>
          <w:tcPr>
            <w:tcW w:w="2214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t>Adsorption médicamenteuse</w:t>
            </w:r>
          </w:p>
        </w:tc>
        <w:tc>
          <w:tcPr>
            <w:tcW w:w="1944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t>Pénicillines,</w:t>
            </w:r>
          </w:p>
          <w:p w:rsidR="007476DA" w:rsidRPr="00492148" w:rsidRDefault="007476DA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t>Céphalosporines</w:t>
            </w:r>
          </w:p>
        </w:tc>
        <w:tc>
          <w:tcPr>
            <w:tcW w:w="2970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t>IgG (parfois C3 aussi)</w:t>
            </w:r>
          </w:p>
        </w:tc>
        <w:tc>
          <w:tcPr>
            <w:tcW w:w="2430" w:type="dxa"/>
          </w:tcPr>
          <w:p w:rsidR="007476DA" w:rsidRPr="00492148" w:rsidRDefault="007476DA" w:rsidP="00E22709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t xml:space="preserve">Réaction avec les globules rouges </w:t>
            </w:r>
            <w:r w:rsidR="00E22709">
              <w:rPr>
                <w:rFonts w:ascii="Arial" w:hAnsi="Arial"/>
                <w:color w:val="000000"/>
                <w:lang w:val="fr-CA"/>
              </w:rPr>
              <w:t xml:space="preserve">recouverts du médicament, </w:t>
            </w:r>
            <w:r w:rsidRPr="00492148">
              <w:rPr>
                <w:rFonts w:ascii="Arial" w:hAnsi="Arial"/>
                <w:color w:val="000000"/>
                <w:lang w:val="fr-CA"/>
              </w:rPr>
              <w:t xml:space="preserve"> mais </w:t>
            </w:r>
            <w:r w:rsidR="00E22709">
              <w:rPr>
                <w:rFonts w:ascii="Arial" w:hAnsi="Arial"/>
                <w:color w:val="000000"/>
                <w:lang w:val="fr-CA"/>
              </w:rPr>
              <w:t>non</w:t>
            </w:r>
            <w:r w:rsidRPr="00492148">
              <w:rPr>
                <w:rFonts w:ascii="Arial" w:hAnsi="Arial"/>
                <w:color w:val="000000"/>
                <w:lang w:val="fr-CA"/>
              </w:rPr>
              <w:t xml:space="preserve"> avec les globules rouges non traités </w:t>
            </w:r>
          </w:p>
        </w:tc>
      </w:tr>
      <w:tr w:rsidR="007476DA" w:rsidRPr="00492148">
        <w:trPr>
          <w:jc w:val="center"/>
        </w:trPr>
        <w:tc>
          <w:tcPr>
            <w:tcW w:w="2214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t>Complexe immun</w:t>
            </w:r>
          </w:p>
        </w:tc>
        <w:tc>
          <w:tcPr>
            <w:tcW w:w="1944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t>Phénacétine, quinidine, céphalosporines antihistamin</w:t>
            </w:r>
            <w:r w:rsidR="00492148" w:rsidRPr="00492148">
              <w:rPr>
                <w:rFonts w:ascii="Arial" w:hAnsi="Arial"/>
                <w:color w:val="000000"/>
                <w:lang w:val="fr-CA"/>
              </w:rPr>
              <w:t xml:space="preserve">iques </w:t>
            </w:r>
            <w:r w:rsidRPr="00492148">
              <w:rPr>
                <w:rFonts w:ascii="Arial" w:hAnsi="Arial"/>
                <w:color w:val="000000"/>
                <w:lang w:val="fr-CA"/>
              </w:rPr>
              <w:t>de 3</w:t>
            </w:r>
            <w:r w:rsidRPr="00492148">
              <w:rPr>
                <w:rFonts w:ascii="Arial" w:hAnsi="Arial"/>
                <w:color w:val="000000"/>
                <w:vertAlign w:val="superscript"/>
                <w:lang w:val="fr-CA"/>
              </w:rPr>
              <w:t>e</w:t>
            </w:r>
            <w:r w:rsidRPr="00492148">
              <w:rPr>
                <w:rFonts w:ascii="Arial" w:hAnsi="Arial"/>
                <w:color w:val="000000"/>
                <w:lang w:val="fr-CA"/>
              </w:rPr>
              <w:t xml:space="preserve"> génération </w:t>
            </w:r>
          </w:p>
        </w:tc>
        <w:tc>
          <w:tcPr>
            <w:tcW w:w="2970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t>C3 (parfois IgG aussi)</w:t>
            </w:r>
          </w:p>
        </w:tc>
        <w:tc>
          <w:tcPr>
            <w:tcW w:w="2430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t xml:space="preserve">Le sérum réagit avec les globules rouges seulement en présence du médicament; </w:t>
            </w:r>
            <w:r w:rsidR="00492148" w:rsidRPr="00492148">
              <w:rPr>
                <w:rFonts w:ascii="Arial" w:hAnsi="Arial"/>
                <w:color w:val="000000"/>
                <w:lang w:val="fr-CA"/>
              </w:rPr>
              <w:t>l’é</w:t>
            </w:r>
            <w:r w:rsidRPr="00492148">
              <w:rPr>
                <w:rFonts w:ascii="Arial" w:hAnsi="Arial"/>
                <w:color w:val="000000"/>
                <w:lang w:val="fr-CA"/>
              </w:rPr>
              <w:t xml:space="preserve">luat </w:t>
            </w:r>
            <w:r w:rsidR="00492148" w:rsidRPr="00492148">
              <w:rPr>
                <w:rFonts w:ascii="Arial" w:hAnsi="Arial"/>
                <w:color w:val="000000"/>
                <w:lang w:val="fr-CA"/>
              </w:rPr>
              <w:t>ne réagit pas</w:t>
            </w:r>
          </w:p>
        </w:tc>
      </w:tr>
      <w:tr w:rsidR="007476DA" w:rsidRPr="00492148">
        <w:trPr>
          <w:jc w:val="center"/>
        </w:trPr>
        <w:tc>
          <w:tcPr>
            <w:tcW w:w="2214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t xml:space="preserve">Adsorption protéinique non immunologique </w:t>
            </w:r>
          </w:p>
        </w:tc>
        <w:tc>
          <w:tcPr>
            <w:tcW w:w="1944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t>Céfalotine</w:t>
            </w:r>
          </w:p>
        </w:tc>
        <w:tc>
          <w:tcPr>
            <w:tcW w:w="2970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t>IgG + C3 + albumine, etc.</w:t>
            </w:r>
          </w:p>
        </w:tc>
        <w:tc>
          <w:tcPr>
            <w:tcW w:w="2430" w:type="dxa"/>
          </w:tcPr>
          <w:p w:rsidR="007476DA" w:rsidRPr="00492148" w:rsidRDefault="00492148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t>Le sérum peut contenir une faible concentration d’</w:t>
            </w:r>
            <w:r w:rsidR="007476DA" w:rsidRPr="00492148">
              <w:rPr>
                <w:rFonts w:ascii="Arial" w:hAnsi="Arial"/>
                <w:color w:val="000000"/>
                <w:lang w:val="fr-CA"/>
              </w:rPr>
              <w:t xml:space="preserve">anticorps </w:t>
            </w:r>
            <w:r w:rsidRPr="00492148">
              <w:rPr>
                <w:rFonts w:ascii="Arial" w:hAnsi="Arial"/>
                <w:color w:val="000000"/>
                <w:lang w:val="fr-CA"/>
              </w:rPr>
              <w:t xml:space="preserve">au </w:t>
            </w:r>
            <w:r w:rsidR="007476DA" w:rsidRPr="00492148">
              <w:rPr>
                <w:rFonts w:ascii="Arial" w:hAnsi="Arial"/>
                <w:color w:val="000000"/>
                <w:lang w:val="fr-CA"/>
              </w:rPr>
              <w:t xml:space="preserve">médicament; </w:t>
            </w:r>
            <w:r w:rsidRPr="00492148">
              <w:rPr>
                <w:rFonts w:ascii="Arial" w:hAnsi="Arial"/>
                <w:color w:val="000000"/>
                <w:lang w:val="fr-CA"/>
              </w:rPr>
              <w:t>l’éluat ne réagit pas</w:t>
            </w:r>
          </w:p>
        </w:tc>
      </w:tr>
      <w:tr w:rsidR="007476DA" w:rsidRPr="00492148">
        <w:trPr>
          <w:jc w:val="center"/>
        </w:trPr>
        <w:tc>
          <w:tcPr>
            <w:tcW w:w="2214" w:type="dxa"/>
          </w:tcPr>
          <w:p w:rsidR="007476DA" w:rsidRPr="00492148" w:rsidRDefault="00E22709">
            <w:pPr>
              <w:rPr>
                <w:rFonts w:ascii="Arial" w:hAnsi="Arial"/>
                <w:color w:val="000000"/>
                <w:lang w:val="fr-CA"/>
              </w:rPr>
            </w:pPr>
            <w:r>
              <w:rPr>
                <w:rFonts w:ascii="Arial" w:hAnsi="Arial"/>
                <w:color w:val="000000"/>
                <w:lang w:val="fr-CA"/>
              </w:rPr>
              <w:t>Auto-immunité</w:t>
            </w:r>
          </w:p>
        </w:tc>
        <w:tc>
          <w:tcPr>
            <w:tcW w:w="1944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sym w:font="Symbol" w:char="F061"/>
            </w:r>
            <w:r w:rsidRPr="00492148">
              <w:rPr>
                <w:rFonts w:ascii="Arial" w:hAnsi="Arial"/>
                <w:color w:val="000000"/>
                <w:lang w:val="fr-CA"/>
              </w:rPr>
              <w:t>-méthyldopa</w:t>
            </w:r>
          </w:p>
          <w:p w:rsidR="007476DA" w:rsidRPr="00492148" w:rsidRDefault="007476DA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t>(Aldomet), proca</w:t>
            </w:r>
            <w:r w:rsidR="00492148" w:rsidRPr="00492148">
              <w:rPr>
                <w:rFonts w:ascii="Arial" w:hAnsi="Arial"/>
                <w:color w:val="000000"/>
                <w:lang w:val="fr-CA"/>
              </w:rPr>
              <w:t>ï</w:t>
            </w:r>
            <w:r w:rsidRPr="00492148">
              <w:rPr>
                <w:rFonts w:ascii="Arial" w:hAnsi="Arial"/>
                <w:color w:val="000000"/>
                <w:lang w:val="fr-CA"/>
              </w:rPr>
              <w:t>namide</w:t>
            </w:r>
          </w:p>
        </w:tc>
        <w:tc>
          <w:tcPr>
            <w:tcW w:w="2970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t>IgG (rarement C3 aussi)</w:t>
            </w:r>
          </w:p>
        </w:tc>
        <w:tc>
          <w:tcPr>
            <w:tcW w:w="2430" w:type="dxa"/>
          </w:tcPr>
          <w:p w:rsidR="007476DA" w:rsidRPr="00492148" w:rsidRDefault="007476DA">
            <w:pPr>
              <w:rPr>
                <w:rFonts w:ascii="Arial" w:hAnsi="Arial"/>
                <w:color w:val="000000"/>
                <w:lang w:val="fr-CA"/>
              </w:rPr>
            </w:pPr>
            <w:r w:rsidRPr="00492148">
              <w:rPr>
                <w:rFonts w:ascii="Arial" w:hAnsi="Arial"/>
                <w:color w:val="000000"/>
                <w:lang w:val="fr-CA"/>
              </w:rPr>
              <w:t xml:space="preserve">Réaction avec les globules rouges normaux en l’absence du médicament </w:t>
            </w:r>
          </w:p>
        </w:tc>
      </w:tr>
    </w:tbl>
    <w:p w:rsidR="007476DA" w:rsidRDefault="007476DA">
      <w:pPr>
        <w:rPr>
          <w:rFonts w:ascii="Arial" w:hAnsi="Arial"/>
          <w:sz w:val="24"/>
          <w:lang w:val="fr-CA"/>
        </w:rPr>
      </w:pPr>
    </w:p>
    <w:p w:rsidR="007476DA" w:rsidRPr="00EE1DA6" w:rsidRDefault="007476DA">
      <w:pPr>
        <w:rPr>
          <w:rFonts w:ascii="Arial" w:hAnsi="Arial"/>
          <w:color w:val="000000"/>
          <w:sz w:val="24"/>
          <w:lang w:val="fr-CA"/>
        </w:rPr>
      </w:pPr>
      <w:r w:rsidRPr="00EE1DA6">
        <w:rPr>
          <w:rFonts w:ascii="Arial" w:hAnsi="Arial"/>
          <w:color w:val="000000"/>
          <w:sz w:val="24"/>
          <w:lang w:val="fr-CA"/>
        </w:rPr>
        <w:t>Références spécifiques au TDA positif d’origine médicamenteuse.</w:t>
      </w:r>
    </w:p>
    <w:p w:rsidR="007476DA" w:rsidRPr="00EE1DA6" w:rsidRDefault="007476DA">
      <w:pPr>
        <w:rPr>
          <w:rFonts w:ascii="Arial" w:hAnsi="Arial"/>
          <w:color w:val="000000"/>
          <w:sz w:val="24"/>
          <w:lang w:val="fr-CA"/>
        </w:rPr>
      </w:pPr>
    </w:p>
    <w:p w:rsidR="00F90BF2" w:rsidRDefault="00043A5C" w:rsidP="00F90BF2">
      <w:pPr>
        <w:numPr>
          <w:ilvl w:val="0"/>
          <w:numId w:val="10"/>
        </w:numPr>
        <w:rPr>
          <w:rFonts w:ascii="Arial" w:hAnsi="Arial"/>
          <w:color w:val="000000"/>
          <w:sz w:val="24"/>
          <w:lang w:val="en-CA"/>
        </w:rPr>
      </w:pPr>
      <w:r w:rsidRPr="00F90BF2">
        <w:rPr>
          <w:rFonts w:ascii="Arial" w:hAnsi="Arial"/>
          <w:color w:val="000000"/>
          <w:sz w:val="24"/>
          <w:lang w:val="en-CA"/>
        </w:rPr>
        <w:t>REID M, LOMAS-FRANCIS C.</w:t>
      </w:r>
      <w:r w:rsidR="007476DA" w:rsidRPr="00F90BF2">
        <w:rPr>
          <w:rFonts w:ascii="Arial" w:hAnsi="Arial"/>
          <w:color w:val="000000"/>
          <w:sz w:val="24"/>
          <w:lang w:val="en-CA"/>
        </w:rPr>
        <w:t xml:space="preserve"> </w:t>
      </w:r>
      <w:r w:rsidR="007476DA" w:rsidRPr="00F90BF2">
        <w:rPr>
          <w:rFonts w:ascii="Arial" w:hAnsi="Arial"/>
          <w:i/>
          <w:color w:val="000000"/>
          <w:sz w:val="24"/>
          <w:lang w:val="en-CA"/>
        </w:rPr>
        <w:t>The Blood Group Antigen Facts Book</w:t>
      </w:r>
      <w:r w:rsidR="007476DA" w:rsidRPr="00F90BF2">
        <w:rPr>
          <w:rFonts w:ascii="Arial" w:hAnsi="Arial"/>
          <w:color w:val="000000"/>
          <w:sz w:val="24"/>
          <w:lang w:val="en-CA"/>
        </w:rPr>
        <w:t xml:space="preserve">, </w:t>
      </w:r>
      <w:r w:rsidR="003310B8" w:rsidRPr="00F90BF2">
        <w:rPr>
          <w:rFonts w:ascii="Arial" w:hAnsi="Arial"/>
          <w:color w:val="000000"/>
          <w:sz w:val="24"/>
          <w:lang w:val="en-CA"/>
        </w:rPr>
        <w:t>2</w:t>
      </w:r>
      <w:r w:rsidR="003310B8" w:rsidRPr="00F90BF2">
        <w:rPr>
          <w:rFonts w:ascii="Arial" w:hAnsi="Arial"/>
          <w:color w:val="000000"/>
          <w:sz w:val="24"/>
          <w:vertAlign w:val="superscript"/>
          <w:lang w:val="en-CA"/>
        </w:rPr>
        <w:t>e</w:t>
      </w:r>
      <w:r w:rsidR="003310B8" w:rsidRPr="00F90BF2">
        <w:rPr>
          <w:rFonts w:ascii="Arial" w:hAnsi="Arial"/>
          <w:color w:val="000000"/>
          <w:sz w:val="24"/>
          <w:lang w:val="en-CA"/>
        </w:rPr>
        <w:t xml:space="preserve"> éd, </w:t>
      </w:r>
      <w:r w:rsidR="007476DA" w:rsidRPr="00F90BF2">
        <w:rPr>
          <w:rFonts w:ascii="Arial" w:hAnsi="Arial"/>
          <w:color w:val="000000"/>
          <w:sz w:val="24"/>
          <w:lang w:val="en-CA"/>
        </w:rPr>
        <w:t xml:space="preserve">Academic Press </w:t>
      </w:r>
      <w:r w:rsidRPr="00F90BF2">
        <w:rPr>
          <w:rFonts w:ascii="Arial" w:hAnsi="Arial"/>
          <w:color w:val="000000"/>
          <w:sz w:val="24"/>
          <w:lang w:val="en-CA"/>
        </w:rPr>
        <w:t>(</w:t>
      </w:r>
      <w:r w:rsidR="003310B8" w:rsidRPr="00F90BF2">
        <w:rPr>
          <w:rFonts w:ascii="Arial" w:hAnsi="Arial"/>
          <w:color w:val="000000"/>
          <w:sz w:val="24"/>
          <w:lang w:val="en-CA"/>
        </w:rPr>
        <w:t>2004</w:t>
      </w:r>
      <w:r w:rsidRPr="00F90BF2">
        <w:rPr>
          <w:rFonts w:ascii="Arial" w:hAnsi="Arial"/>
          <w:color w:val="000000"/>
          <w:sz w:val="24"/>
          <w:lang w:val="en-CA"/>
        </w:rPr>
        <w:t>)</w:t>
      </w:r>
      <w:r w:rsidR="007476DA" w:rsidRPr="00F90BF2">
        <w:rPr>
          <w:rFonts w:ascii="Arial" w:hAnsi="Arial"/>
          <w:color w:val="000000"/>
          <w:sz w:val="24"/>
          <w:lang w:val="en-CA"/>
        </w:rPr>
        <w:t>.</w:t>
      </w:r>
    </w:p>
    <w:p w:rsidR="00F90BF2" w:rsidRDefault="00F90BF2" w:rsidP="00F90BF2">
      <w:pPr>
        <w:ind w:left="360"/>
        <w:rPr>
          <w:rFonts w:ascii="Arial" w:hAnsi="Arial"/>
          <w:color w:val="000000"/>
          <w:sz w:val="24"/>
          <w:lang w:val="en-CA"/>
        </w:rPr>
      </w:pPr>
    </w:p>
    <w:p w:rsidR="00930B5E" w:rsidRPr="00F90BF2" w:rsidRDefault="00930B5E" w:rsidP="00F90BF2">
      <w:pPr>
        <w:numPr>
          <w:ilvl w:val="0"/>
          <w:numId w:val="10"/>
        </w:numPr>
        <w:rPr>
          <w:rFonts w:ascii="Arial" w:hAnsi="Arial"/>
          <w:color w:val="000000"/>
          <w:sz w:val="24"/>
          <w:lang w:val="en-CA"/>
        </w:rPr>
      </w:pPr>
      <w:r w:rsidRPr="00F90BF2">
        <w:rPr>
          <w:rFonts w:ascii="Arial" w:hAnsi="Arial"/>
          <w:sz w:val="24"/>
        </w:rPr>
        <w:t xml:space="preserve">ROBACK JD, éd. </w:t>
      </w:r>
      <w:r w:rsidRPr="00F90BF2">
        <w:rPr>
          <w:rFonts w:ascii="Arial" w:hAnsi="Arial"/>
          <w:i/>
          <w:sz w:val="24"/>
        </w:rPr>
        <w:t>American</w:t>
      </w:r>
      <w:r w:rsidRPr="00F90BF2">
        <w:rPr>
          <w:rFonts w:ascii="Arial" w:hAnsi="Arial"/>
          <w:sz w:val="24"/>
        </w:rPr>
        <w:t xml:space="preserve"> </w:t>
      </w:r>
      <w:r w:rsidRPr="00F90BF2">
        <w:rPr>
          <w:rFonts w:ascii="Arial" w:hAnsi="Arial"/>
          <w:i/>
          <w:sz w:val="24"/>
        </w:rPr>
        <w:t>Association of Blood Banks Technical Manua</w:t>
      </w:r>
      <w:r w:rsidRPr="00F90BF2">
        <w:rPr>
          <w:rFonts w:ascii="Arial" w:hAnsi="Arial"/>
          <w:sz w:val="24"/>
        </w:rPr>
        <w:t>l, 1</w:t>
      </w:r>
      <w:r w:rsidR="003310B8" w:rsidRPr="00F90BF2">
        <w:rPr>
          <w:rFonts w:ascii="Arial" w:hAnsi="Arial"/>
          <w:sz w:val="24"/>
        </w:rPr>
        <w:t>7</w:t>
      </w:r>
      <w:r w:rsidRPr="00F90BF2">
        <w:rPr>
          <w:rFonts w:ascii="Arial" w:hAnsi="Arial"/>
          <w:sz w:val="24"/>
          <w:vertAlign w:val="superscript"/>
        </w:rPr>
        <w:t>e</w:t>
      </w:r>
      <w:r w:rsidRPr="00F90BF2">
        <w:rPr>
          <w:rFonts w:ascii="Arial" w:hAnsi="Arial"/>
          <w:sz w:val="24"/>
        </w:rPr>
        <w:t xml:space="preserve"> éd. Bethesda, MD:  American Association of Blood Banks </w:t>
      </w:r>
      <w:r w:rsidR="00043A5C" w:rsidRPr="00F90BF2">
        <w:rPr>
          <w:rFonts w:ascii="Arial" w:hAnsi="Arial"/>
          <w:sz w:val="24"/>
        </w:rPr>
        <w:t>(</w:t>
      </w:r>
      <w:r w:rsidRPr="00F90BF2">
        <w:rPr>
          <w:rFonts w:ascii="Arial" w:hAnsi="Arial"/>
          <w:sz w:val="24"/>
        </w:rPr>
        <w:t>2008</w:t>
      </w:r>
      <w:r w:rsidR="00043A5C" w:rsidRPr="00F90BF2">
        <w:rPr>
          <w:rFonts w:ascii="Arial" w:hAnsi="Arial"/>
          <w:sz w:val="24"/>
        </w:rPr>
        <w:t>)</w:t>
      </w:r>
      <w:r w:rsidRPr="00F90BF2">
        <w:rPr>
          <w:rFonts w:ascii="Arial" w:hAnsi="Arial"/>
          <w:sz w:val="24"/>
        </w:rPr>
        <w:t xml:space="preserve">, </w:t>
      </w:r>
      <w:r w:rsidR="00043A5C" w:rsidRPr="00F90BF2">
        <w:rPr>
          <w:rFonts w:ascii="Arial" w:hAnsi="Arial"/>
          <w:sz w:val="24"/>
        </w:rPr>
        <w:t xml:space="preserve">p. </w:t>
      </w:r>
      <w:r w:rsidRPr="00F90BF2">
        <w:rPr>
          <w:rFonts w:ascii="Arial" w:hAnsi="Arial"/>
          <w:sz w:val="24"/>
        </w:rPr>
        <w:t>5</w:t>
      </w:r>
      <w:r w:rsidR="003310B8" w:rsidRPr="00F90BF2">
        <w:rPr>
          <w:rFonts w:ascii="Arial" w:hAnsi="Arial"/>
          <w:sz w:val="24"/>
        </w:rPr>
        <w:t>51-552</w:t>
      </w:r>
      <w:r w:rsidRPr="00F90BF2">
        <w:rPr>
          <w:rFonts w:ascii="Arial" w:hAnsi="Arial"/>
          <w:sz w:val="24"/>
        </w:rPr>
        <w:t>.</w:t>
      </w:r>
    </w:p>
    <w:sectPr w:rsidR="00930B5E" w:rsidRPr="00F90BF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4F" w:rsidRDefault="00307D4F">
      <w:r>
        <w:separator/>
      </w:r>
    </w:p>
  </w:endnote>
  <w:endnote w:type="continuationSeparator" w:id="0">
    <w:p w:rsidR="00307D4F" w:rsidRDefault="0030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3F0B94">
      <w:trPr>
        <w:trHeight w:val="720"/>
      </w:trPr>
      <w:tc>
        <w:tcPr>
          <w:tcW w:w="1368" w:type="dxa"/>
        </w:tcPr>
        <w:p w:rsidR="003F0B94" w:rsidRDefault="003F0B94">
          <w:pPr>
            <w:pStyle w:val="Footer"/>
            <w:jc w:val="center"/>
            <w:rPr>
              <w:sz w:val="8"/>
            </w:rPr>
          </w:pPr>
        </w:p>
        <w:p w:rsidR="003F0B94" w:rsidRDefault="00F45417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2" name="Picture 2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3F0B94" w:rsidRDefault="003F0B94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A343B2" w:rsidRDefault="00A343B2" w:rsidP="00A343B2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A343B2" w:rsidRPr="009904C0" w:rsidRDefault="00A343B2" w:rsidP="00A343B2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9904C0">
            <w:rPr>
              <w:rFonts w:ascii="Arial" w:hAnsi="Arial"/>
              <w:sz w:val="18"/>
              <w:lang w:val="fr-CA"/>
            </w:rPr>
            <w:t xml:space="preserve"> </w:t>
          </w:r>
        </w:p>
        <w:p w:rsidR="003F0B94" w:rsidRPr="009904C0" w:rsidRDefault="003F0B94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3F0B94" w:rsidRPr="009904C0" w:rsidRDefault="003F0B94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3F0B94" w:rsidRDefault="003F0B94" w:rsidP="00A343B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AR.00</w:t>
          </w:r>
          <w:r w:rsidR="00A343B2">
            <w:rPr>
              <w:rFonts w:ascii="Arial" w:hAnsi="Arial"/>
              <w:sz w:val="18"/>
            </w:rPr>
            <w:t>7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2250A">
            <w:rPr>
              <w:rFonts w:ascii="Arial" w:hAnsi="Arial"/>
              <w:noProof/>
              <w:snapToGrid w:val="0"/>
              <w:sz w:val="18"/>
            </w:rPr>
            <w:t>9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2250A">
            <w:rPr>
              <w:rFonts w:ascii="Arial" w:hAnsi="Arial"/>
              <w:noProof/>
              <w:snapToGrid w:val="0"/>
              <w:sz w:val="18"/>
            </w:rPr>
            <w:t>9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3F0B94" w:rsidRDefault="003F0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3F0B94">
      <w:trPr>
        <w:trHeight w:val="720"/>
      </w:trPr>
      <w:tc>
        <w:tcPr>
          <w:tcW w:w="1368" w:type="dxa"/>
        </w:tcPr>
        <w:p w:rsidR="003F0B94" w:rsidRDefault="003F0B94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3F0B94" w:rsidRDefault="00F45417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3F0B94" w:rsidRDefault="003F0B94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A343B2" w:rsidRDefault="00A343B2" w:rsidP="00A343B2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A343B2" w:rsidRPr="009904C0" w:rsidRDefault="00A343B2" w:rsidP="00A343B2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9904C0">
            <w:rPr>
              <w:rFonts w:ascii="Arial" w:hAnsi="Arial"/>
              <w:sz w:val="18"/>
              <w:lang w:val="fr-CA"/>
            </w:rPr>
            <w:t xml:space="preserve"> </w:t>
          </w:r>
        </w:p>
        <w:p w:rsidR="003F0B94" w:rsidRPr="009904C0" w:rsidRDefault="003F0B94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494" w:type="dxa"/>
        </w:tcPr>
        <w:p w:rsidR="003F0B94" w:rsidRPr="009904C0" w:rsidRDefault="003F0B94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3F0B94" w:rsidRDefault="003F0B94" w:rsidP="00A343B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AR.00</w:t>
          </w:r>
          <w:r w:rsidR="00A343B2">
            <w:rPr>
              <w:rFonts w:ascii="Arial" w:hAnsi="Arial"/>
              <w:sz w:val="18"/>
            </w:rPr>
            <w:t>7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2250A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02250A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3F0B94" w:rsidRDefault="003F0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4F" w:rsidRDefault="00307D4F">
      <w:r>
        <w:separator/>
      </w:r>
    </w:p>
  </w:footnote>
  <w:footnote w:type="continuationSeparator" w:id="0">
    <w:p w:rsidR="00307D4F" w:rsidRDefault="0030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94" w:rsidRDefault="003F0B94">
    <w:pPr>
      <w:pStyle w:val="Header"/>
      <w:jc w:val="center"/>
      <w:rPr>
        <w:rFonts w:ascii="Arial" w:hAnsi="Arial"/>
        <w:b/>
        <w:sz w:val="28"/>
        <w:lang w:val="fr-CA"/>
      </w:rPr>
    </w:pPr>
    <w:r>
      <w:rPr>
        <w:rFonts w:ascii="Arial" w:hAnsi="Arial"/>
        <w:b/>
        <w:sz w:val="28"/>
        <w:lang w:val="fr-CA"/>
      </w:rPr>
      <w:t>Test direct à l’antiglobuline</w:t>
    </w:r>
  </w:p>
  <w:p w:rsidR="003F0B94" w:rsidRDefault="003F0B94">
    <w:pPr>
      <w:pStyle w:val="Header"/>
      <w:jc w:val="center"/>
      <w:rPr>
        <w:rFonts w:ascii="Arial" w:hAnsi="Arial"/>
        <w:sz w:val="18"/>
        <w:highlight w:val="yell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B94" w:rsidRDefault="00F45417">
    <w:pPr>
      <w:pStyle w:val="Header"/>
      <w:tabs>
        <w:tab w:val="clear" w:pos="8640"/>
        <w:tab w:val="left" w:pos="4783"/>
      </w:tabs>
    </w:pPr>
    <w:r>
      <w:rPr>
        <w:noProof/>
      </w:rPr>
      <w:drawing>
        <wp:inline distT="0" distB="0" distL="0" distR="0">
          <wp:extent cx="1162050" cy="390525"/>
          <wp:effectExtent l="0" t="0" r="0" b="0"/>
          <wp:docPr id="1" name="Picture 1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0BF2" w:rsidRDefault="00F90BF2">
    <w:pPr>
      <w:pStyle w:val="Header"/>
      <w:tabs>
        <w:tab w:val="clear" w:pos="8640"/>
        <w:tab w:val="left" w:pos="4783"/>
      </w:tabs>
    </w:pPr>
  </w:p>
  <w:p w:rsidR="00A343B2" w:rsidRPr="00F90BF2" w:rsidRDefault="00A343B2" w:rsidP="00A343B2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F90BF2">
      <w:rPr>
        <w:rFonts w:ascii="Arial" w:hAnsi="Arial" w:cs="Arial"/>
        <w:b/>
        <w:bCs/>
        <w:sz w:val="24"/>
        <w:szCs w:val="28"/>
        <w:lang w:val="fr-CA"/>
      </w:rPr>
      <w:t>Réseau régional ontarien de coordination du sang</w:t>
    </w:r>
  </w:p>
  <w:p w:rsidR="00A343B2" w:rsidRPr="00F90BF2" w:rsidRDefault="00A343B2" w:rsidP="00A343B2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F90BF2">
      <w:rPr>
        <w:rFonts w:ascii="Arial" w:hAnsi="Arial" w:cs="Arial"/>
        <w:b/>
        <w:bCs/>
        <w:sz w:val="24"/>
        <w:szCs w:val="28"/>
        <w:lang w:val="fr-CA"/>
      </w:rPr>
      <w:t>Manuel de ressources techniques en transfusion de l’Ontario</w:t>
    </w:r>
  </w:p>
  <w:p w:rsidR="003F0B94" w:rsidRDefault="003F0B94">
    <w:pPr>
      <w:pStyle w:val="Header"/>
      <w:jc w:val="center"/>
      <w:rPr>
        <w:rFonts w:ascii="Arial" w:hAnsi="Arial"/>
        <w:b/>
        <w:sz w:val="28"/>
        <w:lang w:val="fr-CA"/>
      </w:rPr>
    </w:pPr>
  </w:p>
  <w:p w:rsidR="003F0B94" w:rsidRDefault="003F0B94">
    <w:pPr>
      <w:pStyle w:val="Header"/>
      <w:jc w:val="center"/>
      <w:rPr>
        <w:rFonts w:ascii="Arial" w:hAnsi="Arial"/>
        <w:b/>
        <w:sz w:val="28"/>
        <w:lang w:val="fr-CA"/>
      </w:rPr>
    </w:pPr>
    <w:r>
      <w:rPr>
        <w:rFonts w:ascii="Arial" w:hAnsi="Arial"/>
        <w:b/>
        <w:color w:val="000000"/>
        <w:sz w:val="28"/>
        <w:lang w:val="fr-CA"/>
      </w:rPr>
      <w:t>Test direct à l’antiglobuline</w:t>
    </w:r>
  </w:p>
  <w:p w:rsidR="003F0B94" w:rsidRDefault="003F0B94">
    <w:pPr>
      <w:pStyle w:val="Header"/>
      <w:jc w:val="center"/>
      <w:rPr>
        <w:rFonts w:ascii="Arial" w:hAnsi="Arial"/>
        <w:b/>
        <w:sz w:val="28"/>
        <w:lang w:val="fr-CA"/>
      </w:rPr>
    </w:pPr>
  </w:p>
  <w:p w:rsidR="003F0B94" w:rsidRDefault="003F0B94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F4541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6CDB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2"/>
      <w:gridCol w:w="4318"/>
    </w:tblGrid>
    <w:tr w:rsidR="003F0B94">
      <w:tc>
        <w:tcPr>
          <w:tcW w:w="4428" w:type="dxa"/>
        </w:tcPr>
        <w:p w:rsidR="003F0B94" w:rsidRDefault="00930B5E" w:rsidP="00A343B2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 xml:space="preserve">Approbation : </w:t>
          </w:r>
          <w:r w:rsidR="003F0B94">
            <w:rPr>
              <w:rFonts w:ascii="Arial" w:hAnsi="Arial" w:cs="Arial"/>
              <w:lang w:val="fr-CA"/>
            </w:rPr>
            <w:t xml:space="preserve"> </w:t>
          </w:r>
        </w:p>
      </w:tc>
      <w:tc>
        <w:tcPr>
          <w:tcW w:w="4428" w:type="dxa"/>
        </w:tcPr>
        <w:p w:rsidR="003F0B94" w:rsidRDefault="003F0B94" w:rsidP="00A343B2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Document n</w:t>
          </w:r>
          <w:r>
            <w:rPr>
              <w:rFonts w:ascii="Arial" w:hAnsi="Arial" w:cs="Arial"/>
              <w:vertAlign w:val="superscript"/>
              <w:lang w:val="fr-CA"/>
            </w:rPr>
            <w:t>o</w:t>
          </w:r>
          <w:r>
            <w:rPr>
              <w:rFonts w:ascii="Arial" w:hAnsi="Arial" w:cs="Arial"/>
              <w:lang w:val="fr-CA"/>
            </w:rPr>
            <w:t xml:space="preserve"> : AR.00</w:t>
          </w:r>
          <w:r w:rsidR="00A343B2">
            <w:rPr>
              <w:rFonts w:ascii="Arial" w:hAnsi="Arial" w:cs="Arial"/>
              <w:lang w:val="fr-CA"/>
            </w:rPr>
            <w:t>7</w:t>
          </w:r>
        </w:p>
      </w:tc>
    </w:tr>
    <w:tr w:rsidR="003F0B94">
      <w:tc>
        <w:tcPr>
          <w:tcW w:w="4428" w:type="dxa"/>
        </w:tcPr>
        <w:p w:rsidR="003F0B94" w:rsidRDefault="003F0B94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 xml:space="preserve">Date de </w:t>
          </w:r>
          <w:r w:rsidR="00E22709">
            <w:rPr>
              <w:rFonts w:ascii="Arial" w:hAnsi="Arial" w:cs="Arial"/>
              <w:lang w:val="fr-CA"/>
            </w:rPr>
            <w:t>publication </w:t>
          </w:r>
          <w:r>
            <w:rPr>
              <w:rFonts w:ascii="Arial" w:hAnsi="Arial" w:cs="Arial"/>
              <w:lang w:val="fr-CA"/>
            </w:rPr>
            <w:t>: 2006/0</w:t>
          </w:r>
          <w:r w:rsidR="00082213">
            <w:rPr>
              <w:rFonts w:ascii="Arial" w:hAnsi="Arial" w:cs="Arial"/>
              <w:lang w:val="fr-CA"/>
            </w:rPr>
            <w:t>8</w:t>
          </w:r>
          <w:r>
            <w:rPr>
              <w:rFonts w:ascii="Arial" w:hAnsi="Arial" w:cs="Arial"/>
              <w:lang w:val="fr-CA"/>
            </w:rPr>
            <w:t>/01</w:t>
          </w:r>
        </w:p>
      </w:tc>
      <w:tc>
        <w:tcPr>
          <w:tcW w:w="4428" w:type="dxa"/>
        </w:tcPr>
        <w:p w:rsidR="003F0B94" w:rsidRDefault="00E22709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>Catégorie </w:t>
          </w:r>
          <w:r w:rsidR="003F0B94">
            <w:rPr>
              <w:rFonts w:ascii="Arial" w:hAnsi="Arial" w:cs="Arial"/>
              <w:lang w:val="fr-CA"/>
            </w:rPr>
            <w:t>: Analyses de routine</w:t>
          </w:r>
        </w:p>
      </w:tc>
    </w:tr>
    <w:tr w:rsidR="003F0B94">
      <w:tc>
        <w:tcPr>
          <w:tcW w:w="4428" w:type="dxa"/>
        </w:tcPr>
        <w:p w:rsidR="003F0B94" w:rsidRDefault="00930B5E" w:rsidP="00B82B65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 xml:space="preserve">Date de </w:t>
          </w:r>
          <w:r w:rsidR="00E22709">
            <w:rPr>
              <w:rFonts w:ascii="Arial" w:hAnsi="Arial" w:cs="Arial"/>
              <w:lang w:val="fr-CA"/>
            </w:rPr>
            <w:t>révision </w:t>
          </w:r>
          <w:r>
            <w:rPr>
              <w:rFonts w:ascii="Arial" w:hAnsi="Arial" w:cs="Arial"/>
              <w:lang w:val="fr-CA"/>
            </w:rPr>
            <w:t>: 2009/12/31</w:t>
          </w:r>
          <w:r w:rsidR="00A343B2">
            <w:rPr>
              <w:rFonts w:ascii="Arial" w:hAnsi="Arial" w:cs="Arial"/>
              <w:lang w:val="fr-CA"/>
            </w:rPr>
            <w:t>; 2014/01/31</w:t>
          </w:r>
        </w:p>
      </w:tc>
      <w:tc>
        <w:tcPr>
          <w:tcW w:w="4428" w:type="dxa"/>
        </w:tcPr>
        <w:p w:rsidR="003F0B94" w:rsidRDefault="003F0B94">
          <w:pPr>
            <w:pStyle w:val="Header"/>
            <w:rPr>
              <w:rFonts w:ascii="Arial" w:hAnsi="Arial" w:cs="Arial"/>
              <w:lang w:val="fr-CA"/>
            </w:rPr>
          </w:pPr>
          <w:r>
            <w:rPr>
              <w:rFonts w:ascii="Arial" w:hAnsi="Arial" w:cs="Arial"/>
              <w:lang w:val="fr-CA"/>
            </w:rPr>
            <w:t xml:space="preserve">Pages : </w:t>
          </w:r>
          <w:r>
            <w:rPr>
              <w:rFonts w:ascii="Arial" w:hAnsi="Arial" w:cs="Arial"/>
              <w:lang w:val="fr-CA"/>
            </w:rPr>
            <w:fldChar w:fldCharType="begin"/>
          </w:r>
          <w:r>
            <w:rPr>
              <w:rFonts w:ascii="Arial" w:hAnsi="Arial" w:cs="Arial"/>
              <w:lang w:val="fr-CA"/>
            </w:rPr>
            <w:instrText xml:space="preserve"> NUMPAGES </w:instrText>
          </w:r>
          <w:r>
            <w:rPr>
              <w:rFonts w:ascii="Arial" w:hAnsi="Arial" w:cs="Arial"/>
              <w:lang w:val="fr-CA"/>
            </w:rPr>
            <w:fldChar w:fldCharType="separate"/>
          </w:r>
          <w:r w:rsidR="0002250A">
            <w:rPr>
              <w:rFonts w:ascii="Arial" w:hAnsi="Arial" w:cs="Arial"/>
              <w:noProof/>
              <w:lang w:val="fr-CA"/>
            </w:rPr>
            <w:t>1</w:t>
          </w:r>
          <w:r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3F0B94" w:rsidRDefault="00F45417">
    <w:pPr>
      <w:pStyle w:val="Header"/>
      <w:tabs>
        <w:tab w:val="clear" w:pos="8640"/>
        <w:tab w:val="left" w:pos="4714"/>
      </w:tabs>
      <w:rPr>
        <w:lang w:val="fr-CA"/>
      </w:rPr>
    </w:pPr>
    <w:r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EC85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3F0B94">
      <w:rPr>
        <w:rFonts w:ascii="Arial" w:hAnsi="Arial" w:cs="Arial"/>
        <w:lang w:val="fr-CA"/>
      </w:rPr>
      <w:tab/>
    </w:r>
    <w:r w:rsidR="003F0B94">
      <w:rPr>
        <w:rFonts w:ascii="Arial" w:hAnsi="Arial" w:cs="Arial"/>
        <w:lang w:val="fr-CA"/>
      </w:rPr>
      <w:tab/>
    </w:r>
  </w:p>
  <w:p w:rsidR="003F0B94" w:rsidRDefault="003F0B94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1B2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66031"/>
    <w:multiLevelType w:val="multilevel"/>
    <w:tmpl w:val="1BCCDB6C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D419FF"/>
    <w:multiLevelType w:val="multilevel"/>
    <w:tmpl w:val="1E84303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4DC7609"/>
    <w:multiLevelType w:val="multilevel"/>
    <w:tmpl w:val="F7B6BDC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53D0BEC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4909E2"/>
    <w:multiLevelType w:val="multilevel"/>
    <w:tmpl w:val="829279C2"/>
    <w:lvl w:ilvl="0">
      <w:start w:val="6"/>
      <w:numFmt w:val="decimal"/>
      <w:lvlText w:val="%1.1"/>
      <w:lvlJc w:val="left"/>
      <w:pPr>
        <w:ind w:left="2520" w:hanging="360"/>
      </w:pPr>
      <w:rPr>
        <w:rFonts w:ascii="Arial" w:hAnsi="Arial" w:hint="default"/>
      </w:rPr>
    </w:lvl>
    <w:lvl w:ilvl="1">
      <w:start w:val="4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235C3A23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094A2D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FF43AB"/>
    <w:multiLevelType w:val="multilevel"/>
    <w:tmpl w:val="554E1CA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14D09CB"/>
    <w:multiLevelType w:val="multilevel"/>
    <w:tmpl w:val="135AD36A"/>
    <w:lvl w:ilvl="0">
      <w:start w:val="1"/>
      <w:numFmt w:val="decimal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0" w15:restartNumberingAfterBreak="0">
    <w:nsid w:val="3DF76154"/>
    <w:multiLevelType w:val="hybridMultilevel"/>
    <w:tmpl w:val="599E5958"/>
    <w:lvl w:ilvl="0" w:tplc="10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1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45300BFB"/>
    <w:multiLevelType w:val="hybridMultilevel"/>
    <w:tmpl w:val="CA8E32F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9A45EB"/>
    <w:multiLevelType w:val="multilevel"/>
    <w:tmpl w:val="829279C2"/>
    <w:lvl w:ilvl="0">
      <w:start w:val="6"/>
      <w:numFmt w:val="decimal"/>
      <w:lvlText w:val="%1.1"/>
      <w:lvlJc w:val="left"/>
      <w:pPr>
        <w:ind w:left="1800" w:hanging="360"/>
      </w:pPr>
      <w:rPr>
        <w:rFonts w:ascii="Arial" w:hAnsi="Arial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51FF7B18"/>
    <w:multiLevelType w:val="hybridMultilevel"/>
    <w:tmpl w:val="003AEF10"/>
    <w:lvl w:ilvl="0" w:tplc="EF82FB1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7060D7"/>
    <w:multiLevelType w:val="hybridMultilevel"/>
    <w:tmpl w:val="BB70435C"/>
    <w:lvl w:ilvl="0" w:tplc="2BDE5A74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B0DA3024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586A43CC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5A68B26C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4DD09542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AEEC49B8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6EBEC650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9ED00B6C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704C7C72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6" w15:restartNumberingAfterBreak="0">
    <w:nsid w:val="68747BA8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3635A4"/>
    <w:multiLevelType w:val="multilevel"/>
    <w:tmpl w:val="829279C2"/>
    <w:lvl w:ilvl="0">
      <w:start w:val="6"/>
      <w:numFmt w:val="decimal"/>
      <w:lvlText w:val="%1.1"/>
      <w:lvlJc w:val="left"/>
      <w:pPr>
        <w:ind w:left="1800" w:hanging="360"/>
      </w:pPr>
      <w:rPr>
        <w:rFonts w:ascii="Arial" w:hAnsi="Arial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720B734A"/>
    <w:multiLevelType w:val="hybridMultilevel"/>
    <w:tmpl w:val="00C00DBA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6"/>
  </w:num>
  <w:num w:numId="9">
    <w:abstractNumId w:val="7"/>
  </w:num>
  <w:num w:numId="10">
    <w:abstractNumId w:val="19"/>
  </w:num>
  <w:num w:numId="11">
    <w:abstractNumId w:val="9"/>
  </w:num>
  <w:num w:numId="12">
    <w:abstractNumId w:val="11"/>
  </w:num>
  <w:num w:numId="13">
    <w:abstractNumId w:val="3"/>
  </w:num>
  <w:num w:numId="14">
    <w:abstractNumId w:val="15"/>
  </w:num>
  <w:num w:numId="15">
    <w:abstractNumId w:val="17"/>
  </w:num>
  <w:num w:numId="16">
    <w:abstractNumId w:val="13"/>
  </w:num>
  <w:num w:numId="17">
    <w:abstractNumId w:val="18"/>
  </w:num>
  <w:num w:numId="18">
    <w:abstractNumId w:val="12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59"/>
    <w:rsid w:val="00002D86"/>
    <w:rsid w:val="0002250A"/>
    <w:rsid w:val="0003130C"/>
    <w:rsid w:val="00043A5C"/>
    <w:rsid w:val="00082213"/>
    <w:rsid w:val="00084143"/>
    <w:rsid w:val="000A109C"/>
    <w:rsid w:val="000F3435"/>
    <w:rsid w:val="001A23E9"/>
    <w:rsid w:val="001A327C"/>
    <w:rsid w:val="001E1249"/>
    <w:rsid w:val="001E687F"/>
    <w:rsid w:val="002A1A63"/>
    <w:rsid w:val="00307D4F"/>
    <w:rsid w:val="003310B8"/>
    <w:rsid w:val="003358A5"/>
    <w:rsid w:val="003C2B16"/>
    <w:rsid w:val="003D6B85"/>
    <w:rsid w:val="003F0B94"/>
    <w:rsid w:val="0043336E"/>
    <w:rsid w:val="00443B7D"/>
    <w:rsid w:val="00461359"/>
    <w:rsid w:val="00492148"/>
    <w:rsid w:val="004E44C7"/>
    <w:rsid w:val="004F2EFC"/>
    <w:rsid w:val="00500351"/>
    <w:rsid w:val="005A64ED"/>
    <w:rsid w:val="005E1490"/>
    <w:rsid w:val="00640C11"/>
    <w:rsid w:val="006470A3"/>
    <w:rsid w:val="006659C8"/>
    <w:rsid w:val="006A432F"/>
    <w:rsid w:val="006C134E"/>
    <w:rsid w:val="007476DA"/>
    <w:rsid w:val="00787DF3"/>
    <w:rsid w:val="008C37FC"/>
    <w:rsid w:val="00930B5E"/>
    <w:rsid w:val="009427D7"/>
    <w:rsid w:val="00970AF4"/>
    <w:rsid w:val="009904C0"/>
    <w:rsid w:val="009C5BF9"/>
    <w:rsid w:val="009D450E"/>
    <w:rsid w:val="009E03F2"/>
    <w:rsid w:val="00A343B2"/>
    <w:rsid w:val="00AD21A1"/>
    <w:rsid w:val="00AF18B2"/>
    <w:rsid w:val="00B82B65"/>
    <w:rsid w:val="00BD0B2C"/>
    <w:rsid w:val="00BD6E5B"/>
    <w:rsid w:val="00C17E31"/>
    <w:rsid w:val="00CD54A1"/>
    <w:rsid w:val="00D53846"/>
    <w:rsid w:val="00E22709"/>
    <w:rsid w:val="00E4500D"/>
    <w:rsid w:val="00E723CE"/>
    <w:rsid w:val="00EA04D3"/>
    <w:rsid w:val="00EE1DA6"/>
    <w:rsid w:val="00F45417"/>
    <w:rsid w:val="00F60CFA"/>
    <w:rsid w:val="00F64F3A"/>
    <w:rsid w:val="00F6774A"/>
    <w:rsid w:val="00F852AE"/>
    <w:rsid w:val="00F90BF2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3D335-4C9B-4714-A3C7-42943EFB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Georgia" w:hAnsi="Georgi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suppressAutoHyphens/>
      <w:jc w:val="both"/>
      <w:outlineLvl w:val="6"/>
    </w:pPr>
    <w:rPr>
      <w:rFonts w:ascii="Arial" w:hAnsi="Arial"/>
      <w:spacing w:val="-3"/>
      <w:sz w:val="24"/>
      <w:lang w:val="fr-CA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eorgia" w:hAnsi="Georgia"/>
      <w:b/>
      <w:kern w:val="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C2B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B5E"/>
    <w:pPr>
      <w:ind w:left="708"/>
    </w:pPr>
  </w:style>
  <w:style w:type="table" w:styleId="TableGrid">
    <w:name w:val="Table Grid"/>
    <w:basedOn w:val="TableNormal"/>
    <w:rsid w:val="00FF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F90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9205-C10E-4E87-855B-F84A679C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2021</Words>
  <Characters>11524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RT.004 Direct Antiglobulin Test</vt:lpstr>
      <vt:lpstr>RT.004 Direct Antiglobulin Test</vt:lpstr>
    </vt:vector>
  </TitlesOfParts>
  <Company>Microsoft</Company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RT.004 Direct Antiglobulin Test</dc:title>
  <dc:subject/>
  <dc:creator>Transfusion Ontario Program Office</dc:creator>
  <cp:keywords/>
  <cp:lastModifiedBy>Nesrallah, Heather</cp:lastModifiedBy>
  <cp:revision>2</cp:revision>
  <cp:lastPrinted>2011-01-11T03:13:00Z</cp:lastPrinted>
  <dcterms:created xsi:type="dcterms:W3CDTF">2020-08-10T18:12:00Z</dcterms:created>
  <dcterms:modified xsi:type="dcterms:W3CDTF">2020-08-10T18:12:00Z</dcterms:modified>
</cp:coreProperties>
</file>