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>Principe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F97D87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Pour le dépistage </w:t>
      </w:r>
      <w:r w:rsidR="00A06B57">
        <w:rPr>
          <w:rFonts w:ascii="Arial" w:hAnsi="Arial"/>
          <w:sz w:val="24"/>
          <w:lang w:val="fr-CA"/>
        </w:rPr>
        <w:t>de l’antigène D faible.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globules rouges qui réagissent </w:t>
      </w:r>
      <w:r w:rsidR="00AC7B33">
        <w:rPr>
          <w:rFonts w:ascii="Arial" w:hAnsi="Arial"/>
          <w:sz w:val="24"/>
          <w:lang w:val="fr-CA"/>
        </w:rPr>
        <w:t xml:space="preserve">au mieux </w:t>
      </w:r>
      <w:r>
        <w:rPr>
          <w:rFonts w:ascii="Arial" w:hAnsi="Arial"/>
          <w:sz w:val="24"/>
          <w:lang w:val="fr-CA"/>
        </w:rPr>
        <w:t xml:space="preserve">faiblement lors </w:t>
      </w:r>
      <w:r w:rsidRPr="00F97D87">
        <w:rPr>
          <w:rFonts w:ascii="Arial" w:hAnsi="Arial"/>
          <w:sz w:val="24"/>
          <w:lang w:val="fr-CA"/>
        </w:rPr>
        <w:t xml:space="preserve">d’épreuves </w:t>
      </w:r>
      <w:r w:rsidR="00F97D87">
        <w:rPr>
          <w:rFonts w:ascii="Arial" w:hAnsi="Arial"/>
          <w:sz w:val="24"/>
          <w:lang w:val="fr-CA"/>
        </w:rPr>
        <w:t>d’</w:t>
      </w:r>
      <w:r w:rsidRPr="00F97D87">
        <w:rPr>
          <w:rFonts w:ascii="Arial" w:hAnsi="Arial"/>
          <w:sz w:val="24"/>
          <w:lang w:val="fr-CA"/>
        </w:rPr>
        <w:t>agglutination directe</w:t>
      </w:r>
      <w:r>
        <w:rPr>
          <w:rFonts w:ascii="Arial" w:hAnsi="Arial"/>
          <w:sz w:val="24"/>
          <w:lang w:val="fr-CA"/>
        </w:rPr>
        <w:t xml:space="preserve"> avec l’anti-D peuvent réagir </w:t>
      </w:r>
      <w:r w:rsidR="00F97D87">
        <w:rPr>
          <w:rFonts w:ascii="Arial" w:hAnsi="Arial"/>
          <w:sz w:val="24"/>
          <w:lang w:val="fr-CA"/>
        </w:rPr>
        <w:t xml:space="preserve">à l’anti-D avec le </w:t>
      </w:r>
      <w:r w:rsidRPr="00F97D87">
        <w:rPr>
          <w:rFonts w:ascii="Arial" w:hAnsi="Arial"/>
          <w:sz w:val="24"/>
          <w:lang w:val="fr-CA"/>
        </w:rPr>
        <w:t>test indirect à l’antiglobuline</w:t>
      </w:r>
      <w:r>
        <w:rPr>
          <w:rFonts w:ascii="Arial" w:hAnsi="Arial"/>
          <w:sz w:val="24"/>
          <w:lang w:val="fr-CA"/>
        </w:rPr>
        <w:t>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globules rouges qui ne réagissent pas </w:t>
      </w:r>
      <w:r w:rsidR="0057721A">
        <w:rPr>
          <w:rFonts w:ascii="Arial" w:hAnsi="Arial"/>
          <w:sz w:val="24"/>
          <w:lang w:val="fr-CA"/>
        </w:rPr>
        <w:t>à</w:t>
      </w:r>
      <w:r w:rsidR="0057721A" w:rsidRPr="0057721A">
        <w:rPr>
          <w:rFonts w:ascii="Arial" w:hAnsi="Arial"/>
          <w:sz w:val="24"/>
          <w:lang w:val="fr-CA"/>
        </w:rPr>
        <w:t xml:space="preserve"> </w:t>
      </w:r>
      <w:r w:rsidR="005E51E5">
        <w:rPr>
          <w:rFonts w:ascii="Arial" w:hAnsi="Arial"/>
          <w:sz w:val="24"/>
          <w:lang w:val="fr-CA"/>
        </w:rPr>
        <w:t>+2</w:t>
      </w:r>
      <w:r>
        <w:rPr>
          <w:rFonts w:ascii="Arial" w:hAnsi="Arial"/>
          <w:sz w:val="24"/>
          <w:lang w:val="fr-CA"/>
        </w:rPr>
        <w:t xml:space="preserve"> lors d’épreuves </w:t>
      </w:r>
      <w:r w:rsidR="005779DE">
        <w:rPr>
          <w:rFonts w:ascii="Arial" w:hAnsi="Arial"/>
          <w:sz w:val="24"/>
          <w:lang w:val="fr-CA"/>
        </w:rPr>
        <w:t>d’</w:t>
      </w:r>
      <w:r>
        <w:rPr>
          <w:rFonts w:ascii="Arial" w:hAnsi="Arial"/>
          <w:sz w:val="24"/>
          <w:lang w:val="fr-CA"/>
        </w:rPr>
        <w:t xml:space="preserve">agglutination directe avec un anti-D sont incubés avec un anti-D à 37 C et examinés </w:t>
      </w:r>
      <w:r w:rsidRPr="0057721A">
        <w:rPr>
          <w:rFonts w:ascii="Arial" w:hAnsi="Arial"/>
          <w:sz w:val="24"/>
          <w:lang w:val="fr-CA"/>
        </w:rPr>
        <w:t>pour y détecter une agglutination</w:t>
      </w:r>
      <w:r>
        <w:rPr>
          <w:rFonts w:ascii="Arial" w:hAnsi="Arial"/>
          <w:sz w:val="24"/>
          <w:lang w:val="fr-CA"/>
        </w:rPr>
        <w:t>. Les globules rouges sont lavés pour enlever tout anticorps non lié (anti-D IgG), puis testés avec un anti-IgG.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Lorsque </w:t>
      </w:r>
      <w:r w:rsidR="00AC7B33">
        <w:rPr>
          <w:rFonts w:ascii="Arial" w:hAnsi="Arial"/>
          <w:sz w:val="24"/>
          <w:lang w:val="fr-CA"/>
        </w:rPr>
        <w:t xml:space="preserve">le sang </w:t>
      </w:r>
      <w:r>
        <w:rPr>
          <w:rFonts w:ascii="Arial" w:hAnsi="Arial"/>
          <w:sz w:val="24"/>
          <w:lang w:val="fr-CA"/>
        </w:rPr>
        <w:t>de receveurs éventuels de composants sanguins f</w:t>
      </w:r>
      <w:r w:rsidR="00AC7B33">
        <w:rPr>
          <w:rFonts w:ascii="Arial" w:hAnsi="Arial"/>
          <w:sz w:val="24"/>
          <w:lang w:val="fr-CA"/>
        </w:rPr>
        <w:t>ait</w:t>
      </w:r>
      <w:r>
        <w:rPr>
          <w:rFonts w:ascii="Arial" w:hAnsi="Arial"/>
          <w:sz w:val="24"/>
          <w:lang w:val="fr-CA"/>
        </w:rPr>
        <w:t xml:space="preserve"> l’objet d’analyses, il est inutile de procéder à la recherche de l’antigène D faible</w:t>
      </w:r>
      <w:r>
        <w:rPr>
          <w:rFonts w:ascii="Arial" w:hAnsi="Arial"/>
          <w:sz w:val="24"/>
          <w:vertAlign w:val="superscript"/>
          <w:lang w:val="fr-CA"/>
        </w:rPr>
        <w:t>9.1</w:t>
      </w:r>
      <w:r w:rsidR="009837F0">
        <w:rPr>
          <w:rFonts w:ascii="Arial" w:hAnsi="Arial"/>
          <w:sz w:val="24"/>
          <w:lang w:val="fr-CA"/>
        </w:rPr>
        <w:t>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 recherche du D faible doit être faite chez les nourrissons ayant un Rh négatif si leur mère est Rh négatif et ne présente aucun signe d’alloimmunisation Rh</w:t>
      </w:r>
      <w:r>
        <w:rPr>
          <w:rFonts w:ascii="Arial" w:hAnsi="Arial"/>
          <w:sz w:val="24"/>
          <w:vertAlign w:val="superscript"/>
          <w:lang w:val="fr-CA"/>
        </w:rPr>
        <w:t>9.1</w:t>
      </w:r>
      <w:r w:rsidR="009837F0">
        <w:rPr>
          <w:rFonts w:ascii="Arial" w:hAnsi="Arial"/>
          <w:sz w:val="24"/>
          <w:lang w:val="fr-CA"/>
        </w:rPr>
        <w:t>.</w:t>
      </w:r>
      <w:r>
        <w:rPr>
          <w:rFonts w:ascii="Arial" w:hAnsi="Arial"/>
          <w:sz w:val="24"/>
          <w:lang w:val="fr-CA"/>
        </w:rPr>
        <w:t xml:space="preserve"> </w:t>
      </w:r>
      <w:r w:rsidR="00AC7B33">
        <w:rPr>
          <w:rFonts w:ascii="Arial" w:hAnsi="Arial"/>
          <w:sz w:val="24"/>
          <w:lang w:val="fr-CA"/>
        </w:rPr>
        <w:t xml:space="preserve">Il en va de même </w:t>
      </w:r>
      <w:r>
        <w:rPr>
          <w:rFonts w:ascii="Arial" w:hAnsi="Arial"/>
          <w:sz w:val="24"/>
          <w:lang w:val="fr-CA"/>
        </w:rPr>
        <w:t>pour les nourrissons dont le groupe sanguin de la mère est inconnu.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006C66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patient</w:t>
      </w:r>
      <w:r w:rsidR="0057721A">
        <w:rPr>
          <w:rFonts w:ascii="Arial" w:hAnsi="Arial"/>
          <w:sz w:val="24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s en obstétrique qui se démarquent comme étant Rh positif ou D faible </w:t>
      </w:r>
      <w:r w:rsidR="0057721A">
        <w:rPr>
          <w:rFonts w:ascii="Arial" w:hAnsi="Arial"/>
          <w:sz w:val="24"/>
          <w:lang w:val="fr-CA"/>
        </w:rPr>
        <w:t xml:space="preserve">positif </w:t>
      </w:r>
      <w:r>
        <w:rPr>
          <w:rFonts w:ascii="Arial" w:hAnsi="Arial"/>
          <w:sz w:val="24"/>
          <w:lang w:val="fr-CA"/>
        </w:rPr>
        <w:t>doivent être désigné</w:t>
      </w:r>
      <w:r w:rsidR="0057721A">
        <w:rPr>
          <w:rFonts w:ascii="Arial" w:hAnsi="Arial"/>
          <w:sz w:val="24"/>
          <w:lang w:val="fr-CA"/>
        </w:rPr>
        <w:t>e</w:t>
      </w:r>
      <w:r>
        <w:rPr>
          <w:rFonts w:ascii="Arial" w:hAnsi="Arial"/>
          <w:sz w:val="24"/>
          <w:lang w:val="fr-CA"/>
        </w:rPr>
        <w:t xml:space="preserve">s comme étant Rh positif. </w:t>
      </w:r>
      <w:r w:rsidR="00006C66">
        <w:rPr>
          <w:rFonts w:ascii="Arial" w:hAnsi="Arial"/>
          <w:sz w:val="24"/>
          <w:lang w:val="fr-CA"/>
        </w:rPr>
        <w:br/>
      </w:r>
    </w:p>
    <w:p w:rsidR="00A06B57" w:rsidRDefault="00006C66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lastRenderedPageBreak/>
        <w:t>On peut faire</w:t>
      </w:r>
      <w:r w:rsidR="00A06B57">
        <w:rPr>
          <w:rFonts w:ascii="Arial" w:hAnsi="Arial"/>
          <w:sz w:val="24"/>
          <w:lang w:val="fr-CA"/>
        </w:rPr>
        <w:t xml:space="preserve"> la recherche du D faible chez les patient</w:t>
      </w:r>
      <w:r w:rsidR="00A06B57" w:rsidRPr="002708B6">
        <w:rPr>
          <w:rFonts w:ascii="Arial" w:hAnsi="Arial"/>
          <w:sz w:val="24"/>
          <w:lang w:val="fr-CA"/>
        </w:rPr>
        <w:t>e</w:t>
      </w:r>
      <w:r w:rsidR="00A06B57">
        <w:rPr>
          <w:rFonts w:ascii="Arial" w:hAnsi="Arial"/>
          <w:sz w:val="24"/>
          <w:lang w:val="fr-CA"/>
        </w:rPr>
        <w:t xml:space="preserve">s en obstétrique </w:t>
      </w:r>
      <w:r w:rsidR="00AC7B33">
        <w:rPr>
          <w:rFonts w:ascii="Arial" w:hAnsi="Arial"/>
          <w:sz w:val="24"/>
          <w:lang w:val="fr-CA"/>
        </w:rPr>
        <w:t xml:space="preserve">dont le </w:t>
      </w:r>
      <w:r w:rsidR="00A06B57">
        <w:rPr>
          <w:rFonts w:ascii="Arial" w:hAnsi="Arial"/>
          <w:sz w:val="24"/>
          <w:lang w:val="fr-CA"/>
        </w:rPr>
        <w:t xml:space="preserve">Rh </w:t>
      </w:r>
      <w:r w:rsidR="00AC7B33">
        <w:rPr>
          <w:rFonts w:ascii="Arial" w:hAnsi="Arial"/>
          <w:sz w:val="24"/>
          <w:lang w:val="fr-CA"/>
        </w:rPr>
        <w:t xml:space="preserve">est apparemment </w:t>
      </w:r>
      <w:r w:rsidR="00A06B57">
        <w:rPr>
          <w:rFonts w:ascii="Arial" w:hAnsi="Arial"/>
          <w:sz w:val="24"/>
          <w:lang w:val="fr-CA"/>
        </w:rPr>
        <w:t>négatif</w:t>
      </w:r>
      <w:r>
        <w:rPr>
          <w:rFonts w:ascii="Arial" w:hAnsi="Arial"/>
          <w:sz w:val="24"/>
          <w:lang w:val="fr-CA"/>
        </w:rPr>
        <w:t>, conformément à la politique de l’établissement</w:t>
      </w:r>
      <w:r w:rsidR="00A06B57">
        <w:rPr>
          <w:rFonts w:ascii="Arial" w:hAnsi="Arial"/>
          <w:sz w:val="24"/>
          <w:lang w:val="fr-CA"/>
        </w:rPr>
        <w:t>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0124F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L'épreuve doit comporter un témoin spécifique </w:t>
      </w:r>
      <w:r w:rsidR="00006C66">
        <w:rPr>
          <w:rFonts w:ascii="Arial" w:hAnsi="Arial"/>
          <w:sz w:val="24"/>
          <w:lang w:val="fr-CA"/>
        </w:rPr>
        <w:t xml:space="preserve">au </w:t>
      </w:r>
      <w:r>
        <w:rPr>
          <w:rFonts w:ascii="Arial" w:hAnsi="Arial"/>
          <w:sz w:val="24"/>
          <w:lang w:val="fr-CA"/>
        </w:rPr>
        <w:t>réactif anti-D employé</w:t>
      </w:r>
      <w:r w:rsidR="008103AF" w:rsidRPr="00C33C44"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 xml:space="preserve">. Si le témoin est positif, on doit répéter la détermination du facteur Rh avec un réactif anti-D et </w:t>
      </w:r>
      <w:proofErr w:type="gramStart"/>
      <w:r>
        <w:rPr>
          <w:rFonts w:ascii="Arial" w:hAnsi="Arial"/>
          <w:sz w:val="24"/>
          <w:lang w:val="fr-CA"/>
        </w:rPr>
        <w:t>un témoin appropriés</w:t>
      </w:r>
      <w:proofErr w:type="gramEnd"/>
      <w:r w:rsidR="00A06B57">
        <w:rPr>
          <w:rFonts w:ascii="Arial" w:hAnsi="Arial"/>
          <w:sz w:val="24"/>
          <w:lang w:val="fr-CA"/>
        </w:rPr>
        <w:t>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S’il y a un problème </w:t>
      </w:r>
      <w:r w:rsidR="00AC7B33">
        <w:rPr>
          <w:rFonts w:ascii="Arial" w:hAnsi="Arial"/>
          <w:sz w:val="24"/>
          <w:lang w:val="fr-CA"/>
        </w:rPr>
        <w:t xml:space="preserve">lié à </w:t>
      </w:r>
      <w:r>
        <w:rPr>
          <w:rFonts w:ascii="Arial" w:hAnsi="Arial"/>
          <w:sz w:val="24"/>
          <w:lang w:val="fr-CA"/>
        </w:rPr>
        <w:t>la détermination du facteur RH et qu’il faut procéder à une transfusion sans délai, il faut mettre en circulation des produits sanguins Rh négatif pour les femmes préménopaus</w:t>
      </w:r>
      <w:r w:rsidR="00006C66">
        <w:rPr>
          <w:rFonts w:ascii="Arial" w:hAnsi="Arial"/>
          <w:sz w:val="24"/>
          <w:lang w:val="fr-CA"/>
        </w:rPr>
        <w:t>ées</w:t>
      </w:r>
      <w:r>
        <w:rPr>
          <w:rFonts w:ascii="Arial" w:hAnsi="Arial"/>
          <w:sz w:val="24"/>
          <w:lang w:val="fr-CA"/>
        </w:rPr>
        <w:t xml:space="preserve"> et les enfants jusqu’à la résolution du problème. Les autres patients, en l’absence d’un anti-D connu, peuvent recevoir du sang Rh positif dans les situations d’urgence où il y a une pénurie de sang Rh négatif. 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Échantillons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Sang total anticoagulé</w:t>
      </w:r>
      <w:r w:rsidR="00A22B41">
        <w:rPr>
          <w:rFonts w:ascii="Arial" w:hAnsi="Arial"/>
          <w:color w:val="000000"/>
          <w:sz w:val="24"/>
          <w:lang w:val="fr-CA"/>
        </w:rPr>
        <w:t xml:space="preserve"> - tube</w:t>
      </w:r>
      <w:r>
        <w:rPr>
          <w:rFonts w:ascii="Arial" w:hAnsi="Arial"/>
          <w:color w:val="000000"/>
          <w:sz w:val="24"/>
          <w:lang w:val="fr-CA"/>
        </w:rPr>
        <w:t xml:space="preserve"> EDTA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Matériel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5779DE" w:rsidP="009837F0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Équipement </w:t>
      </w:r>
      <w:r w:rsidR="00A06B57">
        <w:rPr>
          <w:rFonts w:ascii="Arial" w:hAnsi="Arial"/>
          <w:sz w:val="24"/>
          <w:lang w:val="fr-CA"/>
        </w:rPr>
        <w:t>:</w:t>
      </w:r>
      <w:r w:rsidR="009837F0">
        <w:rPr>
          <w:rFonts w:ascii="Arial" w:hAnsi="Arial"/>
          <w:sz w:val="24"/>
          <w:lang w:val="fr-CA"/>
        </w:rPr>
        <w:tab/>
        <w:t>l</w:t>
      </w:r>
      <w:r w:rsidR="00A06B57">
        <w:rPr>
          <w:rFonts w:ascii="Arial" w:hAnsi="Arial"/>
          <w:sz w:val="24"/>
          <w:lang w:val="fr-CA"/>
        </w:rPr>
        <w:t>aveur de cellules</w:t>
      </w:r>
    </w:p>
    <w:p w:rsidR="00A06B57" w:rsidRDefault="00A06B57" w:rsidP="009837F0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proofErr w:type="gramStart"/>
      <w:r w:rsidR="009837F0">
        <w:rPr>
          <w:rFonts w:ascii="Arial" w:hAnsi="Arial"/>
          <w:sz w:val="24"/>
          <w:lang w:val="fr-CA"/>
        </w:rPr>
        <w:t>c</w:t>
      </w:r>
      <w:r>
        <w:rPr>
          <w:rFonts w:ascii="Arial" w:hAnsi="Arial"/>
          <w:sz w:val="24"/>
          <w:lang w:val="fr-CA"/>
        </w:rPr>
        <w:t>entrifugeuse</w:t>
      </w:r>
      <w:proofErr w:type="gramEnd"/>
      <w:r>
        <w:rPr>
          <w:rFonts w:ascii="Arial" w:hAnsi="Arial"/>
          <w:sz w:val="24"/>
          <w:lang w:val="fr-CA"/>
        </w:rPr>
        <w:t xml:space="preserve"> sérologique</w:t>
      </w:r>
    </w:p>
    <w:p w:rsidR="00A06B57" w:rsidRDefault="00A06B57" w:rsidP="009837F0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proofErr w:type="gramStart"/>
      <w:r w:rsidR="009837F0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>upport</w:t>
      </w:r>
      <w:proofErr w:type="gramEnd"/>
      <w:r>
        <w:rPr>
          <w:rFonts w:ascii="Arial" w:hAnsi="Arial"/>
          <w:sz w:val="24"/>
          <w:lang w:val="fr-CA"/>
        </w:rPr>
        <w:t xml:space="preserve"> à tubes</w:t>
      </w:r>
    </w:p>
    <w:p w:rsidR="00A06B57" w:rsidRDefault="00A06B57" w:rsidP="009837F0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proofErr w:type="gramStart"/>
      <w:r w:rsidR="009837F0">
        <w:rPr>
          <w:rFonts w:ascii="Arial" w:hAnsi="Arial"/>
          <w:sz w:val="24"/>
          <w:lang w:val="fr-CA"/>
        </w:rPr>
        <w:t>b</w:t>
      </w:r>
      <w:r>
        <w:rPr>
          <w:rFonts w:ascii="Arial" w:hAnsi="Arial"/>
          <w:sz w:val="24"/>
          <w:lang w:val="fr-CA"/>
        </w:rPr>
        <w:t>ain</w:t>
      </w:r>
      <w:proofErr w:type="gramEnd"/>
      <w:r>
        <w:rPr>
          <w:rFonts w:ascii="Arial" w:hAnsi="Arial"/>
          <w:sz w:val="24"/>
          <w:lang w:val="fr-CA"/>
        </w:rPr>
        <w:t>-marie/bloc chauffant à 37</w:t>
      </w:r>
      <w:r w:rsidR="009837F0">
        <w:rPr>
          <w:rFonts w:ascii="Arial" w:hAnsi="Arial"/>
          <w:sz w:val="24"/>
          <w:lang w:val="fr-CA"/>
        </w:rPr>
        <w:t> </w:t>
      </w:r>
      <w:r>
        <w:rPr>
          <w:rFonts w:ascii="Arial" w:hAnsi="Arial"/>
          <w:sz w:val="24"/>
          <w:lang w:val="fr-CA"/>
        </w:rPr>
        <w:t>°C</w:t>
      </w:r>
    </w:p>
    <w:p w:rsidR="00A06B57" w:rsidRDefault="00A06B57" w:rsidP="009837F0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proofErr w:type="gramStart"/>
      <w:r w:rsidR="009837F0">
        <w:rPr>
          <w:rFonts w:ascii="Arial" w:hAnsi="Arial"/>
          <w:sz w:val="24"/>
          <w:lang w:val="fr-CA"/>
        </w:rPr>
        <w:t>m</w:t>
      </w:r>
      <w:r>
        <w:rPr>
          <w:rFonts w:ascii="Arial" w:hAnsi="Arial"/>
          <w:sz w:val="24"/>
          <w:lang w:val="fr-CA"/>
        </w:rPr>
        <w:t>icroscope</w:t>
      </w:r>
      <w:proofErr w:type="gramEnd"/>
    </w:p>
    <w:p w:rsidR="00A06B57" w:rsidRDefault="00A06B57" w:rsidP="009837F0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</w:p>
    <w:p w:rsidR="00A06B57" w:rsidRDefault="00A06B57" w:rsidP="009837F0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 w:rsidRPr="009837F0">
        <w:rPr>
          <w:rFonts w:ascii="Arial" w:hAnsi="Arial"/>
          <w:b/>
          <w:sz w:val="24"/>
          <w:lang w:val="fr-CA"/>
        </w:rPr>
        <w:t>Fournitures</w:t>
      </w:r>
      <w:r>
        <w:rPr>
          <w:rFonts w:ascii="Arial" w:hAnsi="Arial"/>
          <w:sz w:val="24"/>
          <w:lang w:val="fr-CA"/>
        </w:rPr>
        <w:t> :</w:t>
      </w:r>
      <w:r w:rsidR="009837F0">
        <w:rPr>
          <w:rFonts w:ascii="Arial" w:hAnsi="Arial"/>
          <w:sz w:val="24"/>
          <w:lang w:val="fr-CA"/>
        </w:rPr>
        <w:t xml:space="preserve"> </w:t>
      </w:r>
      <w:r w:rsidR="009837F0">
        <w:rPr>
          <w:rFonts w:ascii="Arial" w:hAnsi="Arial"/>
          <w:sz w:val="24"/>
          <w:lang w:val="fr-CA"/>
        </w:rPr>
        <w:tab/>
        <w:t>t</w:t>
      </w:r>
      <w:r>
        <w:rPr>
          <w:rFonts w:ascii="Arial" w:hAnsi="Arial"/>
          <w:sz w:val="24"/>
          <w:lang w:val="fr-CA"/>
        </w:rPr>
        <w:t>ubes 10 x 75 mm</w:t>
      </w:r>
    </w:p>
    <w:p w:rsidR="00A06B57" w:rsidRDefault="00A06B57" w:rsidP="009837F0">
      <w:pPr>
        <w:tabs>
          <w:tab w:val="left" w:pos="2268"/>
        </w:tabs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proofErr w:type="gramStart"/>
      <w:r w:rsidR="009837F0">
        <w:rPr>
          <w:rFonts w:ascii="Arial" w:hAnsi="Arial"/>
          <w:sz w:val="24"/>
          <w:lang w:val="fr-CA"/>
        </w:rPr>
        <w:t>p</w:t>
      </w:r>
      <w:r>
        <w:rPr>
          <w:rFonts w:ascii="Arial" w:hAnsi="Arial"/>
          <w:sz w:val="24"/>
          <w:lang w:val="fr-CA"/>
        </w:rPr>
        <w:t>ipettes</w:t>
      </w:r>
      <w:proofErr w:type="gramEnd"/>
      <w:r>
        <w:rPr>
          <w:rFonts w:ascii="Arial" w:hAnsi="Arial"/>
          <w:sz w:val="24"/>
          <w:lang w:val="fr-CA"/>
        </w:rPr>
        <w:t xml:space="preserve"> sérologiques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 w:rsidP="009837F0">
      <w:pPr>
        <w:ind w:left="2268" w:hanging="1548"/>
        <w:rPr>
          <w:rFonts w:ascii="Arial" w:hAnsi="Arial"/>
          <w:sz w:val="24"/>
          <w:lang w:val="fr-CA"/>
        </w:rPr>
      </w:pPr>
      <w:r w:rsidRPr="009837F0">
        <w:rPr>
          <w:rFonts w:ascii="Arial" w:hAnsi="Arial"/>
          <w:b/>
          <w:sz w:val="24"/>
          <w:lang w:val="fr-CA"/>
        </w:rPr>
        <w:t>Réactifs</w:t>
      </w:r>
      <w:r>
        <w:rPr>
          <w:rFonts w:ascii="Arial" w:hAnsi="Arial"/>
          <w:sz w:val="24"/>
          <w:lang w:val="fr-CA"/>
        </w:rPr>
        <w:t> :</w:t>
      </w:r>
      <w:r>
        <w:rPr>
          <w:rFonts w:ascii="Arial" w:hAnsi="Arial"/>
          <w:sz w:val="24"/>
          <w:lang w:val="fr-CA"/>
        </w:rPr>
        <w:tab/>
      </w:r>
      <w:r w:rsidR="009837F0">
        <w:rPr>
          <w:rFonts w:ascii="Arial" w:hAnsi="Arial"/>
          <w:sz w:val="24"/>
          <w:lang w:val="fr-CA"/>
        </w:rPr>
        <w:t>r</w:t>
      </w:r>
      <w:r>
        <w:rPr>
          <w:rFonts w:ascii="Arial" w:hAnsi="Arial" w:cs="Arial"/>
          <w:sz w:val="24"/>
          <w:lang w:val="fr-CA"/>
        </w:rPr>
        <w:t>éactif anti-D </w:t>
      </w:r>
      <w:r w:rsidR="00006C66">
        <w:rPr>
          <w:rFonts w:ascii="Arial" w:hAnsi="Arial" w:cs="Arial"/>
          <w:sz w:val="24"/>
          <w:lang w:val="fr-CA"/>
        </w:rPr>
        <w:br/>
      </w:r>
      <w:r w:rsidR="009837F0">
        <w:rPr>
          <w:rFonts w:ascii="Arial" w:hAnsi="Arial"/>
          <w:sz w:val="24"/>
          <w:lang w:val="fr-CA"/>
        </w:rPr>
        <w:t>t</w:t>
      </w:r>
      <w:r>
        <w:rPr>
          <w:rFonts w:ascii="Arial" w:hAnsi="Arial"/>
          <w:sz w:val="24"/>
          <w:lang w:val="fr-CA"/>
        </w:rPr>
        <w:t>émoin pour la détermination du facteur Rh</w:t>
      </w:r>
      <w:r w:rsidR="008F756E">
        <w:rPr>
          <w:rFonts w:ascii="Arial" w:hAnsi="Arial"/>
          <w:sz w:val="24"/>
          <w:lang w:val="fr-CA"/>
        </w:rPr>
        <w:t xml:space="preserve"> (approprié au réactif anti-D</w:t>
      </w:r>
      <w:r w:rsidR="00006C66">
        <w:rPr>
          <w:rFonts w:ascii="Arial" w:hAnsi="Arial"/>
          <w:sz w:val="24"/>
          <w:lang w:val="fr-CA"/>
        </w:rPr>
        <w:t xml:space="preserve"> utilisé</w:t>
      </w:r>
      <w:r w:rsidR="008F756E">
        <w:rPr>
          <w:rFonts w:ascii="Arial" w:hAnsi="Arial"/>
          <w:sz w:val="24"/>
          <w:lang w:val="fr-CA"/>
        </w:rPr>
        <w:t>)</w:t>
      </w:r>
    </w:p>
    <w:p w:rsidR="00A06B57" w:rsidRDefault="00A06B57" w:rsidP="009837F0">
      <w:pPr>
        <w:ind w:left="2268" w:hanging="1548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proofErr w:type="gramStart"/>
      <w:r w:rsidR="009837F0">
        <w:rPr>
          <w:rFonts w:ascii="Arial" w:hAnsi="Arial"/>
          <w:sz w:val="24"/>
          <w:lang w:val="fr-CA"/>
        </w:rPr>
        <w:t>a</w:t>
      </w:r>
      <w:r>
        <w:rPr>
          <w:rFonts w:ascii="Arial" w:hAnsi="Arial"/>
          <w:sz w:val="24"/>
          <w:lang w:val="fr-CA"/>
        </w:rPr>
        <w:t>nti</w:t>
      </w:r>
      <w:proofErr w:type="gramEnd"/>
      <w:r>
        <w:rPr>
          <w:rFonts w:ascii="Arial" w:hAnsi="Arial"/>
          <w:sz w:val="24"/>
          <w:lang w:val="fr-CA"/>
        </w:rPr>
        <w:t xml:space="preserve">-IgG </w:t>
      </w:r>
    </w:p>
    <w:p w:rsidR="00A06B57" w:rsidRDefault="00A06B57" w:rsidP="009837F0">
      <w:pPr>
        <w:ind w:left="2268" w:hanging="1548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proofErr w:type="gramStart"/>
      <w:r w:rsidR="009837F0">
        <w:rPr>
          <w:rFonts w:ascii="Arial" w:hAnsi="Arial"/>
          <w:sz w:val="24"/>
          <w:lang w:val="fr-CA"/>
        </w:rPr>
        <w:t>c</w:t>
      </w:r>
      <w:r>
        <w:rPr>
          <w:rFonts w:ascii="Arial" w:hAnsi="Arial"/>
          <w:sz w:val="24"/>
          <w:lang w:val="fr-CA"/>
        </w:rPr>
        <w:t>ellules</w:t>
      </w:r>
      <w:proofErr w:type="gramEnd"/>
      <w:r>
        <w:rPr>
          <w:rFonts w:ascii="Arial" w:hAnsi="Arial"/>
          <w:sz w:val="24"/>
          <w:lang w:val="fr-CA"/>
        </w:rPr>
        <w:t xml:space="preserve"> témoins recouvertes d'</w:t>
      </w:r>
      <w:r w:rsidR="009837F0">
        <w:rPr>
          <w:rFonts w:ascii="Arial" w:hAnsi="Arial"/>
          <w:sz w:val="24"/>
          <w:lang w:val="fr-CA"/>
        </w:rPr>
        <w:t>I</w:t>
      </w:r>
      <w:r>
        <w:rPr>
          <w:rFonts w:ascii="Arial" w:hAnsi="Arial"/>
          <w:sz w:val="24"/>
          <w:lang w:val="fr-CA"/>
        </w:rPr>
        <w:t>gG</w:t>
      </w:r>
    </w:p>
    <w:p w:rsidR="00A06B57" w:rsidRDefault="00A06B57" w:rsidP="009837F0">
      <w:pPr>
        <w:ind w:left="2268" w:hanging="1548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proofErr w:type="gramStart"/>
      <w:r w:rsidR="009837F0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>olution</w:t>
      </w:r>
      <w:proofErr w:type="gramEnd"/>
      <w:r>
        <w:rPr>
          <w:rFonts w:ascii="Arial" w:hAnsi="Arial"/>
          <w:sz w:val="24"/>
          <w:lang w:val="fr-CA"/>
        </w:rPr>
        <w:t xml:space="preserve"> saline</w:t>
      </w:r>
      <w:r w:rsidR="008F756E">
        <w:rPr>
          <w:rFonts w:ascii="Arial" w:hAnsi="Arial"/>
          <w:sz w:val="24"/>
          <w:lang w:val="fr-CA"/>
        </w:rPr>
        <w:t xml:space="preserve"> normale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Contrôle de la qualité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Voir </w:t>
      </w:r>
      <w:r w:rsidRPr="004F64FB">
        <w:rPr>
          <w:rFonts w:ascii="Arial" w:hAnsi="Arial"/>
          <w:sz w:val="24"/>
          <w:lang w:val="fr-CA"/>
        </w:rPr>
        <w:t>CAQ</w:t>
      </w:r>
      <w:r>
        <w:rPr>
          <w:rFonts w:ascii="Arial" w:hAnsi="Arial"/>
          <w:sz w:val="24"/>
          <w:lang w:val="fr-CA"/>
        </w:rPr>
        <w:t>.001 - Contrôle de la qualité des globules rouges réactifs et des antisérums</w:t>
      </w:r>
      <w:r w:rsidR="004F64FB">
        <w:rPr>
          <w:rFonts w:ascii="Arial" w:hAnsi="Arial"/>
          <w:sz w:val="24"/>
          <w:lang w:val="fr-CA"/>
        </w:rPr>
        <w:t xml:space="preserve"> commerciaux</w:t>
      </w:r>
      <w:r>
        <w:rPr>
          <w:rFonts w:ascii="Arial" w:hAnsi="Arial"/>
          <w:sz w:val="24"/>
          <w:lang w:val="fr-CA"/>
        </w:rPr>
        <w:t>.</w:t>
      </w:r>
    </w:p>
    <w:p w:rsidR="00123C42" w:rsidRDefault="00123C42" w:rsidP="00123C42">
      <w:pPr>
        <w:ind w:left="144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Avant d’effectuer la recherche de l’antigène D faible </w:t>
      </w:r>
      <w:r w:rsidRPr="004F64FB">
        <w:rPr>
          <w:rFonts w:ascii="Arial" w:hAnsi="Arial"/>
          <w:sz w:val="24"/>
          <w:lang w:val="fr-CA"/>
        </w:rPr>
        <w:t xml:space="preserve">et d’en </w:t>
      </w:r>
      <w:r w:rsidR="00A22B41">
        <w:rPr>
          <w:rFonts w:ascii="Arial" w:hAnsi="Arial"/>
          <w:sz w:val="24"/>
          <w:lang w:val="fr-CA"/>
        </w:rPr>
        <w:t>inscrire</w:t>
      </w:r>
      <w:r w:rsidR="004F64FB">
        <w:rPr>
          <w:rFonts w:ascii="Arial" w:hAnsi="Arial"/>
          <w:sz w:val="24"/>
          <w:lang w:val="fr-CA"/>
        </w:rPr>
        <w:t xml:space="preserve"> </w:t>
      </w:r>
      <w:r w:rsidRPr="004F64FB">
        <w:rPr>
          <w:rFonts w:ascii="Arial" w:hAnsi="Arial"/>
          <w:sz w:val="24"/>
          <w:lang w:val="fr-CA"/>
        </w:rPr>
        <w:t>le résultat</w:t>
      </w:r>
      <w:r>
        <w:rPr>
          <w:rFonts w:ascii="Arial" w:hAnsi="Arial"/>
          <w:sz w:val="24"/>
          <w:lang w:val="fr-CA"/>
        </w:rPr>
        <w:t>, il faut procéder à une</w:t>
      </w:r>
      <w:r w:rsidR="004F64FB">
        <w:rPr>
          <w:rFonts w:ascii="Arial" w:hAnsi="Arial"/>
          <w:sz w:val="24"/>
          <w:lang w:val="fr-CA"/>
        </w:rPr>
        <w:t xml:space="preserve"> vérification de</w:t>
      </w:r>
      <w:r w:rsidR="00AC7B33">
        <w:rPr>
          <w:rFonts w:ascii="Arial" w:hAnsi="Arial"/>
          <w:sz w:val="24"/>
          <w:lang w:val="fr-CA"/>
        </w:rPr>
        <w:t xml:space="preserve">s antécédents de </w:t>
      </w:r>
      <w:r>
        <w:rPr>
          <w:rFonts w:ascii="Arial" w:hAnsi="Arial"/>
          <w:sz w:val="24"/>
          <w:lang w:val="fr-CA"/>
        </w:rPr>
        <w:t xml:space="preserve">transfusion et </w:t>
      </w:r>
      <w:r w:rsidR="004F64FB">
        <w:rPr>
          <w:rFonts w:ascii="Arial" w:hAnsi="Arial"/>
          <w:sz w:val="24"/>
          <w:lang w:val="fr-CA"/>
        </w:rPr>
        <w:t>de grossesse</w:t>
      </w:r>
      <w:r>
        <w:rPr>
          <w:rFonts w:ascii="Arial" w:hAnsi="Arial"/>
          <w:sz w:val="24"/>
          <w:lang w:val="fr-CA"/>
        </w:rPr>
        <w:t>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Ne pas faire la recherche du D faible dans les situations suivantes :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Si le test direct à l’antiglobuline est positif sur les globules rouges testés</w:t>
      </w:r>
      <w:r w:rsidR="008103AF">
        <w:rPr>
          <w:rFonts w:ascii="Arial" w:hAnsi="Arial"/>
          <w:sz w:val="24"/>
          <w:lang w:val="fr-CA"/>
        </w:rPr>
        <w:t xml:space="preserve"> et fait état d’une réaction macroscopique</w:t>
      </w:r>
      <w:r>
        <w:rPr>
          <w:rFonts w:ascii="Arial" w:hAnsi="Arial"/>
          <w:sz w:val="24"/>
          <w:lang w:val="fr-CA"/>
        </w:rPr>
        <w:t>.</w:t>
      </w:r>
      <w:r w:rsidR="008103AF">
        <w:rPr>
          <w:rFonts w:ascii="Arial" w:hAnsi="Arial"/>
          <w:sz w:val="24"/>
          <w:lang w:val="fr-CA"/>
        </w:rPr>
        <w:t xml:space="preserve"> Consulter alors les directives du fabricant, les limites de la méthode quant au réactif utilisé.</w:t>
      </w: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Si, </w:t>
      </w:r>
      <w:r w:rsidR="00903E09">
        <w:rPr>
          <w:rFonts w:ascii="Arial" w:hAnsi="Arial"/>
          <w:sz w:val="24"/>
          <w:lang w:val="fr-CA"/>
        </w:rPr>
        <w:t>au cours d</w:t>
      </w:r>
      <w:r>
        <w:rPr>
          <w:rFonts w:ascii="Arial" w:hAnsi="Arial"/>
          <w:sz w:val="24"/>
          <w:lang w:val="fr-CA"/>
        </w:rPr>
        <w:t>es 3 derniers mois, le patient a reçu une transfusion d’unités de donneur ayant un groupe Rh différent.</w:t>
      </w:r>
    </w:p>
    <w:p w:rsidR="004F64FB" w:rsidRDefault="004F64FB" w:rsidP="004F64FB">
      <w:pPr>
        <w:ind w:left="144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Faire la recherche de l’antigène D faible dans les situations suivantes :</w:t>
      </w: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En présence de réaction faible ou de </w:t>
      </w:r>
      <w:r w:rsidR="00903E09">
        <w:rPr>
          <w:rFonts w:ascii="Arial" w:hAnsi="Arial"/>
          <w:sz w:val="24"/>
          <w:lang w:val="fr-CA"/>
        </w:rPr>
        <w:t>niveau</w:t>
      </w:r>
      <w:r>
        <w:rPr>
          <w:rFonts w:ascii="Arial" w:hAnsi="Arial"/>
          <w:sz w:val="24"/>
          <w:lang w:val="fr-CA"/>
        </w:rPr>
        <w:t xml:space="preserve"> 1. Effectuer les lectures microscopiques seulement en cas de soupçon d’agglutination </w:t>
      </w:r>
      <w:r w:rsidR="004F64FB">
        <w:rPr>
          <w:rFonts w:ascii="Arial" w:hAnsi="Arial"/>
          <w:sz w:val="24"/>
          <w:lang w:val="fr-CA"/>
        </w:rPr>
        <w:t xml:space="preserve">de type champ </w:t>
      </w:r>
      <w:r>
        <w:rPr>
          <w:rFonts w:ascii="Arial" w:hAnsi="Arial"/>
          <w:sz w:val="24"/>
          <w:lang w:val="fr-CA"/>
        </w:rPr>
        <w:t>mixte.</w:t>
      </w: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Lorsqu’il y a des écarts de détermination du type Rh entre les résultats actuels et </w:t>
      </w:r>
      <w:r w:rsidR="008F756E">
        <w:rPr>
          <w:rFonts w:ascii="Arial" w:hAnsi="Arial"/>
          <w:sz w:val="24"/>
          <w:lang w:val="fr-CA"/>
        </w:rPr>
        <w:t>antérieurs</w:t>
      </w:r>
      <w:r>
        <w:rPr>
          <w:rFonts w:ascii="Arial" w:hAnsi="Arial"/>
          <w:sz w:val="24"/>
          <w:lang w:val="fr-CA"/>
        </w:rPr>
        <w:t>.</w:t>
      </w: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 la recherche du D faible est effectuée </w:t>
      </w:r>
      <w:r w:rsidR="008F756E">
        <w:rPr>
          <w:rFonts w:ascii="Arial" w:hAnsi="Arial"/>
          <w:sz w:val="24"/>
          <w:lang w:val="fr-CA"/>
        </w:rPr>
        <w:t xml:space="preserve">chez une patiente en obstétrique </w:t>
      </w:r>
      <w:r>
        <w:rPr>
          <w:rFonts w:ascii="Arial" w:hAnsi="Arial"/>
          <w:sz w:val="24"/>
          <w:lang w:val="fr-CA"/>
        </w:rPr>
        <w:t xml:space="preserve">et qu’il en résulte un positif faible </w:t>
      </w:r>
      <w:r w:rsidR="00A52BF0">
        <w:rPr>
          <w:rFonts w:ascii="Arial" w:hAnsi="Arial"/>
          <w:sz w:val="24"/>
          <w:lang w:val="fr-CA"/>
        </w:rPr>
        <w:t>et/ou</w:t>
      </w:r>
      <w:r>
        <w:rPr>
          <w:rFonts w:ascii="Arial" w:hAnsi="Arial"/>
          <w:sz w:val="24"/>
          <w:lang w:val="fr-CA"/>
        </w:rPr>
        <w:t xml:space="preserve"> un </w:t>
      </w:r>
      <w:r w:rsidR="00A52BF0">
        <w:rPr>
          <w:rFonts w:ascii="Arial" w:hAnsi="Arial"/>
          <w:sz w:val="24"/>
          <w:lang w:val="fr-CA"/>
        </w:rPr>
        <w:t>champ mixte</w:t>
      </w:r>
      <w:r>
        <w:rPr>
          <w:rFonts w:ascii="Arial" w:hAnsi="Arial"/>
          <w:sz w:val="24"/>
          <w:lang w:val="fr-CA"/>
        </w:rPr>
        <w:t>, il faut investiguer pour déterminer si le résultat est causé par une importante hémorragie foeto-maternelle. En cas d’hémorragie foeto-maternelle, on ne peut pas interpréter le résultat de la recherche du D faible.</w:t>
      </w:r>
      <w:r w:rsidR="008F756E">
        <w:rPr>
          <w:rFonts w:ascii="Arial" w:hAnsi="Arial"/>
          <w:sz w:val="24"/>
          <w:lang w:val="fr-CA"/>
        </w:rPr>
        <w:t xml:space="preserve"> En aviser le médecin traitant la patiente.</w:t>
      </w:r>
      <w:r w:rsidR="008F756E">
        <w:rPr>
          <w:rFonts w:ascii="Arial" w:hAnsi="Arial"/>
          <w:sz w:val="24"/>
          <w:lang w:val="fr-CA"/>
        </w:rPr>
        <w:br/>
      </w:r>
    </w:p>
    <w:p w:rsidR="008F756E" w:rsidRDefault="008F756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Pour </w:t>
      </w:r>
      <w:r w:rsidR="005779DE">
        <w:rPr>
          <w:rFonts w:ascii="Arial" w:hAnsi="Arial"/>
          <w:sz w:val="24"/>
          <w:lang w:val="fr-CA"/>
        </w:rPr>
        <w:t>tout</w:t>
      </w:r>
      <w:r>
        <w:rPr>
          <w:rFonts w:ascii="Arial" w:hAnsi="Arial"/>
          <w:sz w:val="24"/>
          <w:lang w:val="fr-CA"/>
        </w:rPr>
        <w:t xml:space="preserve"> autre résultat de type champ mixte, voir </w:t>
      </w:r>
      <w:r w:rsidRPr="00006C66">
        <w:rPr>
          <w:rFonts w:ascii="Arial" w:hAnsi="Arial"/>
          <w:sz w:val="24"/>
          <w:lang w:val="fr-CA"/>
        </w:rPr>
        <w:t>EC.004 – Résolution de problème lié à la détermination du facteur Rh.</w:t>
      </w:r>
      <w:r>
        <w:rPr>
          <w:rFonts w:ascii="Arial" w:hAnsi="Arial"/>
          <w:sz w:val="24"/>
          <w:lang w:val="fr-CA"/>
        </w:rPr>
        <w:t xml:space="preserve"> </w:t>
      </w: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Procédure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8103AF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Vérifi</w:t>
      </w:r>
      <w:r w:rsidR="008103AF">
        <w:rPr>
          <w:rFonts w:ascii="Arial" w:hAnsi="Arial"/>
          <w:sz w:val="24"/>
          <w:lang w:val="fr-CA"/>
        </w:rPr>
        <w:t>cation de l’</w:t>
      </w:r>
      <w:r w:rsidR="00903E09">
        <w:rPr>
          <w:rFonts w:ascii="Arial" w:hAnsi="Arial"/>
          <w:sz w:val="24"/>
          <w:lang w:val="fr-CA"/>
        </w:rPr>
        <w:t xml:space="preserve">acceptabilité </w:t>
      </w:r>
      <w:r>
        <w:rPr>
          <w:rFonts w:ascii="Arial" w:hAnsi="Arial"/>
          <w:sz w:val="24"/>
          <w:lang w:val="fr-CA"/>
        </w:rPr>
        <w:t xml:space="preserve">des échantillons </w:t>
      </w:r>
    </w:p>
    <w:p w:rsidR="00A06B57" w:rsidRDefault="008103AF" w:rsidP="008103A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</w:t>
      </w:r>
      <w:r w:rsidR="00A06B57">
        <w:rPr>
          <w:rFonts w:ascii="Arial" w:hAnsi="Arial"/>
          <w:sz w:val="24"/>
          <w:lang w:val="fr-CA"/>
        </w:rPr>
        <w:t xml:space="preserve">'assurer que les renseignements sur l'étiquette de l'échantillon correspondent au formulaire de demande. Voir PA.002 – </w:t>
      </w:r>
      <w:r w:rsidR="00A52BF0">
        <w:rPr>
          <w:rFonts w:ascii="Arial" w:hAnsi="Arial"/>
          <w:sz w:val="24"/>
          <w:lang w:val="fr-CA"/>
        </w:rPr>
        <w:t>Acceptation ou rejet</w:t>
      </w:r>
      <w:r w:rsidR="00A06B57">
        <w:rPr>
          <w:rFonts w:ascii="Arial" w:hAnsi="Arial"/>
          <w:sz w:val="24"/>
          <w:lang w:val="fr-CA"/>
        </w:rPr>
        <w:t xml:space="preserve"> des échantillons, étapes 6.1 – 6.4.</w:t>
      </w:r>
    </w:p>
    <w:p w:rsidR="008103AF" w:rsidRDefault="008103AF" w:rsidP="008103A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Vérifier si l'aspect des échantillons est normal. Voir PA.002 - Acceptation ou rejet des échantillons, étape 6.5.</w:t>
      </w:r>
    </w:p>
    <w:p w:rsidR="008103AF" w:rsidRDefault="008103AF" w:rsidP="008103AF">
      <w:pPr>
        <w:ind w:left="2138"/>
        <w:rPr>
          <w:rFonts w:ascii="Arial" w:hAnsi="Arial"/>
          <w:sz w:val="24"/>
          <w:lang w:val="fr-CA"/>
        </w:rPr>
      </w:pPr>
    </w:p>
    <w:p w:rsidR="008103AF" w:rsidRDefault="00A52BF0" w:rsidP="008103AF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</w:t>
      </w:r>
      <w:r w:rsidR="00A06B57">
        <w:rPr>
          <w:rFonts w:ascii="Arial" w:hAnsi="Arial"/>
          <w:sz w:val="24"/>
          <w:lang w:val="fr-CA"/>
        </w:rPr>
        <w:t>érifi</w:t>
      </w:r>
      <w:r w:rsidR="008103AF">
        <w:rPr>
          <w:rFonts w:ascii="Arial" w:hAnsi="Arial"/>
          <w:sz w:val="24"/>
          <w:lang w:val="fr-CA"/>
        </w:rPr>
        <w:t>cation des</w:t>
      </w:r>
      <w:r w:rsidR="00A06B57">
        <w:rPr>
          <w:rFonts w:ascii="Arial" w:hAnsi="Arial"/>
          <w:sz w:val="24"/>
          <w:lang w:val="fr-CA"/>
        </w:rPr>
        <w:t xml:space="preserve"> antécédents médicaux du patient. </w:t>
      </w:r>
    </w:p>
    <w:p w:rsidR="00A06B57" w:rsidRDefault="00A06B57" w:rsidP="008103A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Voir PA.003 - Vérification des antécédents du patient.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8103AF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Étiquet</w:t>
      </w:r>
      <w:r w:rsidR="008103AF">
        <w:rPr>
          <w:rFonts w:ascii="Arial" w:hAnsi="Arial"/>
          <w:sz w:val="24"/>
          <w:lang w:val="fr-CA"/>
        </w:rPr>
        <w:t>age des tubes</w:t>
      </w:r>
    </w:p>
    <w:p w:rsidR="00A06B57" w:rsidRPr="00A22B41" w:rsidRDefault="008103AF" w:rsidP="008103A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Étiquete</w:t>
      </w:r>
      <w:r w:rsidR="00A06B57">
        <w:rPr>
          <w:rFonts w:ascii="Arial" w:hAnsi="Arial"/>
          <w:sz w:val="24"/>
          <w:lang w:val="fr-CA"/>
        </w:rPr>
        <w:t xml:space="preserve">r les tubes conformément à la procédure établie. Voir PA.004 - </w:t>
      </w:r>
      <w:r w:rsidR="00A52BF0" w:rsidRPr="00A22B41">
        <w:rPr>
          <w:rFonts w:ascii="Arial" w:hAnsi="Arial"/>
          <w:bCs/>
          <w:sz w:val="24"/>
          <w:lang w:val="fr-CA"/>
        </w:rPr>
        <w:t>Étiquetage des tubes à essai et disposition dans un support en vue des épreuves de compatibilité</w:t>
      </w:r>
      <w:r w:rsidR="00A06B57" w:rsidRPr="00A22B41">
        <w:rPr>
          <w:rFonts w:ascii="Arial" w:hAnsi="Arial"/>
          <w:sz w:val="24"/>
          <w:lang w:val="fr-CA"/>
        </w:rPr>
        <w:t>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8103AF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</w:t>
      </w:r>
      <w:r w:rsidR="008103AF">
        <w:rPr>
          <w:rFonts w:ascii="Arial" w:hAnsi="Arial"/>
          <w:sz w:val="24"/>
          <w:lang w:val="fr-CA"/>
        </w:rPr>
        <w:t xml:space="preserve"> des réactifs</w:t>
      </w:r>
    </w:p>
    <w:p w:rsidR="00A06B57" w:rsidRDefault="008103AF" w:rsidP="008103A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</w:t>
      </w:r>
      <w:r w:rsidR="00A06B57">
        <w:rPr>
          <w:rFonts w:ascii="Arial" w:hAnsi="Arial"/>
          <w:sz w:val="24"/>
          <w:lang w:val="fr-CA"/>
        </w:rPr>
        <w:t xml:space="preserve">er le réactif approprié aux tubes </w:t>
      </w:r>
      <w:r>
        <w:rPr>
          <w:rFonts w:ascii="Arial" w:hAnsi="Arial"/>
          <w:sz w:val="24"/>
          <w:lang w:val="fr-CA"/>
        </w:rPr>
        <w:t>étiquetés</w:t>
      </w:r>
      <w:r w:rsidR="00A06B57">
        <w:rPr>
          <w:rFonts w:ascii="Arial" w:hAnsi="Arial"/>
          <w:sz w:val="24"/>
          <w:lang w:val="fr-CA"/>
        </w:rPr>
        <w:t xml:space="preserve"> selon </w:t>
      </w:r>
      <w:r w:rsidR="00A52BF0">
        <w:rPr>
          <w:rFonts w:ascii="Arial" w:hAnsi="Arial"/>
          <w:sz w:val="24"/>
          <w:lang w:val="fr-CA"/>
        </w:rPr>
        <w:t xml:space="preserve">les instructions </w:t>
      </w:r>
      <w:r w:rsidR="00A06B57">
        <w:rPr>
          <w:rFonts w:ascii="Arial" w:hAnsi="Arial"/>
          <w:sz w:val="24"/>
          <w:lang w:val="fr-CA"/>
        </w:rPr>
        <w:t xml:space="preserve">du </w:t>
      </w:r>
      <w:r w:rsidR="005779DE">
        <w:rPr>
          <w:rFonts w:ascii="Arial" w:hAnsi="Arial"/>
          <w:sz w:val="24"/>
          <w:lang w:val="fr-CA"/>
        </w:rPr>
        <w:t>fabricant</w:t>
      </w:r>
      <w:r w:rsidR="00A06B57">
        <w:rPr>
          <w:rFonts w:ascii="Arial" w:hAnsi="Arial"/>
          <w:sz w:val="24"/>
          <w:lang w:val="fr-CA"/>
        </w:rPr>
        <w:t>.</w:t>
      </w:r>
    </w:p>
    <w:p w:rsidR="008103AF" w:rsidRDefault="00A06B57" w:rsidP="008103AF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8103AF">
        <w:rPr>
          <w:rFonts w:ascii="Arial" w:hAnsi="Arial"/>
          <w:sz w:val="24"/>
          <w:lang w:val="fr-CA"/>
        </w:rPr>
        <w:t xml:space="preserve">Ajouter 1 goutte d'anti-D au tube étiqueté D. </w:t>
      </w:r>
    </w:p>
    <w:p w:rsidR="00A06B57" w:rsidRPr="008103AF" w:rsidRDefault="00A06B57" w:rsidP="008103AF">
      <w:pPr>
        <w:numPr>
          <w:ilvl w:val="2"/>
          <w:numId w:val="1"/>
        </w:numPr>
        <w:tabs>
          <w:tab w:val="clear" w:pos="2138"/>
          <w:tab w:val="left" w:pos="2160"/>
        </w:tabs>
        <w:rPr>
          <w:rFonts w:ascii="Arial" w:hAnsi="Arial"/>
          <w:sz w:val="24"/>
          <w:lang w:val="fr-CA"/>
        </w:rPr>
      </w:pPr>
      <w:r w:rsidRPr="008103AF">
        <w:rPr>
          <w:rFonts w:ascii="Arial" w:hAnsi="Arial"/>
          <w:sz w:val="24"/>
          <w:lang w:val="fr-CA"/>
        </w:rPr>
        <w:t>Ajouter 1 goutte de réactif témoin au tube étiqueté D</w:t>
      </w:r>
      <w:r w:rsidR="00A22B41" w:rsidRPr="008103AF">
        <w:rPr>
          <w:rFonts w:ascii="Arial" w:hAnsi="Arial"/>
          <w:sz w:val="24"/>
          <w:lang w:val="fr-CA"/>
        </w:rPr>
        <w:t>T</w:t>
      </w:r>
      <w:r w:rsidR="008103AF" w:rsidRPr="008103AF">
        <w:rPr>
          <w:rFonts w:ascii="Arial" w:hAnsi="Arial"/>
          <w:sz w:val="24"/>
          <w:lang w:val="fr-CA"/>
        </w:rPr>
        <w:t xml:space="preserve"> (le </w:t>
      </w:r>
      <w:r w:rsidR="008103AF" w:rsidRPr="008103AF">
        <w:rPr>
          <w:rFonts w:ascii="Arial" w:hAnsi="Arial"/>
          <w:sz w:val="24"/>
          <w:lang w:val="fr-CA"/>
        </w:rPr>
        <w:tab/>
        <w:t>cas échéant)</w:t>
      </w:r>
      <w:r w:rsidRPr="008103AF">
        <w:rPr>
          <w:rFonts w:ascii="Arial" w:hAnsi="Arial"/>
          <w:sz w:val="24"/>
          <w:lang w:val="fr-CA"/>
        </w:rPr>
        <w:t>.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123C42" w:rsidRDefault="00123C4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Préparation d’une suspension de cellules du patient à 3 % </w:t>
      </w:r>
    </w:p>
    <w:p w:rsidR="00A06B57" w:rsidRDefault="00A06B57" w:rsidP="00123C42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Comparer le nom du patient (ou le numéro unique) sur chaque tube aux renseignements correspondants sur le formulaire de demande (ou à l'écran d'ordinateur) pour </w:t>
      </w:r>
      <w:r w:rsidR="00006C66">
        <w:rPr>
          <w:rFonts w:ascii="Arial" w:hAnsi="Arial"/>
          <w:sz w:val="24"/>
          <w:lang w:val="fr-CA"/>
        </w:rPr>
        <w:t xml:space="preserve">vérifier leur </w:t>
      </w:r>
      <w:r>
        <w:rPr>
          <w:rFonts w:ascii="Arial" w:hAnsi="Arial"/>
          <w:sz w:val="24"/>
          <w:lang w:val="fr-CA"/>
        </w:rPr>
        <w:t>co</w:t>
      </w:r>
      <w:r w:rsidR="00006C66">
        <w:rPr>
          <w:rFonts w:ascii="Arial" w:hAnsi="Arial"/>
          <w:sz w:val="24"/>
          <w:lang w:val="fr-CA"/>
        </w:rPr>
        <w:t>ncordance</w:t>
      </w:r>
      <w:r>
        <w:rPr>
          <w:rFonts w:ascii="Arial" w:hAnsi="Arial"/>
          <w:sz w:val="24"/>
          <w:lang w:val="fr-CA"/>
        </w:rPr>
        <w:t>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2"/>
          <w:numId w:val="1"/>
        </w:num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Inscrire les trois premières lettres du nom de famille du patient sur </w:t>
      </w:r>
      <w:r w:rsidR="00A62BF2">
        <w:rPr>
          <w:rFonts w:ascii="Arial" w:hAnsi="Arial" w:cs="Arial"/>
          <w:sz w:val="24"/>
          <w:lang w:val="fr-CA"/>
        </w:rPr>
        <w:t>le</w:t>
      </w:r>
      <w:r>
        <w:rPr>
          <w:rFonts w:ascii="Arial" w:hAnsi="Arial" w:cs="Arial"/>
          <w:sz w:val="24"/>
          <w:lang w:val="fr-CA"/>
        </w:rPr>
        <w:t xml:space="preserve"> tube; copier les renseignements à partir </w:t>
      </w:r>
      <w:r w:rsidR="00A62BF2">
        <w:rPr>
          <w:rFonts w:ascii="Arial" w:hAnsi="Arial" w:cs="Arial"/>
          <w:sz w:val="24"/>
          <w:lang w:val="fr-CA"/>
        </w:rPr>
        <w:t>de l’échantillon</w:t>
      </w:r>
      <w:r>
        <w:rPr>
          <w:rFonts w:ascii="Arial" w:hAnsi="Arial" w:cs="Arial"/>
          <w:sz w:val="24"/>
          <w:lang w:val="fr-CA"/>
        </w:rPr>
        <w:t xml:space="preserve"> et non du formulaire de demande. </w:t>
      </w:r>
      <w:r>
        <w:rPr>
          <w:rFonts w:ascii="Arial" w:hAnsi="Arial"/>
          <w:sz w:val="24"/>
          <w:lang w:val="fr-CA"/>
        </w:rPr>
        <w:t xml:space="preserve">On peut utiliser une étiquette pré-imprimée (s’assurer que les renseignements correspondent exactement </w:t>
      </w:r>
      <w:r w:rsidR="00A62BF2">
        <w:rPr>
          <w:rFonts w:ascii="Arial" w:hAnsi="Arial"/>
          <w:sz w:val="24"/>
          <w:lang w:val="fr-CA"/>
        </w:rPr>
        <w:t>aux renseignements figurant</w:t>
      </w:r>
      <w:r>
        <w:rPr>
          <w:rFonts w:ascii="Arial" w:hAnsi="Arial"/>
          <w:sz w:val="24"/>
          <w:lang w:val="fr-CA"/>
        </w:rPr>
        <w:t xml:space="preserve"> sur l</w:t>
      </w:r>
      <w:r w:rsidR="00006C66">
        <w:rPr>
          <w:rFonts w:ascii="Arial" w:hAnsi="Arial"/>
          <w:sz w:val="24"/>
          <w:lang w:val="fr-CA"/>
        </w:rPr>
        <w:t>’étiquette de l’échantillon</w:t>
      </w:r>
      <w:r>
        <w:rPr>
          <w:rFonts w:ascii="Arial" w:hAnsi="Arial"/>
          <w:sz w:val="24"/>
          <w:lang w:val="fr-CA"/>
        </w:rPr>
        <w:t>).</w:t>
      </w:r>
    </w:p>
    <w:p w:rsidR="00123C42" w:rsidRDefault="00123C42" w:rsidP="00123C4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Voir AR.003 – Préparation d’une suspension cellulaire à 3 % avec les cellules du patient. Il n’est pas nécessaire de pré-laver les globules rouges, toutefois, en cas de divergence, il faut laver les globules et répéter les épreuves.</w:t>
      </w:r>
    </w:p>
    <w:p w:rsidR="00A06B57" w:rsidRDefault="00A06B57" w:rsidP="00123C4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une goutte de la suspension cellulaire à 3 % aux tubes étiquetés D et D</w:t>
      </w:r>
      <w:r w:rsidR="00903E09">
        <w:rPr>
          <w:rFonts w:ascii="Arial" w:hAnsi="Arial"/>
          <w:sz w:val="24"/>
          <w:lang w:val="fr-CA"/>
        </w:rPr>
        <w:t>T</w:t>
      </w:r>
      <w:r>
        <w:rPr>
          <w:rFonts w:ascii="Arial" w:hAnsi="Arial"/>
          <w:sz w:val="24"/>
          <w:lang w:val="fr-CA"/>
        </w:rPr>
        <w:t>.</w:t>
      </w:r>
    </w:p>
    <w:p w:rsidR="00A06B57" w:rsidRDefault="00A06B57" w:rsidP="00123C4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Mélanger et centrifuger les tubes à 3400 rpm pendant 10</w:t>
      </w:r>
      <w:r w:rsidR="009837F0">
        <w:rPr>
          <w:rFonts w:ascii="Arial" w:hAnsi="Arial"/>
          <w:sz w:val="24"/>
          <w:lang w:val="fr-CA"/>
        </w:rPr>
        <w:t xml:space="preserve"> à </w:t>
      </w:r>
      <w:r>
        <w:rPr>
          <w:rFonts w:ascii="Arial" w:hAnsi="Arial"/>
          <w:sz w:val="24"/>
          <w:lang w:val="fr-CA"/>
        </w:rPr>
        <w:t>15 secondes.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123C42" w:rsidRDefault="00A62BF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Interprét</w:t>
      </w:r>
      <w:r w:rsidR="00123C42">
        <w:rPr>
          <w:rFonts w:ascii="Arial" w:hAnsi="Arial"/>
          <w:sz w:val="24"/>
          <w:lang w:val="fr-CA"/>
        </w:rPr>
        <w:t>ation et inscription des résultats</w:t>
      </w:r>
    </w:p>
    <w:p w:rsidR="00123C42" w:rsidRDefault="00123C42" w:rsidP="00123C4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Voir </w:t>
      </w:r>
      <w:r w:rsidR="00A06B57">
        <w:rPr>
          <w:rFonts w:ascii="Arial" w:hAnsi="Arial"/>
          <w:sz w:val="24"/>
          <w:lang w:val="fr-CA"/>
        </w:rPr>
        <w:t>A</w:t>
      </w:r>
      <w:r>
        <w:rPr>
          <w:rFonts w:ascii="Arial" w:hAnsi="Arial"/>
          <w:sz w:val="24"/>
          <w:lang w:val="fr-CA"/>
        </w:rPr>
        <w:t>R</w:t>
      </w:r>
      <w:r w:rsidR="00A06B57">
        <w:rPr>
          <w:rFonts w:ascii="Arial" w:hAnsi="Arial"/>
          <w:sz w:val="24"/>
          <w:lang w:val="fr-CA"/>
        </w:rPr>
        <w:t>.00</w:t>
      </w:r>
      <w:r>
        <w:rPr>
          <w:rFonts w:ascii="Arial" w:hAnsi="Arial"/>
          <w:sz w:val="24"/>
          <w:lang w:val="fr-CA"/>
        </w:rPr>
        <w:t>1</w:t>
      </w:r>
      <w:r w:rsidR="00A06B57">
        <w:rPr>
          <w:rFonts w:ascii="Arial" w:hAnsi="Arial"/>
          <w:sz w:val="24"/>
          <w:lang w:val="fr-CA"/>
        </w:rPr>
        <w:t xml:space="preserve"> – Lecture et </w:t>
      </w:r>
      <w:r w:rsidR="00A22B41">
        <w:rPr>
          <w:rFonts w:ascii="Arial" w:hAnsi="Arial"/>
          <w:sz w:val="24"/>
          <w:lang w:val="fr-CA"/>
        </w:rPr>
        <w:t>inscription</w:t>
      </w:r>
      <w:r w:rsidR="00A62BF2">
        <w:rPr>
          <w:rFonts w:ascii="Arial" w:hAnsi="Arial"/>
          <w:sz w:val="24"/>
          <w:lang w:val="fr-CA"/>
        </w:rPr>
        <w:t xml:space="preserve"> </w:t>
      </w:r>
      <w:r w:rsidR="00A06B57">
        <w:rPr>
          <w:rFonts w:ascii="Arial" w:hAnsi="Arial"/>
          <w:sz w:val="24"/>
          <w:lang w:val="fr-CA"/>
        </w:rPr>
        <w:t xml:space="preserve">des réactions d’hémagglutination. </w:t>
      </w:r>
    </w:p>
    <w:p w:rsidR="00123C42" w:rsidRDefault="00123C42" w:rsidP="00123C42">
      <w:pPr>
        <w:ind w:left="2138"/>
        <w:rPr>
          <w:rFonts w:ascii="Arial" w:hAnsi="Arial"/>
          <w:sz w:val="24"/>
          <w:lang w:val="fr-CA"/>
        </w:rPr>
      </w:pPr>
    </w:p>
    <w:tbl>
      <w:tblPr>
        <w:tblW w:w="0" w:type="auto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389"/>
      </w:tblGrid>
      <w:tr w:rsidR="00123C42" w:rsidRPr="00F863A6" w:rsidTr="00F863A6">
        <w:tc>
          <w:tcPr>
            <w:tcW w:w="4390" w:type="dxa"/>
            <w:shd w:val="clear" w:color="auto" w:fill="DDD9C3"/>
          </w:tcPr>
          <w:p w:rsidR="00123C42" w:rsidRPr="00F863A6" w:rsidRDefault="00123C42" w:rsidP="00123C42">
            <w:pPr>
              <w:rPr>
                <w:rFonts w:ascii="Arial" w:hAnsi="Arial"/>
                <w:sz w:val="24"/>
                <w:lang w:val="fr-CA"/>
              </w:rPr>
            </w:pPr>
            <w:r w:rsidRPr="00F863A6">
              <w:rPr>
                <w:rFonts w:ascii="Arial" w:hAnsi="Arial"/>
                <w:sz w:val="24"/>
                <w:lang w:val="fr-CA"/>
              </w:rPr>
              <w:t>Si…,</w:t>
            </w:r>
          </w:p>
        </w:tc>
        <w:tc>
          <w:tcPr>
            <w:tcW w:w="4390" w:type="dxa"/>
            <w:shd w:val="clear" w:color="auto" w:fill="DDD9C3"/>
          </w:tcPr>
          <w:p w:rsidR="00123C42" w:rsidRPr="00F863A6" w:rsidRDefault="00123C42" w:rsidP="00123C42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vous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devez</w:t>
            </w:r>
          </w:p>
        </w:tc>
      </w:tr>
      <w:tr w:rsidR="00123C42" w:rsidRPr="00F863A6" w:rsidTr="00F863A6">
        <w:tc>
          <w:tcPr>
            <w:tcW w:w="4390" w:type="dxa"/>
          </w:tcPr>
          <w:p w:rsidR="00123C42" w:rsidRPr="00F863A6" w:rsidRDefault="00123C42" w:rsidP="00123C42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les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cellules sont fortement agglutinées (à +2 ou plus) dans le tube anti-D et négatif dans le tube témoin</w:t>
            </w:r>
          </w:p>
        </w:tc>
        <w:tc>
          <w:tcPr>
            <w:tcW w:w="4390" w:type="dxa"/>
          </w:tcPr>
          <w:p w:rsidR="00123C42" w:rsidRPr="00F863A6" w:rsidRDefault="00123C42" w:rsidP="00123C42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inscrire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les interprétations comme étant « D positif » et </w:t>
            </w:r>
            <w:r w:rsidRPr="00F863A6">
              <w:rPr>
                <w:rFonts w:ascii="Arial" w:hAnsi="Arial"/>
                <w:bCs/>
                <w:sz w:val="24"/>
                <w:lang w:val="fr-CA"/>
              </w:rPr>
              <w:t>ne pas continuer</w:t>
            </w:r>
            <w:r w:rsidRPr="00F863A6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  <w:tr w:rsidR="00123C42" w:rsidRPr="00F863A6" w:rsidTr="00F863A6">
        <w:tc>
          <w:tcPr>
            <w:tcW w:w="4390" w:type="dxa"/>
          </w:tcPr>
          <w:p w:rsidR="00123C42" w:rsidRPr="00F863A6" w:rsidRDefault="00123C42" w:rsidP="00123C42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aucune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agglutination n’est observée,</w:t>
            </w:r>
          </w:p>
        </w:tc>
        <w:tc>
          <w:tcPr>
            <w:tcW w:w="4390" w:type="dxa"/>
          </w:tcPr>
          <w:p w:rsidR="00123C42" w:rsidRPr="00F863A6" w:rsidRDefault="00123C42" w:rsidP="00123C42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passer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à l’étape 6.7</w:t>
            </w:r>
          </w:p>
        </w:tc>
      </w:tr>
    </w:tbl>
    <w:p w:rsidR="00123C42" w:rsidRDefault="00123C42" w:rsidP="00123C42">
      <w:pPr>
        <w:ind w:left="2138"/>
        <w:rPr>
          <w:rFonts w:ascii="Arial" w:hAnsi="Arial"/>
          <w:sz w:val="24"/>
          <w:lang w:val="fr-CA"/>
        </w:rPr>
      </w:pP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123C42" w:rsidRDefault="00123C42" w:rsidP="00123C4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123C42">
        <w:rPr>
          <w:rFonts w:ascii="Arial" w:hAnsi="Arial"/>
          <w:sz w:val="24"/>
          <w:lang w:val="fr-CA"/>
        </w:rPr>
        <w:t xml:space="preserve">Incubation </w:t>
      </w:r>
      <w:r w:rsidR="00A06B57" w:rsidRPr="00123C42">
        <w:rPr>
          <w:rFonts w:ascii="Arial" w:hAnsi="Arial"/>
          <w:sz w:val="24"/>
          <w:lang w:val="fr-CA"/>
        </w:rPr>
        <w:t>à 37 </w:t>
      </w:r>
      <w:r w:rsidR="009837F0" w:rsidRPr="00123C42">
        <w:rPr>
          <w:rFonts w:ascii="Arial" w:hAnsi="Arial"/>
          <w:sz w:val="24"/>
          <w:vertAlign w:val="superscript"/>
          <w:lang w:val="fr-CA"/>
        </w:rPr>
        <w:t>o</w:t>
      </w:r>
      <w:r w:rsidR="00A06B57" w:rsidRPr="00123C42">
        <w:rPr>
          <w:rFonts w:ascii="Arial" w:hAnsi="Arial"/>
          <w:sz w:val="24"/>
          <w:lang w:val="fr-CA"/>
        </w:rPr>
        <w:t xml:space="preserve">C </w:t>
      </w:r>
    </w:p>
    <w:p w:rsidR="00A06B57" w:rsidRPr="00123C42" w:rsidRDefault="00123C42" w:rsidP="00123C4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Mélanger et incuber à </w:t>
      </w:r>
      <w:r w:rsidRPr="00123C42">
        <w:rPr>
          <w:rFonts w:ascii="Arial" w:hAnsi="Arial"/>
          <w:sz w:val="24"/>
          <w:lang w:val="fr-CA"/>
        </w:rPr>
        <w:t>37 </w:t>
      </w:r>
      <w:r w:rsidRPr="00123C42">
        <w:rPr>
          <w:rFonts w:ascii="Arial" w:hAnsi="Arial"/>
          <w:sz w:val="24"/>
          <w:vertAlign w:val="superscript"/>
          <w:lang w:val="fr-CA"/>
        </w:rPr>
        <w:t>o</w:t>
      </w:r>
      <w:r w:rsidRPr="00123C42">
        <w:rPr>
          <w:rFonts w:ascii="Arial" w:hAnsi="Arial"/>
          <w:sz w:val="24"/>
          <w:lang w:val="fr-CA"/>
        </w:rPr>
        <w:t xml:space="preserve">C </w:t>
      </w:r>
      <w:r w:rsidR="00A06B57" w:rsidRPr="00123C42">
        <w:rPr>
          <w:rFonts w:ascii="Arial" w:hAnsi="Arial"/>
          <w:sz w:val="24"/>
          <w:lang w:val="fr-CA"/>
        </w:rPr>
        <w:t>pendant 15 minutes.</w:t>
      </w:r>
    </w:p>
    <w:p w:rsidR="00A06B57" w:rsidRDefault="00A06B57" w:rsidP="00123C42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Vérifier et </w:t>
      </w:r>
      <w:r w:rsidR="00A22B41">
        <w:rPr>
          <w:rFonts w:ascii="Arial" w:hAnsi="Arial"/>
          <w:sz w:val="24"/>
          <w:lang w:val="fr-CA"/>
        </w:rPr>
        <w:t>inscrire</w:t>
      </w:r>
      <w:r w:rsidR="00A62BF2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 xml:space="preserve">la température du bain-marie </w:t>
      </w:r>
      <w:r w:rsidR="00006C66">
        <w:rPr>
          <w:rFonts w:ascii="Arial" w:hAnsi="Arial"/>
          <w:sz w:val="24"/>
          <w:lang w:val="fr-CA"/>
        </w:rPr>
        <w:t xml:space="preserve">ou du bloc chauffant </w:t>
      </w:r>
      <w:r w:rsidR="005E51E5">
        <w:rPr>
          <w:rFonts w:ascii="Arial" w:hAnsi="Arial"/>
          <w:sz w:val="24"/>
          <w:lang w:val="fr-CA"/>
        </w:rPr>
        <w:t xml:space="preserve">sur le formulaire </w:t>
      </w:r>
      <w:r w:rsidR="005E51E5" w:rsidRPr="00515547">
        <w:rPr>
          <w:rFonts w:ascii="Arial" w:hAnsi="Arial"/>
          <w:sz w:val="24"/>
          <w:lang w:val="fr-CA"/>
        </w:rPr>
        <w:t>CAQ.006F</w:t>
      </w:r>
      <w:r>
        <w:rPr>
          <w:rFonts w:ascii="Arial" w:hAnsi="Arial"/>
          <w:sz w:val="24"/>
          <w:lang w:val="fr-CA"/>
        </w:rPr>
        <w:t>.</w:t>
      </w:r>
    </w:p>
    <w:p w:rsidR="00A06B57" w:rsidRPr="00123C42" w:rsidRDefault="00A06B57" w:rsidP="009837F0">
      <w:pPr>
        <w:numPr>
          <w:ilvl w:val="2"/>
          <w:numId w:val="1"/>
        </w:numPr>
        <w:ind w:left="2268" w:hanging="828"/>
        <w:rPr>
          <w:rFonts w:ascii="Arial" w:hAnsi="Arial"/>
          <w:sz w:val="24"/>
          <w:lang w:val="fr-CA"/>
        </w:rPr>
      </w:pPr>
      <w:r w:rsidRPr="00123C42">
        <w:rPr>
          <w:rFonts w:ascii="Arial" w:hAnsi="Arial"/>
          <w:sz w:val="24"/>
          <w:lang w:val="fr-CA"/>
        </w:rPr>
        <w:t xml:space="preserve">Après 15 minutes d’incubation, si une lecture </w:t>
      </w:r>
      <w:r w:rsidR="009837F0" w:rsidRPr="00123C42">
        <w:rPr>
          <w:rFonts w:ascii="Arial" w:hAnsi="Arial"/>
          <w:sz w:val="24"/>
          <w:lang w:val="fr-CA"/>
        </w:rPr>
        <w:t>à</w:t>
      </w:r>
      <w:r w:rsidRPr="00123C42">
        <w:rPr>
          <w:rFonts w:ascii="Arial" w:hAnsi="Arial"/>
          <w:sz w:val="24"/>
          <w:lang w:val="fr-CA"/>
        </w:rPr>
        <w:t xml:space="preserve"> 37 </w:t>
      </w:r>
      <w:r w:rsidR="009837F0" w:rsidRPr="00123C42">
        <w:rPr>
          <w:rFonts w:ascii="Arial" w:hAnsi="Arial"/>
          <w:sz w:val="24"/>
          <w:vertAlign w:val="superscript"/>
          <w:lang w:val="fr-CA"/>
        </w:rPr>
        <w:t>o</w:t>
      </w:r>
      <w:r w:rsidRPr="00123C42">
        <w:rPr>
          <w:rFonts w:ascii="Arial" w:hAnsi="Arial"/>
          <w:sz w:val="24"/>
          <w:lang w:val="fr-CA"/>
        </w:rPr>
        <w:t>C est désirée</w:t>
      </w:r>
      <w:r w:rsidR="00123C42" w:rsidRPr="00123C42">
        <w:rPr>
          <w:rFonts w:ascii="Arial" w:hAnsi="Arial"/>
          <w:sz w:val="24"/>
          <w:lang w:val="fr-CA"/>
        </w:rPr>
        <w:t xml:space="preserve">, </w:t>
      </w:r>
      <w:r w:rsidR="00123C42">
        <w:rPr>
          <w:rFonts w:ascii="Arial" w:hAnsi="Arial"/>
          <w:sz w:val="24"/>
          <w:lang w:val="fr-CA"/>
        </w:rPr>
        <w:t>c</w:t>
      </w:r>
      <w:r w:rsidRPr="00123C42">
        <w:rPr>
          <w:rFonts w:ascii="Arial" w:hAnsi="Arial"/>
          <w:sz w:val="24"/>
          <w:lang w:val="fr-CA"/>
        </w:rPr>
        <w:t>entrifuger les tubes dans une centrifugeuse sérologique à 3400 rpm pendant 10</w:t>
      </w:r>
      <w:r w:rsidR="009837F0" w:rsidRPr="00123C42">
        <w:rPr>
          <w:rFonts w:ascii="Arial" w:hAnsi="Arial"/>
          <w:sz w:val="24"/>
          <w:lang w:val="fr-CA"/>
        </w:rPr>
        <w:t xml:space="preserve"> à </w:t>
      </w:r>
      <w:r w:rsidRPr="00123C42">
        <w:rPr>
          <w:rFonts w:ascii="Arial" w:hAnsi="Arial"/>
          <w:sz w:val="24"/>
          <w:lang w:val="fr-CA"/>
        </w:rPr>
        <w:t>15 second</w:t>
      </w:r>
      <w:r w:rsidR="009837F0" w:rsidRPr="00123C42">
        <w:rPr>
          <w:rFonts w:ascii="Arial" w:hAnsi="Arial"/>
          <w:sz w:val="24"/>
          <w:lang w:val="fr-CA"/>
        </w:rPr>
        <w:t>e</w:t>
      </w:r>
      <w:r w:rsidRPr="00123C42">
        <w:rPr>
          <w:rFonts w:ascii="Arial" w:hAnsi="Arial"/>
          <w:sz w:val="24"/>
          <w:lang w:val="fr-CA"/>
        </w:rPr>
        <w:t>s (selon les directives du fabri</w:t>
      </w:r>
      <w:r w:rsidR="009837F0" w:rsidRPr="00123C42">
        <w:rPr>
          <w:rFonts w:ascii="Arial" w:hAnsi="Arial"/>
          <w:sz w:val="24"/>
          <w:lang w:val="fr-CA"/>
        </w:rPr>
        <w:t>c</w:t>
      </w:r>
      <w:r w:rsidRPr="00123C42">
        <w:rPr>
          <w:rFonts w:ascii="Arial" w:hAnsi="Arial"/>
          <w:sz w:val="24"/>
          <w:lang w:val="fr-CA"/>
        </w:rPr>
        <w:t>ant).</w:t>
      </w:r>
    </w:p>
    <w:p w:rsidR="00A06B57" w:rsidRDefault="009837F0" w:rsidP="009837F0">
      <w:pPr>
        <w:numPr>
          <w:ilvl w:val="2"/>
          <w:numId w:val="1"/>
        </w:numPr>
        <w:tabs>
          <w:tab w:val="clear" w:pos="2138"/>
        </w:tabs>
        <w:ind w:left="2268" w:hanging="828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 w:rsidR="00A06B57">
        <w:rPr>
          <w:rFonts w:ascii="Arial" w:hAnsi="Arial"/>
          <w:sz w:val="24"/>
          <w:lang w:val="fr-CA"/>
        </w:rPr>
        <w:t xml:space="preserve">Comparer le nom du patient sur chaque tube avec les renseignements correspondants </w:t>
      </w:r>
      <w:r w:rsidR="005E51E5">
        <w:rPr>
          <w:rFonts w:ascii="Arial" w:hAnsi="Arial"/>
          <w:sz w:val="24"/>
          <w:lang w:val="fr-CA"/>
        </w:rPr>
        <w:t xml:space="preserve">sur le </w:t>
      </w:r>
      <w:r w:rsidR="00A06B57">
        <w:rPr>
          <w:rFonts w:ascii="Arial" w:hAnsi="Arial"/>
          <w:sz w:val="24"/>
          <w:lang w:val="fr-CA"/>
        </w:rPr>
        <w:t>formulaire de demande d’analyse ou à l’écran de l’ordinateur</w:t>
      </w:r>
      <w:r w:rsidR="00D6559C">
        <w:rPr>
          <w:rFonts w:ascii="Arial" w:hAnsi="Arial"/>
          <w:sz w:val="24"/>
          <w:lang w:val="fr-CA"/>
        </w:rPr>
        <w:t xml:space="preserve"> pour vérifier leur concordance</w:t>
      </w:r>
      <w:r>
        <w:rPr>
          <w:rFonts w:ascii="Arial" w:hAnsi="Arial"/>
          <w:sz w:val="24"/>
          <w:lang w:val="fr-CA"/>
        </w:rPr>
        <w:t>.</w:t>
      </w:r>
      <w:r w:rsidR="00A06B57">
        <w:rPr>
          <w:rFonts w:ascii="Arial" w:hAnsi="Arial"/>
          <w:sz w:val="24"/>
          <w:lang w:val="fr-CA"/>
        </w:rPr>
        <w:t xml:space="preserve"> </w:t>
      </w:r>
    </w:p>
    <w:p w:rsidR="00123C42" w:rsidRDefault="009837F0" w:rsidP="009837F0">
      <w:pPr>
        <w:numPr>
          <w:ilvl w:val="2"/>
          <w:numId w:val="1"/>
        </w:numPr>
        <w:tabs>
          <w:tab w:val="clear" w:pos="2138"/>
        </w:tabs>
        <w:ind w:left="2268" w:hanging="828"/>
        <w:rPr>
          <w:rFonts w:ascii="Arial" w:hAnsi="Arial"/>
          <w:sz w:val="24"/>
          <w:lang w:val="fr-CA"/>
        </w:rPr>
      </w:pPr>
      <w:r w:rsidRPr="00123C42">
        <w:rPr>
          <w:rFonts w:ascii="Arial" w:hAnsi="Arial"/>
          <w:sz w:val="24"/>
          <w:lang w:val="fr-CA"/>
        </w:rPr>
        <w:tab/>
      </w:r>
      <w:r w:rsidR="00C33C44" w:rsidRPr="00123C42">
        <w:rPr>
          <w:rFonts w:ascii="Arial" w:hAnsi="Arial"/>
          <w:sz w:val="24"/>
          <w:lang w:val="fr-CA"/>
        </w:rPr>
        <w:t>Faire une lecture</w:t>
      </w:r>
      <w:r w:rsidR="00A06B57" w:rsidRPr="00123C42">
        <w:rPr>
          <w:rFonts w:ascii="Arial" w:hAnsi="Arial"/>
          <w:sz w:val="24"/>
          <w:lang w:val="fr-CA"/>
        </w:rPr>
        <w:t xml:space="preserve"> macroscopique</w:t>
      </w:r>
      <w:r w:rsidR="00C33C44" w:rsidRPr="00123C42">
        <w:rPr>
          <w:rFonts w:ascii="Arial" w:hAnsi="Arial"/>
          <w:sz w:val="24"/>
          <w:lang w:val="fr-CA"/>
        </w:rPr>
        <w:t>.</w:t>
      </w:r>
      <w:r w:rsidR="00A06B57" w:rsidRPr="00123C42">
        <w:rPr>
          <w:rFonts w:ascii="Arial" w:hAnsi="Arial"/>
          <w:sz w:val="24"/>
          <w:lang w:val="fr-CA"/>
        </w:rPr>
        <w:t xml:space="preserve"> </w:t>
      </w:r>
      <w:r w:rsidR="00123C42" w:rsidRPr="00123C42">
        <w:rPr>
          <w:rFonts w:ascii="Arial" w:hAnsi="Arial"/>
          <w:sz w:val="24"/>
          <w:lang w:val="fr-CA"/>
        </w:rPr>
        <w:t xml:space="preserve">Interpréter et inscrire les </w:t>
      </w:r>
      <w:proofErr w:type="gramStart"/>
      <w:r w:rsidR="00123C42" w:rsidRPr="00123C42">
        <w:rPr>
          <w:rFonts w:ascii="Arial" w:hAnsi="Arial"/>
          <w:sz w:val="24"/>
          <w:lang w:val="fr-CA"/>
        </w:rPr>
        <w:t>résultats</w:t>
      </w:r>
      <w:r w:rsidR="00123C42" w:rsidRPr="00123C42">
        <w:rPr>
          <w:rFonts w:ascii="Arial" w:hAnsi="Arial"/>
          <w:color w:val="000000"/>
          <w:sz w:val="24"/>
          <w:lang w:val="fr-CA"/>
        </w:rPr>
        <w:t>.</w:t>
      </w:r>
      <w:r w:rsidR="00A06B57" w:rsidRPr="00123C42">
        <w:rPr>
          <w:rFonts w:ascii="Arial" w:hAnsi="Arial"/>
          <w:sz w:val="24"/>
          <w:lang w:val="fr-CA"/>
        </w:rPr>
        <w:t>Voir</w:t>
      </w:r>
      <w:proofErr w:type="gramEnd"/>
      <w:r w:rsidR="00A06B57" w:rsidRPr="00123C42">
        <w:rPr>
          <w:rFonts w:ascii="Arial" w:hAnsi="Arial"/>
          <w:sz w:val="24"/>
          <w:lang w:val="fr-CA"/>
        </w:rPr>
        <w:t xml:space="preserve"> A</w:t>
      </w:r>
      <w:r w:rsidR="00123C42" w:rsidRPr="00123C42">
        <w:rPr>
          <w:rFonts w:ascii="Arial" w:hAnsi="Arial"/>
          <w:sz w:val="24"/>
          <w:lang w:val="fr-CA"/>
        </w:rPr>
        <w:t>R</w:t>
      </w:r>
      <w:r w:rsidR="00A06B57" w:rsidRPr="00123C42">
        <w:rPr>
          <w:rFonts w:ascii="Arial" w:hAnsi="Arial"/>
          <w:sz w:val="24"/>
          <w:lang w:val="fr-CA"/>
        </w:rPr>
        <w:t>.00</w:t>
      </w:r>
      <w:r w:rsidR="00123C42" w:rsidRPr="00123C42">
        <w:rPr>
          <w:rFonts w:ascii="Arial" w:hAnsi="Arial"/>
          <w:sz w:val="24"/>
          <w:lang w:val="fr-CA"/>
        </w:rPr>
        <w:t>1</w:t>
      </w:r>
      <w:r w:rsidR="00A06B57" w:rsidRPr="00123C42">
        <w:rPr>
          <w:rFonts w:ascii="Arial" w:hAnsi="Arial"/>
          <w:sz w:val="24"/>
          <w:lang w:val="fr-CA"/>
        </w:rPr>
        <w:t xml:space="preserve"> – Lecture et </w:t>
      </w:r>
      <w:r w:rsidR="00A22B41" w:rsidRPr="00123C42">
        <w:rPr>
          <w:rFonts w:ascii="Arial" w:hAnsi="Arial"/>
          <w:sz w:val="24"/>
          <w:lang w:val="fr-CA"/>
        </w:rPr>
        <w:t>inscription</w:t>
      </w:r>
      <w:r w:rsidR="005E51E5" w:rsidRPr="00123C42">
        <w:rPr>
          <w:rFonts w:ascii="Arial" w:hAnsi="Arial"/>
          <w:sz w:val="24"/>
          <w:lang w:val="fr-CA"/>
        </w:rPr>
        <w:t xml:space="preserve"> </w:t>
      </w:r>
      <w:r w:rsidR="00A06B57" w:rsidRPr="00123C42">
        <w:rPr>
          <w:rFonts w:ascii="Arial" w:hAnsi="Arial"/>
          <w:sz w:val="24"/>
          <w:lang w:val="fr-CA"/>
        </w:rPr>
        <w:t>des réactions d’hémagglutination</w:t>
      </w:r>
      <w:r w:rsidRPr="00123C42">
        <w:rPr>
          <w:rFonts w:ascii="Arial" w:hAnsi="Arial"/>
          <w:sz w:val="24"/>
          <w:lang w:val="fr-CA"/>
        </w:rPr>
        <w:t>.</w:t>
      </w:r>
      <w:r w:rsidR="00123C42" w:rsidRPr="00123C42">
        <w:rPr>
          <w:rFonts w:ascii="Arial" w:hAnsi="Arial"/>
          <w:sz w:val="24"/>
          <w:lang w:val="fr-CA"/>
        </w:rPr>
        <w:t xml:space="preserve"> </w:t>
      </w:r>
    </w:p>
    <w:p w:rsidR="00123C42" w:rsidRDefault="00123C42" w:rsidP="00123C42">
      <w:pPr>
        <w:ind w:left="2268"/>
        <w:rPr>
          <w:rFonts w:ascii="Arial" w:hAnsi="Arial"/>
          <w:sz w:val="24"/>
          <w:lang w:val="fr-CA"/>
        </w:rPr>
      </w:pPr>
    </w:p>
    <w:tbl>
      <w:tblPr>
        <w:tblW w:w="0" w:type="auto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3290"/>
      </w:tblGrid>
      <w:tr w:rsidR="00F05C37" w:rsidRPr="00F863A6" w:rsidTr="00F863A6">
        <w:tc>
          <w:tcPr>
            <w:tcW w:w="4390" w:type="dxa"/>
            <w:shd w:val="clear" w:color="auto" w:fill="DDD9C3"/>
          </w:tcPr>
          <w:p w:rsidR="00123C42" w:rsidRPr="00F863A6" w:rsidRDefault="00123C42" w:rsidP="00F863A6">
            <w:pPr>
              <w:rPr>
                <w:rFonts w:ascii="Arial" w:hAnsi="Arial"/>
                <w:sz w:val="24"/>
                <w:lang w:val="fr-CA"/>
              </w:rPr>
            </w:pPr>
            <w:r w:rsidRPr="00F863A6">
              <w:rPr>
                <w:rFonts w:ascii="Arial" w:hAnsi="Arial"/>
                <w:sz w:val="24"/>
                <w:lang w:val="fr-CA"/>
              </w:rPr>
              <w:t>Si…,</w:t>
            </w:r>
          </w:p>
        </w:tc>
        <w:tc>
          <w:tcPr>
            <w:tcW w:w="4390" w:type="dxa"/>
            <w:shd w:val="clear" w:color="auto" w:fill="DDD9C3"/>
          </w:tcPr>
          <w:p w:rsidR="00123C42" w:rsidRPr="00F863A6" w:rsidRDefault="00123C42" w:rsidP="00F863A6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vous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devez</w:t>
            </w:r>
          </w:p>
        </w:tc>
      </w:tr>
      <w:tr w:rsidR="00123C42" w:rsidRPr="00F863A6" w:rsidTr="00F863A6">
        <w:tc>
          <w:tcPr>
            <w:tcW w:w="4390" w:type="dxa"/>
          </w:tcPr>
          <w:p w:rsidR="00123C42" w:rsidRPr="00F863A6" w:rsidRDefault="00123C42" w:rsidP="00F863A6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les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cellules sont fortement agglutinées (à +2 ou plus) dans le tube anti-D et négatif dans le tube témoin</w:t>
            </w:r>
          </w:p>
        </w:tc>
        <w:tc>
          <w:tcPr>
            <w:tcW w:w="4390" w:type="dxa"/>
          </w:tcPr>
          <w:p w:rsidR="00123C42" w:rsidRPr="00F863A6" w:rsidRDefault="00123C42" w:rsidP="00F05C37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inscrire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les interprétations comme étant « D positif » et </w:t>
            </w:r>
            <w:r w:rsidRPr="00F863A6">
              <w:rPr>
                <w:rFonts w:ascii="Arial" w:hAnsi="Arial"/>
                <w:bCs/>
                <w:sz w:val="24"/>
                <w:lang w:val="fr-CA"/>
              </w:rPr>
              <w:t>ne pas passer à l</w:t>
            </w:r>
            <w:r w:rsidR="00F05C37" w:rsidRPr="00F863A6">
              <w:rPr>
                <w:rFonts w:ascii="Arial" w:hAnsi="Arial"/>
                <w:bCs/>
                <w:sz w:val="24"/>
                <w:lang w:val="fr-CA"/>
              </w:rPr>
              <w:t>a phase antiglobuline</w:t>
            </w:r>
            <w:r w:rsidRPr="00F863A6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  <w:tr w:rsidR="00123C42" w:rsidRPr="00F863A6" w:rsidTr="00F863A6">
        <w:tc>
          <w:tcPr>
            <w:tcW w:w="4390" w:type="dxa"/>
          </w:tcPr>
          <w:p w:rsidR="00123C42" w:rsidRPr="00F863A6" w:rsidRDefault="00123C42" w:rsidP="00F863A6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aucune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agglutination n’est observée</w:t>
            </w:r>
            <w:r w:rsidR="00F05C37" w:rsidRPr="00F863A6">
              <w:rPr>
                <w:rFonts w:ascii="Arial" w:hAnsi="Arial"/>
                <w:sz w:val="24"/>
                <w:lang w:val="fr-CA"/>
              </w:rPr>
              <w:t xml:space="preserve"> (macroscopique)</w:t>
            </w:r>
            <w:r w:rsidRPr="00F863A6">
              <w:rPr>
                <w:rFonts w:ascii="Arial" w:hAnsi="Arial"/>
                <w:sz w:val="24"/>
                <w:lang w:val="fr-CA"/>
              </w:rPr>
              <w:t>,</w:t>
            </w:r>
          </w:p>
        </w:tc>
        <w:tc>
          <w:tcPr>
            <w:tcW w:w="4390" w:type="dxa"/>
          </w:tcPr>
          <w:p w:rsidR="00123C42" w:rsidRPr="00F863A6" w:rsidRDefault="00123C42" w:rsidP="00F05C37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passer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à l’étape 6.</w:t>
            </w:r>
            <w:r w:rsidR="00F05C37" w:rsidRPr="00F863A6">
              <w:rPr>
                <w:rFonts w:ascii="Arial" w:hAnsi="Arial"/>
                <w:sz w:val="24"/>
                <w:lang w:val="fr-CA"/>
              </w:rPr>
              <w:t>8</w:t>
            </w:r>
          </w:p>
        </w:tc>
      </w:tr>
    </w:tbl>
    <w:p w:rsidR="00123C42" w:rsidRDefault="00123C42" w:rsidP="00F05C37">
      <w:pPr>
        <w:rPr>
          <w:rFonts w:ascii="Arial" w:hAnsi="Arial"/>
          <w:sz w:val="24"/>
          <w:lang w:val="fr-CA"/>
        </w:rPr>
      </w:pPr>
    </w:p>
    <w:p w:rsidR="00123C42" w:rsidRDefault="00123C42" w:rsidP="00F05C37">
      <w:pPr>
        <w:ind w:left="2268"/>
        <w:rPr>
          <w:rFonts w:ascii="Arial" w:hAnsi="Arial"/>
          <w:sz w:val="24"/>
          <w:lang w:val="fr-CA"/>
        </w:rPr>
      </w:pPr>
    </w:p>
    <w:p w:rsidR="00F05C37" w:rsidRDefault="00A06B57" w:rsidP="00D6559C">
      <w:pPr>
        <w:numPr>
          <w:ilvl w:val="1"/>
          <w:numId w:val="1"/>
        </w:numPr>
        <w:ind w:left="1418" w:hanging="709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Phase antiglobuline</w:t>
      </w:r>
      <w:r w:rsidR="00D6559C" w:rsidRPr="00006C66">
        <w:rPr>
          <w:rFonts w:ascii="Arial" w:hAnsi="Arial"/>
          <w:sz w:val="24"/>
          <w:lang w:val="fr-CA"/>
        </w:rPr>
        <w:t xml:space="preserve"> </w:t>
      </w:r>
    </w:p>
    <w:p w:rsidR="00A06B57" w:rsidRPr="00006C66" w:rsidRDefault="00D6559C" w:rsidP="00F05C3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006C66">
        <w:rPr>
          <w:rFonts w:ascii="Arial" w:hAnsi="Arial"/>
          <w:sz w:val="24"/>
          <w:lang w:val="fr-CA"/>
        </w:rPr>
        <w:t>Voir A</w:t>
      </w:r>
      <w:r w:rsidR="00F05C37">
        <w:rPr>
          <w:rFonts w:ascii="Arial" w:hAnsi="Arial"/>
          <w:sz w:val="24"/>
          <w:lang w:val="fr-CA"/>
        </w:rPr>
        <w:t>R</w:t>
      </w:r>
      <w:r w:rsidRPr="00006C66">
        <w:rPr>
          <w:rFonts w:ascii="Arial" w:hAnsi="Arial"/>
          <w:sz w:val="24"/>
          <w:lang w:val="fr-CA"/>
        </w:rPr>
        <w:t>.00</w:t>
      </w:r>
      <w:r w:rsidR="00F05C37">
        <w:rPr>
          <w:rFonts w:ascii="Arial" w:hAnsi="Arial"/>
          <w:sz w:val="24"/>
          <w:lang w:val="fr-CA"/>
        </w:rPr>
        <w:t>2</w:t>
      </w:r>
      <w:r w:rsidRPr="00006C66">
        <w:rPr>
          <w:rFonts w:ascii="Arial" w:hAnsi="Arial"/>
          <w:sz w:val="24"/>
          <w:lang w:val="fr-CA"/>
        </w:rPr>
        <w:t xml:space="preserve"> – Lavage automati</w:t>
      </w:r>
      <w:r w:rsidR="00006C66" w:rsidRPr="00006C66">
        <w:rPr>
          <w:rFonts w:ascii="Arial" w:hAnsi="Arial"/>
          <w:sz w:val="24"/>
          <w:lang w:val="fr-CA"/>
        </w:rPr>
        <w:t xml:space="preserve">sé ou </w:t>
      </w:r>
      <w:r w:rsidRPr="00006C66">
        <w:rPr>
          <w:rFonts w:ascii="Arial" w:hAnsi="Arial"/>
          <w:sz w:val="24"/>
          <w:lang w:val="fr-CA"/>
        </w:rPr>
        <w:t>manuel des cellules.</w:t>
      </w:r>
    </w:p>
    <w:p w:rsidR="00A06B57" w:rsidRDefault="00A06B57" w:rsidP="009837F0">
      <w:pPr>
        <w:ind w:left="2268" w:hanging="850"/>
        <w:rPr>
          <w:rFonts w:ascii="Arial" w:hAnsi="Arial"/>
          <w:sz w:val="24"/>
          <w:lang w:val="fr-CA"/>
        </w:rPr>
      </w:pPr>
    </w:p>
    <w:p w:rsidR="00A06B57" w:rsidRDefault="005E51E5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Interprét</w:t>
      </w:r>
      <w:r w:rsidR="00F05C37">
        <w:rPr>
          <w:rFonts w:ascii="Arial" w:hAnsi="Arial"/>
          <w:sz w:val="24"/>
          <w:lang w:val="fr-CA"/>
        </w:rPr>
        <w:t xml:space="preserve">ation du </w:t>
      </w:r>
      <w:r w:rsidR="00A06B57">
        <w:rPr>
          <w:rFonts w:ascii="Arial" w:hAnsi="Arial"/>
          <w:sz w:val="24"/>
          <w:lang w:val="fr-CA"/>
        </w:rPr>
        <w:t>facteur Rh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 w:rsidP="002743AC">
      <w:pPr>
        <w:numPr>
          <w:ilvl w:val="2"/>
          <w:numId w:val="1"/>
        </w:numPr>
        <w:tabs>
          <w:tab w:val="clear" w:pos="2138"/>
        </w:tabs>
        <w:ind w:left="2268" w:hanging="85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</w:t>
      </w:r>
      <w:r w:rsidR="00F05C37">
        <w:rPr>
          <w:rFonts w:ascii="Arial" w:hAnsi="Arial"/>
          <w:sz w:val="24"/>
          <w:lang w:val="fr-CA"/>
        </w:rPr>
        <w:t xml:space="preserve">Voir la section </w:t>
      </w:r>
      <w:r>
        <w:rPr>
          <w:rFonts w:ascii="Arial" w:hAnsi="Arial"/>
          <w:sz w:val="24"/>
          <w:lang w:val="fr-CA"/>
        </w:rPr>
        <w:t>7.0 – Documentation</w:t>
      </w:r>
      <w:r w:rsidR="00F05C37">
        <w:rPr>
          <w:rFonts w:ascii="Arial" w:hAnsi="Arial"/>
          <w:sz w:val="24"/>
          <w:lang w:val="fr-CA"/>
        </w:rPr>
        <w:t xml:space="preserve"> pour interpréter les résultats. In</w:t>
      </w:r>
      <w:r w:rsidR="00A22B41">
        <w:rPr>
          <w:rFonts w:ascii="Arial" w:hAnsi="Arial"/>
          <w:sz w:val="24"/>
          <w:lang w:val="fr-CA"/>
        </w:rPr>
        <w:t>scrire</w:t>
      </w:r>
      <w:r w:rsidR="00245A3D">
        <w:rPr>
          <w:rFonts w:ascii="Arial" w:hAnsi="Arial"/>
          <w:sz w:val="24"/>
          <w:lang w:val="fr-CA"/>
        </w:rPr>
        <w:t xml:space="preserve"> le type</w:t>
      </w:r>
      <w:r>
        <w:rPr>
          <w:rFonts w:ascii="Arial" w:hAnsi="Arial"/>
          <w:sz w:val="24"/>
          <w:lang w:val="fr-CA"/>
        </w:rPr>
        <w:t xml:space="preserve"> du facteur Rh sur le formulaire de demande ou à l’ordinateur selon la procédure établie.</w:t>
      </w:r>
    </w:p>
    <w:p w:rsidR="00F05C37" w:rsidRDefault="00F05C37" w:rsidP="00F05C37">
      <w:pPr>
        <w:ind w:left="720"/>
        <w:rPr>
          <w:rFonts w:ascii="Arial" w:hAnsi="Arial"/>
          <w:sz w:val="24"/>
          <w:lang w:val="fr-CA"/>
        </w:rPr>
      </w:pPr>
    </w:p>
    <w:tbl>
      <w:tblPr>
        <w:tblW w:w="0" w:type="auto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340"/>
      </w:tblGrid>
      <w:tr w:rsidR="00F05C37" w:rsidRPr="00F863A6" w:rsidTr="00F863A6">
        <w:tc>
          <w:tcPr>
            <w:tcW w:w="4390" w:type="dxa"/>
            <w:shd w:val="clear" w:color="auto" w:fill="DDD9C3"/>
          </w:tcPr>
          <w:p w:rsidR="00F05C37" w:rsidRPr="00F863A6" w:rsidRDefault="00F05C37" w:rsidP="00F863A6">
            <w:pPr>
              <w:rPr>
                <w:rFonts w:ascii="Arial" w:hAnsi="Arial"/>
                <w:sz w:val="24"/>
                <w:lang w:val="fr-CA"/>
              </w:rPr>
            </w:pPr>
            <w:r w:rsidRPr="00F863A6">
              <w:rPr>
                <w:rFonts w:ascii="Arial" w:hAnsi="Arial"/>
                <w:sz w:val="24"/>
                <w:lang w:val="fr-CA"/>
              </w:rPr>
              <w:t>Si…,</w:t>
            </w:r>
          </w:p>
        </w:tc>
        <w:tc>
          <w:tcPr>
            <w:tcW w:w="4390" w:type="dxa"/>
            <w:shd w:val="clear" w:color="auto" w:fill="DDD9C3"/>
          </w:tcPr>
          <w:p w:rsidR="00F05C37" w:rsidRPr="00F863A6" w:rsidRDefault="00F05C37" w:rsidP="00F863A6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vous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devez</w:t>
            </w:r>
          </w:p>
        </w:tc>
      </w:tr>
      <w:tr w:rsidR="00F05C37" w:rsidRPr="00F863A6" w:rsidTr="00F863A6">
        <w:tc>
          <w:tcPr>
            <w:tcW w:w="4390" w:type="dxa"/>
          </w:tcPr>
          <w:p w:rsidR="00F05C37" w:rsidRPr="00F863A6" w:rsidRDefault="00F05C37" w:rsidP="00F05C37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les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cellules du patient ne réagissent pas tel que décrit en 7.0 – Documentation</w:t>
            </w:r>
          </w:p>
        </w:tc>
        <w:tc>
          <w:tcPr>
            <w:tcW w:w="4390" w:type="dxa"/>
          </w:tcPr>
          <w:p w:rsidR="00F05C37" w:rsidRPr="00F863A6" w:rsidRDefault="00F05C37" w:rsidP="00F05C37">
            <w:pPr>
              <w:rPr>
                <w:rFonts w:ascii="Arial" w:hAnsi="Arial"/>
                <w:sz w:val="24"/>
                <w:lang w:val="fr-CA"/>
              </w:rPr>
            </w:pPr>
            <w:r w:rsidRPr="00F863A6">
              <w:rPr>
                <w:rFonts w:ascii="Arial" w:hAnsi="Arial"/>
                <w:sz w:val="24"/>
                <w:lang w:val="fr-CA"/>
              </w:rPr>
              <w:t xml:space="preserve">Clarifier la divergence avant d’inscrire le type du facteur Rh. Voir EC.004 – </w:t>
            </w:r>
            <w:bookmarkStart w:id="1" w:name="OLE_LINK1"/>
            <w:r w:rsidRPr="00F863A6">
              <w:rPr>
                <w:rFonts w:ascii="Arial" w:hAnsi="Arial" w:cs="Arial"/>
                <w:bCs/>
                <w:sz w:val="24"/>
                <w:szCs w:val="24"/>
                <w:lang w:val="fr-CA"/>
              </w:rPr>
              <w:t>Résolution de problèmes liés à la détermination du facteur Rh</w:t>
            </w:r>
            <w:r w:rsidRPr="00F863A6">
              <w:rPr>
                <w:bCs/>
                <w:lang w:val="fr-CA"/>
              </w:rPr>
              <w:t xml:space="preserve"> </w:t>
            </w:r>
            <w:bookmarkEnd w:id="1"/>
            <w:r w:rsidRPr="00F863A6">
              <w:rPr>
                <w:rFonts w:ascii="Arial" w:hAnsi="Arial"/>
                <w:sz w:val="24"/>
                <w:lang w:val="fr-CA"/>
              </w:rPr>
              <w:t>et Remarque 8.</w:t>
            </w: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2.inscrire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les interprétations comme étant « D positif » et </w:t>
            </w:r>
            <w:r w:rsidRPr="00F863A6">
              <w:rPr>
                <w:rFonts w:ascii="Arial" w:hAnsi="Arial"/>
                <w:bCs/>
                <w:sz w:val="24"/>
                <w:lang w:val="fr-CA"/>
              </w:rPr>
              <w:t>ne pas passer à la phase antiglobuline</w:t>
            </w:r>
            <w:r w:rsidRPr="00F863A6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  <w:tr w:rsidR="00F05C37" w:rsidRPr="00F863A6" w:rsidTr="00F863A6">
        <w:tc>
          <w:tcPr>
            <w:tcW w:w="4390" w:type="dxa"/>
          </w:tcPr>
          <w:p w:rsidR="00F05C37" w:rsidRPr="00F863A6" w:rsidRDefault="00F05C37" w:rsidP="00F05C37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on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trouve un résultat antécédent de la détermination du facteur Rh,</w:t>
            </w:r>
          </w:p>
        </w:tc>
        <w:tc>
          <w:tcPr>
            <w:tcW w:w="4390" w:type="dxa"/>
          </w:tcPr>
          <w:p w:rsidR="00F05C37" w:rsidRPr="00F863A6" w:rsidRDefault="00F05C37" w:rsidP="00F05C37">
            <w:pPr>
              <w:rPr>
                <w:rFonts w:ascii="Arial" w:hAnsi="Arial"/>
                <w:sz w:val="24"/>
                <w:lang w:val="fr-CA"/>
              </w:rPr>
            </w:pPr>
            <w:proofErr w:type="gramStart"/>
            <w:r w:rsidRPr="00F863A6">
              <w:rPr>
                <w:rFonts w:ascii="Arial" w:hAnsi="Arial"/>
                <w:sz w:val="24"/>
                <w:lang w:val="fr-CA"/>
              </w:rPr>
              <w:t>le</w:t>
            </w:r>
            <w:proofErr w:type="gramEnd"/>
            <w:r w:rsidRPr="00F863A6">
              <w:rPr>
                <w:rFonts w:ascii="Arial" w:hAnsi="Arial"/>
                <w:sz w:val="24"/>
                <w:lang w:val="fr-CA"/>
              </w:rPr>
              <w:t xml:space="preserve"> comparer au résultat actuel. Si les résultats diffèrent, voir EC.004 – </w:t>
            </w:r>
            <w:r w:rsidRPr="00F863A6">
              <w:rPr>
                <w:rFonts w:ascii="Arial" w:hAnsi="Arial" w:cs="Arial"/>
                <w:bCs/>
                <w:sz w:val="24"/>
                <w:szCs w:val="24"/>
                <w:lang w:val="fr-CA"/>
              </w:rPr>
              <w:t>Résolution de problèmes liés à la détermination du facteur Rh</w:t>
            </w:r>
            <w:r w:rsidRPr="00F863A6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</w:tbl>
    <w:p w:rsidR="00F05C37" w:rsidRDefault="00F05C37" w:rsidP="002743AC">
      <w:pPr>
        <w:ind w:left="2268" w:hanging="850"/>
        <w:rPr>
          <w:rFonts w:ascii="Arial" w:hAnsi="Arial"/>
          <w:sz w:val="24"/>
          <w:lang w:val="fr-CA"/>
        </w:rPr>
      </w:pP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A06B57" w:rsidRDefault="00F05C3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Vérification</w:t>
      </w:r>
      <w:r w:rsidR="00006C66">
        <w:rPr>
          <w:rFonts w:ascii="Arial" w:hAnsi="Arial"/>
          <w:sz w:val="24"/>
          <w:lang w:val="fr-CA"/>
        </w:rPr>
        <w:t xml:space="preserve"> </w:t>
      </w:r>
    </w:p>
    <w:p w:rsidR="00A06B57" w:rsidRPr="00F05C37" w:rsidRDefault="00A06B57" w:rsidP="00F05C3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F05C37">
        <w:rPr>
          <w:rFonts w:ascii="Arial" w:hAnsi="Arial"/>
          <w:sz w:val="24"/>
          <w:lang w:val="fr-CA"/>
        </w:rPr>
        <w:t>Une fois la procédure terminée, il faut procéder à une vérification.</w:t>
      </w:r>
      <w:r w:rsidR="00F05C37" w:rsidRPr="00F05C37">
        <w:rPr>
          <w:rFonts w:ascii="Arial" w:hAnsi="Arial"/>
          <w:sz w:val="24"/>
          <w:lang w:val="fr-CA"/>
        </w:rPr>
        <w:t xml:space="preserve"> </w:t>
      </w:r>
      <w:r w:rsidRPr="00F05C37">
        <w:rPr>
          <w:rFonts w:ascii="Arial" w:hAnsi="Arial"/>
          <w:sz w:val="24"/>
          <w:lang w:val="fr-CA"/>
        </w:rPr>
        <w:t>Pour chaque détermination du facteur Rh, il faut s'assurer des éléments suivants :</w:t>
      </w:r>
    </w:p>
    <w:p w:rsidR="00A06B57" w:rsidRDefault="00A06B57">
      <w:pPr>
        <w:numPr>
          <w:ilvl w:val="0"/>
          <w:numId w:val="4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 nom du patient et le numéro d’identification sont identiques sur tous les échantillons et sur le formulaire de demande</w:t>
      </w:r>
      <w:r w:rsidR="002C3FB4">
        <w:rPr>
          <w:rFonts w:ascii="Arial" w:hAnsi="Arial"/>
          <w:sz w:val="24"/>
          <w:lang w:val="fr-CA"/>
        </w:rPr>
        <w:t xml:space="preserve"> ou à l’écran de l’ordinateur</w:t>
      </w:r>
      <w:r>
        <w:rPr>
          <w:rFonts w:ascii="Arial" w:hAnsi="Arial"/>
          <w:sz w:val="24"/>
          <w:lang w:val="fr-CA"/>
        </w:rPr>
        <w:t>.</w:t>
      </w:r>
    </w:p>
    <w:p w:rsidR="00A06B57" w:rsidRDefault="00A06B57">
      <w:pPr>
        <w:numPr>
          <w:ilvl w:val="0"/>
          <w:numId w:val="4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 nom du patient est identique sur tous les tubes et sur le formulaire de demande</w:t>
      </w:r>
      <w:r w:rsidR="002C3FB4">
        <w:rPr>
          <w:rFonts w:ascii="Arial" w:hAnsi="Arial"/>
          <w:sz w:val="24"/>
          <w:lang w:val="fr-CA"/>
        </w:rPr>
        <w:t xml:space="preserve"> ou à l’écran de l’ordinateur</w:t>
      </w:r>
      <w:r>
        <w:rPr>
          <w:rFonts w:ascii="Arial" w:hAnsi="Arial"/>
          <w:sz w:val="24"/>
          <w:lang w:val="fr-CA"/>
        </w:rPr>
        <w:t>.</w:t>
      </w:r>
    </w:p>
    <w:p w:rsidR="00A06B57" w:rsidRDefault="00A06B57">
      <w:pPr>
        <w:numPr>
          <w:ilvl w:val="0"/>
          <w:numId w:val="4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résultats ont été interprétés correctement.</w:t>
      </w: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F05C37" w:rsidRDefault="00F05C3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Signature</w:t>
      </w:r>
    </w:p>
    <w:p w:rsidR="00A06B57" w:rsidRDefault="00A06B57" w:rsidP="00F05C3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Mettre ses initiales ou signer le formulaire de demande et </w:t>
      </w:r>
      <w:r w:rsidR="00A22B41">
        <w:rPr>
          <w:rFonts w:ascii="Arial" w:hAnsi="Arial"/>
          <w:sz w:val="24"/>
          <w:lang w:val="fr-CA"/>
        </w:rPr>
        <w:t>inscrire</w:t>
      </w:r>
      <w:r w:rsidR="002C3FB4"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lang w:val="fr-CA"/>
        </w:rPr>
        <w:t>l’heure et la date de la conclusion de l’épreuve sur l</w:t>
      </w:r>
      <w:r w:rsidR="00006C66">
        <w:rPr>
          <w:rFonts w:ascii="Arial" w:hAnsi="Arial"/>
          <w:sz w:val="24"/>
          <w:lang w:val="fr-CA"/>
        </w:rPr>
        <w:t>a demande ou</w:t>
      </w:r>
      <w:r>
        <w:rPr>
          <w:rFonts w:ascii="Arial" w:hAnsi="Arial"/>
          <w:sz w:val="24"/>
          <w:lang w:val="fr-CA"/>
        </w:rPr>
        <w:t xml:space="preserve"> à l’ordinateur. </w:t>
      </w:r>
    </w:p>
    <w:p w:rsidR="00A06B57" w:rsidRDefault="00D6559C" w:rsidP="00F05C3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Noter que les </w:t>
      </w:r>
      <w:r w:rsidR="00A06B57">
        <w:rPr>
          <w:rFonts w:ascii="Arial" w:hAnsi="Arial"/>
          <w:sz w:val="24"/>
          <w:lang w:val="fr-CA"/>
        </w:rPr>
        <w:t>résultats</w:t>
      </w:r>
      <w:r>
        <w:rPr>
          <w:rFonts w:ascii="Arial" w:hAnsi="Arial"/>
          <w:sz w:val="24"/>
          <w:lang w:val="fr-CA"/>
        </w:rPr>
        <w:t xml:space="preserve"> ont été vérifiés</w:t>
      </w:r>
      <w:r w:rsidR="00A06B57">
        <w:rPr>
          <w:rFonts w:ascii="Arial" w:hAnsi="Arial"/>
          <w:sz w:val="24"/>
          <w:lang w:val="fr-CA"/>
        </w:rPr>
        <w:t>. Voir 7.0 – Documentation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Documentation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D6559C">
        <w:rPr>
          <w:rFonts w:ascii="Arial" w:hAnsi="Arial"/>
          <w:sz w:val="24"/>
          <w:lang w:val="fr-CA"/>
        </w:rPr>
        <w:t xml:space="preserve">Le </w:t>
      </w:r>
      <w:r w:rsidR="002C3FB4" w:rsidRPr="00D6559C">
        <w:rPr>
          <w:rFonts w:ascii="Arial" w:hAnsi="Arial"/>
          <w:sz w:val="24"/>
          <w:lang w:val="fr-CA"/>
        </w:rPr>
        <w:t xml:space="preserve">témoin </w:t>
      </w:r>
      <w:r w:rsidRPr="00D6559C">
        <w:rPr>
          <w:rFonts w:ascii="Arial" w:hAnsi="Arial"/>
          <w:sz w:val="24"/>
          <w:lang w:val="fr-CA"/>
        </w:rPr>
        <w:t xml:space="preserve">doit être </w:t>
      </w:r>
      <w:r w:rsidR="002C3FB4" w:rsidRPr="00D6559C">
        <w:rPr>
          <w:rFonts w:ascii="Arial" w:hAnsi="Arial"/>
          <w:sz w:val="24"/>
          <w:lang w:val="fr-CA"/>
        </w:rPr>
        <w:t>négatif</w:t>
      </w:r>
      <w:r w:rsidRPr="00D6559C">
        <w:rPr>
          <w:rFonts w:ascii="Arial" w:hAnsi="Arial"/>
          <w:sz w:val="24"/>
          <w:lang w:val="fr-CA"/>
        </w:rPr>
        <w:t>.</w:t>
      </w:r>
      <w:r w:rsidR="002C3FB4" w:rsidRPr="00D6559C">
        <w:rPr>
          <w:rFonts w:ascii="Arial" w:hAnsi="Arial"/>
          <w:sz w:val="24"/>
          <w:lang w:val="fr-CA"/>
        </w:rPr>
        <w:t xml:space="preserve"> </w:t>
      </w:r>
      <w:r w:rsidRPr="00D6559C">
        <w:rPr>
          <w:rFonts w:ascii="Arial" w:hAnsi="Arial"/>
          <w:sz w:val="24"/>
          <w:lang w:val="fr-CA"/>
        </w:rPr>
        <w:t xml:space="preserve">Interpréter </w:t>
      </w:r>
      <w:r>
        <w:rPr>
          <w:rFonts w:ascii="Arial" w:hAnsi="Arial"/>
          <w:sz w:val="24"/>
          <w:lang w:val="fr-CA"/>
        </w:rPr>
        <w:t>les résultats comme suit :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2970"/>
      </w:tblGrid>
      <w:tr w:rsidR="00A06B57">
        <w:trPr>
          <w:cantSplit/>
          <w:jc w:val="center"/>
        </w:trPr>
        <w:tc>
          <w:tcPr>
            <w:tcW w:w="2340" w:type="dxa"/>
            <w:gridSpan w:val="2"/>
          </w:tcPr>
          <w:p w:rsidR="00A06B57" w:rsidRDefault="00A06B57">
            <w:pPr>
              <w:jc w:val="center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37</w:t>
            </w:r>
            <w:r w:rsidR="00D6559C">
              <w:rPr>
                <w:rFonts w:ascii="Arial" w:hAnsi="Arial"/>
                <w:b/>
                <w:sz w:val="24"/>
                <w:lang w:val="fr-CA"/>
              </w:rPr>
              <w:t xml:space="preserve"> </w:t>
            </w:r>
            <w:r w:rsidR="00D6559C" w:rsidRPr="00D6559C">
              <w:rPr>
                <w:rFonts w:ascii="Arial" w:hAnsi="Arial"/>
                <w:b/>
                <w:sz w:val="24"/>
                <w:vertAlign w:val="superscript"/>
                <w:lang w:val="fr-CA"/>
              </w:rPr>
              <w:t>o</w:t>
            </w:r>
            <w:r>
              <w:rPr>
                <w:rFonts w:ascii="Arial" w:hAnsi="Arial"/>
                <w:b/>
                <w:sz w:val="24"/>
                <w:lang w:val="fr-CA"/>
              </w:rPr>
              <w:t>C</w:t>
            </w:r>
          </w:p>
        </w:tc>
        <w:tc>
          <w:tcPr>
            <w:tcW w:w="2340" w:type="dxa"/>
            <w:gridSpan w:val="2"/>
          </w:tcPr>
          <w:p w:rsidR="00A06B57" w:rsidRDefault="00A06B57">
            <w:pPr>
              <w:pStyle w:val="Heading1"/>
              <w:rPr>
                <w:b/>
                <w:lang w:val="fr-CA"/>
              </w:rPr>
            </w:pPr>
            <w:r>
              <w:rPr>
                <w:b/>
                <w:lang w:val="fr-CA"/>
              </w:rPr>
              <w:t>TIA</w:t>
            </w:r>
          </w:p>
        </w:tc>
        <w:tc>
          <w:tcPr>
            <w:tcW w:w="2970" w:type="dxa"/>
            <w:vMerge w:val="restart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</w:p>
          <w:p w:rsidR="00A06B57" w:rsidRDefault="00A06B57">
            <w:pPr>
              <w:pStyle w:val="Heading1"/>
              <w:rPr>
                <w:b/>
                <w:lang w:val="fr-CA"/>
              </w:rPr>
            </w:pPr>
            <w:r>
              <w:rPr>
                <w:b/>
                <w:lang w:val="fr-CA"/>
              </w:rPr>
              <w:t>Interprétation</w:t>
            </w:r>
          </w:p>
        </w:tc>
      </w:tr>
      <w:tr w:rsidR="00A06B57">
        <w:trPr>
          <w:cantSplit/>
          <w:jc w:val="center"/>
        </w:trPr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Anti-D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b/>
                <w:sz w:val="24"/>
                <w:lang w:val="fr-CA"/>
              </w:rPr>
            </w:pPr>
            <w:r w:rsidRPr="002C3FB4">
              <w:rPr>
                <w:rFonts w:ascii="Arial" w:hAnsi="Arial"/>
                <w:b/>
                <w:sz w:val="24"/>
                <w:lang w:val="fr-CA"/>
              </w:rPr>
              <w:t>Témoin</w:t>
            </w:r>
            <w:r>
              <w:rPr>
                <w:rFonts w:ascii="Arial" w:hAnsi="Arial"/>
                <w:b/>
                <w:sz w:val="24"/>
                <w:lang w:val="fr-CA"/>
              </w:rPr>
              <w:t xml:space="preserve"> 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Anti-D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 xml:space="preserve">Témoin </w:t>
            </w:r>
          </w:p>
        </w:tc>
        <w:tc>
          <w:tcPr>
            <w:tcW w:w="2970" w:type="dxa"/>
            <w:vMerge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A06B57">
        <w:trPr>
          <w:cantSplit/>
          <w:jc w:val="center"/>
        </w:trPr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&gt; 2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NT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NT</w:t>
            </w:r>
          </w:p>
        </w:tc>
        <w:tc>
          <w:tcPr>
            <w:tcW w:w="29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Rh positif</w:t>
            </w:r>
          </w:p>
        </w:tc>
      </w:tr>
      <w:tr w:rsidR="00A06B57">
        <w:trPr>
          <w:cantSplit/>
          <w:jc w:val="center"/>
        </w:trPr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&lt; 2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&gt; 1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29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Rh positif</w:t>
            </w:r>
          </w:p>
        </w:tc>
      </w:tr>
      <w:tr w:rsidR="00A06B57">
        <w:trPr>
          <w:cantSplit/>
          <w:jc w:val="center"/>
        </w:trPr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29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Rh négatif</w:t>
            </w:r>
          </w:p>
        </w:tc>
      </w:tr>
      <w:tr w:rsidR="00A06B57">
        <w:trPr>
          <w:cantSplit/>
          <w:jc w:val="center"/>
        </w:trPr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&lt; 1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29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Indéterminable. Investiguer davantage. Voir étape 7.2.</w:t>
            </w:r>
          </w:p>
        </w:tc>
      </w:tr>
      <w:tr w:rsidR="00A06B57">
        <w:trPr>
          <w:cantSplit/>
          <w:jc w:val="center"/>
        </w:trPr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0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&gt; 1</w:t>
            </w:r>
          </w:p>
        </w:tc>
        <w:tc>
          <w:tcPr>
            <w:tcW w:w="11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&gt; 1</w:t>
            </w:r>
          </w:p>
        </w:tc>
        <w:tc>
          <w:tcPr>
            <w:tcW w:w="2970" w:type="dxa"/>
          </w:tcPr>
          <w:p w:rsidR="00A06B57" w:rsidRDefault="00A06B57">
            <w:pPr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Indéterminable. Investiguer davantage. Voir étape 7.2.</w:t>
            </w:r>
          </w:p>
        </w:tc>
      </w:tr>
    </w:tbl>
    <w:p w:rsidR="00A06B57" w:rsidRDefault="00A06B57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      NT : Non testé 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réactions d’au moins +2 après 15 minutes d’incubation à 37 </w:t>
      </w:r>
      <w:r w:rsidR="00903E09" w:rsidRPr="00903E09">
        <w:rPr>
          <w:rFonts w:ascii="Arial" w:hAnsi="Arial"/>
          <w:sz w:val="24"/>
          <w:vertAlign w:val="superscript"/>
          <w:lang w:val="fr-CA"/>
        </w:rPr>
        <w:t>o</w:t>
      </w:r>
      <w:r>
        <w:rPr>
          <w:rFonts w:ascii="Arial" w:hAnsi="Arial"/>
          <w:sz w:val="24"/>
          <w:lang w:val="fr-CA"/>
        </w:rPr>
        <w:t xml:space="preserve">C indiquent la présence de l’antigène D. </w:t>
      </w:r>
      <w:r w:rsidR="002743AC">
        <w:rPr>
          <w:rFonts w:ascii="Arial" w:hAnsi="Arial"/>
          <w:sz w:val="24"/>
          <w:lang w:val="fr-CA"/>
        </w:rPr>
        <w:t>Inscrire</w:t>
      </w:r>
      <w:r>
        <w:rPr>
          <w:rFonts w:ascii="Arial" w:hAnsi="Arial"/>
          <w:sz w:val="24"/>
          <w:lang w:val="fr-CA"/>
        </w:rPr>
        <w:t xml:space="preserve"> comme </w:t>
      </w:r>
      <w:r w:rsidR="00D6559C">
        <w:rPr>
          <w:rFonts w:ascii="Arial" w:hAnsi="Arial"/>
          <w:sz w:val="24"/>
          <w:lang w:val="fr-CA"/>
        </w:rPr>
        <w:t xml:space="preserve">étant </w:t>
      </w:r>
      <w:r>
        <w:rPr>
          <w:rFonts w:ascii="Arial" w:hAnsi="Arial"/>
          <w:sz w:val="24"/>
          <w:lang w:val="fr-CA"/>
        </w:rPr>
        <w:t>Rh positif.</w:t>
      </w: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réactions d’au moins +1 au TIA indiquent la présence de l’antigène D. </w:t>
      </w:r>
      <w:r w:rsidR="002743AC">
        <w:rPr>
          <w:rFonts w:ascii="Arial" w:hAnsi="Arial"/>
          <w:sz w:val="24"/>
          <w:lang w:val="fr-CA"/>
        </w:rPr>
        <w:t>Inscrire</w:t>
      </w:r>
      <w:r>
        <w:rPr>
          <w:rFonts w:ascii="Arial" w:hAnsi="Arial"/>
          <w:sz w:val="24"/>
          <w:lang w:val="fr-CA"/>
        </w:rPr>
        <w:t xml:space="preserve"> comme </w:t>
      </w:r>
      <w:r w:rsidR="00D6559C">
        <w:rPr>
          <w:rFonts w:ascii="Arial" w:hAnsi="Arial"/>
          <w:sz w:val="24"/>
          <w:lang w:val="fr-CA"/>
        </w:rPr>
        <w:t xml:space="preserve">étant </w:t>
      </w:r>
      <w:r>
        <w:rPr>
          <w:rFonts w:ascii="Arial" w:hAnsi="Arial"/>
          <w:sz w:val="24"/>
          <w:lang w:val="fr-CA"/>
        </w:rPr>
        <w:t>Rh positif.</w:t>
      </w: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A06B57" w:rsidRDefault="00006C66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L’absence de </w:t>
      </w:r>
      <w:r w:rsidR="00A06B57">
        <w:rPr>
          <w:rFonts w:ascii="Arial" w:hAnsi="Arial"/>
          <w:sz w:val="24"/>
          <w:lang w:val="fr-CA"/>
        </w:rPr>
        <w:t xml:space="preserve">réaction (négatif) au TIA indique l’absence de l’antigène D. </w:t>
      </w:r>
      <w:r w:rsidR="002743AC">
        <w:rPr>
          <w:rFonts w:ascii="Arial" w:hAnsi="Arial"/>
          <w:sz w:val="24"/>
          <w:lang w:val="fr-CA"/>
        </w:rPr>
        <w:t>Inscrire</w:t>
      </w:r>
      <w:r w:rsidR="00A06B57">
        <w:rPr>
          <w:rFonts w:ascii="Arial" w:hAnsi="Arial"/>
          <w:sz w:val="24"/>
          <w:lang w:val="fr-CA"/>
        </w:rPr>
        <w:t xml:space="preserve"> comme </w:t>
      </w:r>
      <w:r w:rsidR="00D6559C">
        <w:rPr>
          <w:rFonts w:ascii="Arial" w:hAnsi="Arial"/>
          <w:sz w:val="24"/>
          <w:lang w:val="fr-CA"/>
        </w:rPr>
        <w:t xml:space="preserve">étant </w:t>
      </w:r>
      <w:r w:rsidR="00A06B57">
        <w:rPr>
          <w:rFonts w:ascii="Arial" w:hAnsi="Arial"/>
          <w:sz w:val="24"/>
          <w:lang w:val="fr-CA"/>
        </w:rPr>
        <w:t>Rh négatif.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 le </w:t>
      </w:r>
      <w:r w:rsidR="00605D88">
        <w:rPr>
          <w:rFonts w:ascii="Arial" w:hAnsi="Arial"/>
          <w:sz w:val="24"/>
          <w:lang w:val="fr-CA"/>
        </w:rPr>
        <w:t xml:space="preserve">témoin </w:t>
      </w:r>
      <w:r>
        <w:rPr>
          <w:rFonts w:ascii="Arial" w:hAnsi="Arial"/>
          <w:sz w:val="24"/>
          <w:lang w:val="fr-CA"/>
        </w:rPr>
        <w:t>est positif ou si la réaction positive avec l’anti-D est inférieure à +1 par TIA :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D6559C">
        <w:rPr>
          <w:rFonts w:ascii="Arial" w:hAnsi="Arial"/>
          <w:sz w:val="24"/>
          <w:lang w:val="fr-CA"/>
        </w:rPr>
        <w:t>Ne pas</w:t>
      </w:r>
      <w:r>
        <w:rPr>
          <w:rFonts w:ascii="Arial" w:hAnsi="Arial"/>
          <w:b/>
          <w:sz w:val="24"/>
          <w:lang w:val="fr-CA"/>
        </w:rPr>
        <w:t xml:space="preserve"> </w:t>
      </w:r>
      <w:r w:rsidR="002743AC">
        <w:rPr>
          <w:rFonts w:ascii="Arial" w:hAnsi="Arial"/>
          <w:sz w:val="24"/>
          <w:lang w:val="fr-CA"/>
        </w:rPr>
        <w:t>inscrire</w:t>
      </w:r>
      <w:r>
        <w:rPr>
          <w:rFonts w:ascii="Arial" w:hAnsi="Arial"/>
          <w:sz w:val="24"/>
          <w:lang w:val="fr-CA"/>
        </w:rPr>
        <w:t xml:space="preserve"> le résultat du type Rh.</w:t>
      </w: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Il faut investiguer davantage. Voir </w:t>
      </w:r>
      <w:r w:rsidR="00605D88">
        <w:rPr>
          <w:rFonts w:ascii="Arial" w:hAnsi="Arial"/>
          <w:sz w:val="24"/>
          <w:lang w:val="fr-CA"/>
        </w:rPr>
        <w:t>EC</w:t>
      </w:r>
      <w:r>
        <w:rPr>
          <w:rFonts w:ascii="Arial" w:hAnsi="Arial"/>
          <w:sz w:val="24"/>
          <w:lang w:val="fr-CA"/>
        </w:rPr>
        <w:t xml:space="preserve">.004 – </w:t>
      </w:r>
      <w:r w:rsidR="00605D88" w:rsidRPr="00245A3D">
        <w:rPr>
          <w:rFonts w:ascii="Arial" w:hAnsi="Arial" w:cs="Arial"/>
          <w:bCs/>
          <w:sz w:val="24"/>
          <w:szCs w:val="24"/>
          <w:lang w:val="fr-CA"/>
        </w:rPr>
        <w:t>Résolution de problèmes liés à la détermination du facteur Rh</w:t>
      </w:r>
      <w:r>
        <w:rPr>
          <w:rFonts w:ascii="Arial" w:hAnsi="Arial"/>
          <w:sz w:val="24"/>
          <w:lang w:val="fr-CA"/>
        </w:rPr>
        <w:t>.</w:t>
      </w:r>
    </w:p>
    <w:p w:rsidR="00A06B57" w:rsidRDefault="00A06B57">
      <w:pPr>
        <w:rPr>
          <w:rFonts w:ascii="Arial" w:hAnsi="Arial"/>
          <w:b/>
          <w:sz w:val="28"/>
          <w:lang w:val="fr-CA"/>
        </w:rPr>
      </w:pPr>
    </w:p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Remarques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Il faut lire les résultats immédiatement après la centrifugation. Tout retard permettr</w:t>
      </w:r>
      <w:r w:rsidR="005779DE">
        <w:rPr>
          <w:rFonts w:ascii="Arial" w:hAnsi="Arial"/>
          <w:sz w:val="24"/>
          <w:lang w:val="fr-CA"/>
        </w:rPr>
        <w:t>ait</w:t>
      </w:r>
      <w:r>
        <w:rPr>
          <w:rFonts w:ascii="Arial" w:hAnsi="Arial"/>
          <w:sz w:val="24"/>
          <w:lang w:val="fr-CA"/>
        </w:rPr>
        <w:t xml:space="preserve"> aux IgG </w:t>
      </w:r>
      <w:r w:rsidR="00605D88">
        <w:rPr>
          <w:rFonts w:ascii="Arial" w:hAnsi="Arial"/>
          <w:sz w:val="24"/>
          <w:lang w:val="fr-CA"/>
        </w:rPr>
        <w:t xml:space="preserve">liés </w:t>
      </w:r>
      <w:r>
        <w:rPr>
          <w:rFonts w:ascii="Arial" w:hAnsi="Arial"/>
          <w:sz w:val="24"/>
          <w:lang w:val="fr-CA"/>
        </w:rPr>
        <w:t xml:space="preserve">de se dissocier des globules rouges; leur concentration serait alors trop faible pour qu’on puisse les déceler ou les IgG pourraient neutraliser </w:t>
      </w:r>
      <w:r w:rsidR="00605D88">
        <w:rPr>
          <w:rFonts w:ascii="Arial" w:hAnsi="Arial"/>
          <w:sz w:val="24"/>
          <w:lang w:val="fr-CA"/>
        </w:rPr>
        <w:t xml:space="preserve">le réactif </w:t>
      </w:r>
      <w:r w:rsidR="00A67CA8">
        <w:rPr>
          <w:rFonts w:ascii="Arial" w:hAnsi="Arial"/>
          <w:sz w:val="24"/>
          <w:lang w:val="fr-CA"/>
        </w:rPr>
        <w:t>IAT</w:t>
      </w:r>
      <w:r>
        <w:rPr>
          <w:rFonts w:ascii="Arial" w:hAnsi="Arial"/>
          <w:sz w:val="24"/>
          <w:lang w:val="fr-CA"/>
        </w:rPr>
        <w:t xml:space="preserve"> et donner un faux résultat négatif.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Dans les cas où le résultat de la détermination du D faible ne peut être </w:t>
      </w:r>
      <w:r w:rsidR="00A67CA8">
        <w:rPr>
          <w:rFonts w:ascii="Arial" w:hAnsi="Arial"/>
          <w:sz w:val="24"/>
          <w:lang w:val="fr-CA"/>
        </w:rPr>
        <w:t>noté</w:t>
      </w:r>
      <w:r>
        <w:rPr>
          <w:rFonts w:ascii="Arial" w:hAnsi="Arial"/>
          <w:sz w:val="24"/>
          <w:lang w:val="fr-CA"/>
        </w:rPr>
        <w:t xml:space="preserve"> ou n’est pas résolu :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S’il faut immédiatement des composants du sang, avant que la divergence ait pu être résolue, il faut mettre en circulation des produits sanguins Rh négatif pour les femmes préménopaus</w:t>
      </w:r>
      <w:r w:rsidR="00006C66">
        <w:rPr>
          <w:rFonts w:ascii="Arial" w:hAnsi="Arial"/>
          <w:sz w:val="24"/>
          <w:lang w:val="fr-CA"/>
        </w:rPr>
        <w:t>ées</w:t>
      </w:r>
      <w:r>
        <w:rPr>
          <w:rFonts w:ascii="Arial" w:hAnsi="Arial"/>
          <w:sz w:val="24"/>
          <w:lang w:val="fr-CA"/>
        </w:rPr>
        <w:t xml:space="preserve"> et les enfants jusqu’à la résolution du problème. Les autres patients, en l’absence d’un anti-D connu, peuvent recevoir du sang Rh positif dans les situations d’urgence où il y a une pénurie de sang Rh négatif.</w:t>
      </w:r>
    </w:p>
    <w:p w:rsidR="00A06B57" w:rsidRDefault="00A06B57">
      <w:pPr>
        <w:ind w:left="1440"/>
        <w:rPr>
          <w:rFonts w:ascii="Arial" w:hAnsi="Arial"/>
          <w:sz w:val="24"/>
          <w:lang w:val="fr-CA"/>
        </w:rPr>
      </w:pPr>
    </w:p>
    <w:p w:rsidR="00F05C37" w:rsidRDefault="00A06B57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Si on ne peut déterminer le type Rh et que le patient est un nouveau-né d’une mère Rh négatif, faire le test de Kleihauer-Betke sur l’échantillon maternel pour déterminer la quantité d’immunoglobuline Rh (IgRh) requise.</w:t>
      </w:r>
    </w:p>
    <w:p w:rsidR="00A06B57" w:rsidRDefault="00F05C37" w:rsidP="00F05C37">
      <w:pPr>
        <w:ind w:left="2138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br w:type="page"/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A06B57" w:rsidRDefault="00A06B57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Références</w:t>
      </w:r>
    </w:p>
    <w:p w:rsidR="00A06B57" w:rsidRDefault="00A06B57">
      <w:pPr>
        <w:rPr>
          <w:rFonts w:ascii="Arial" w:hAnsi="Arial"/>
          <w:sz w:val="24"/>
          <w:lang w:val="fr-CA"/>
        </w:rPr>
      </w:pPr>
    </w:p>
    <w:p w:rsidR="00D6559C" w:rsidRDefault="00D6559C" w:rsidP="00D6559C">
      <w:pPr>
        <w:numPr>
          <w:ilvl w:val="1"/>
          <w:numId w:val="1"/>
        </w:numPr>
        <w:rPr>
          <w:rFonts w:ascii="Arial" w:hAnsi="Arial"/>
          <w:sz w:val="24"/>
        </w:rPr>
      </w:pPr>
      <w:r w:rsidRPr="00006C66">
        <w:rPr>
          <w:rFonts w:ascii="Arial" w:hAnsi="Arial"/>
          <w:i/>
          <w:sz w:val="24"/>
        </w:rPr>
        <w:t>Standards for Hospital Transfusion Services</w:t>
      </w:r>
      <w:r>
        <w:rPr>
          <w:rFonts w:ascii="Arial" w:hAnsi="Arial"/>
          <w:sz w:val="24"/>
        </w:rPr>
        <w:t xml:space="preserve">, version </w:t>
      </w:r>
      <w:r w:rsidR="00F05C37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– </w:t>
      </w:r>
      <w:r w:rsidR="00F05C37">
        <w:rPr>
          <w:rFonts w:ascii="Arial" w:hAnsi="Arial"/>
          <w:sz w:val="24"/>
        </w:rPr>
        <w:t>février</w:t>
      </w:r>
      <w:r>
        <w:rPr>
          <w:rFonts w:ascii="Arial" w:hAnsi="Arial"/>
          <w:sz w:val="24"/>
        </w:rPr>
        <w:t xml:space="preserve"> 20</w:t>
      </w:r>
      <w:r w:rsidR="00F05C37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. Société </w:t>
      </w:r>
      <w:r>
        <w:rPr>
          <w:rFonts w:ascii="Arial" w:hAnsi="Arial"/>
          <w:sz w:val="24"/>
          <w:lang w:val="fr-CA"/>
        </w:rPr>
        <w:t>canadienne de médecine transfusionnelle</w:t>
      </w:r>
      <w:r w:rsidR="00F05C37">
        <w:rPr>
          <w:rFonts w:ascii="Arial" w:hAnsi="Arial"/>
          <w:sz w:val="24"/>
          <w:lang w:val="fr-CA"/>
        </w:rPr>
        <w:t xml:space="preserve">; </w:t>
      </w:r>
      <w:r>
        <w:rPr>
          <w:rFonts w:ascii="Arial" w:hAnsi="Arial"/>
          <w:sz w:val="24"/>
        </w:rPr>
        <w:t>5.3.3.3, 5.3.3.2.</w:t>
      </w:r>
    </w:p>
    <w:p w:rsidR="00D6559C" w:rsidRDefault="00D6559C" w:rsidP="00D6559C">
      <w:pPr>
        <w:ind w:left="720"/>
        <w:rPr>
          <w:rFonts w:ascii="Arial" w:hAnsi="Arial"/>
          <w:sz w:val="24"/>
        </w:rPr>
      </w:pPr>
    </w:p>
    <w:p w:rsidR="00D6559C" w:rsidRDefault="00826B7E" w:rsidP="00D6559C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ROBACK JD, éd. </w:t>
      </w:r>
      <w:r w:rsidRPr="00006C66">
        <w:rPr>
          <w:rFonts w:ascii="Arial" w:hAnsi="Arial"/>
          <w:i/>
          <w:sz w:val="24"/>
        </w:rPr>
        <w:t>American Association of Blood Banks Technical Manual</w:t>
      </w:r>
      <w:r>
        <w:rPr>
          <w:rFonts w:ascii="Arial" w:hAnsi="Arial"/>
          <w:sz w:val="24"/>
        </w:rPr>
        <w:t>, 1</w:t>
      </w:r>
      <w:r w:rsidR="00CF3149">
        <w:rPr>
          <w:rFonts w:ascii="Arial" w:hAnsi="Arial"/>
          <w:sz w:val="24"/>
        </w:rPr>
        <w:t>7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Bethesda, MD:  American Association of Blood Banks</w:t>
      </w:r>
      <w:r w:rsidR="00006C66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20</w:t>
      </w:r>
      <w:r w:rsidR="00CF3149">
        <w:rPr>
          <w:rFonts w:ascii="Arial" w:hAnsi="Arial"/>
          <w:sz w:val="24"/>
        </w:rPr>
        <w:t>11</w:t>
      </w:r>
      <w:r w:rsidR="00006C66">
        <w:rPr>
          <w:rFonts w:ascii="Arial" w:hAnsi="Arial"/>
          <w:sz w:val="24"/>
        </w:rPr>
        <w:t>)</w:t>
      </w:r>
      <w:r w:rsidR="00CF3149">
        <w:rPr>
          <w:rFonts w:ascii="Arial" w:hAnsi="Arial"/>
          <w:sz w:val="24"/>
        </w:rPr>
        <w:t>;</w:t>
      </w:r>
      <w:r w:rsidR="00D6559C">
        <w:rPr>
          <w:rFonts w:ascii="Arial" w:hAnsi="Arial"/>
          <w:sz w:val="24"/>
        </w:rPr>
        <w:t xml:space="preserve"> </w:t>
      </w:r>
      <w:r w:rsidR="00006C66">
        <w:rPr>
          <w:rFonts w:ascii="Arial" w:hAnsi="Arial"/>
          <w:sz w:val="24"/>
        </w:rPr>
        <w:t xml:space="preserve">p. </w:t>
      </w:r>
      <w:r w:rsidR="00D6559C">
        <w:rPr>
          <w:rFonts w:ascii="Arial" w:hAnsi="Arial"/>
          <w:sz w:val="24"/>
        </w:rPr>
        <w:t>44</w:t>
      </w:r>
      <w:r w:rsidR="00CF3149">
        <w:rPr>
          <w:rFonts w:ascii="Arial" w:hAnsi="Arial"/>
          <w:sz w:val="24"/>
        </w:rPr>
        <w:t>5</w:t>
      </w:r>
      <w:r w:rsidR="00D6559C">
        <w:rPr>
          <w:rFonts w:ascii="Arial" w:hAnsi="Arial"/>
          <w:sz w:val="24"/>
        </w:rPr>
        <w:t>-448, 88</w:t>
      </w:r>
      <w:r w:rsidR="00CF3149">
        <w:rPr>
          <w:rFonts w:ascii="Arial" w:hAnsi="Arial"/>
          <w:sz w:val="24"/>
        </w:rPr>
        <w:t>7</w:t>
      </w:r>
      <w:r w:rsidR="00D6559C">
        <w:rPr>
          <w:rFonts w:ascii="Arial" w:hAnsi="Arial"/>
          <w:sz w:val="24"/>
        </w:rPr>
        <w:t>-8</w:t>
      </w:r>
      <w:r w:rsidR="00CF3149">
        <w:rPr>
          <w:rFonts w:ascii="Arial" w:hAnsi="Arial"/>
          <w:sz w:val="24"/>
        </w:rPr>
        <w:t>88</w:t>
      </w:r>
      <w:r w:rsidR="00D6559C">
        <w:rPr>
          <w:rFonts w:ascii="Arial" w:hAnsi="Arial"/>
          <w:sz w:val="24"/>
        </w:rPr>
        <w:t>.</w:t>
      </w:r>
    </w:p>
    <w:p w:rsidR="00D6559C" w:rsidRDefault="00D6559C" w:rsidP="00D6559C">
      <w:pPr>
        <w:ind w:left="720"/>
        <w:rPr>
          <w:rFonts w:ascii="Arial" w:hAnsi="Arial"/>
          <w:sz w:val="24"/>
        </w:rPr>
      </w:pPr>
    </w:p>
    <w:p w:rsidR="00D6559C" w:rsidRDefault="00826B7E" w:rsidP="00D6559C">
      <w:pPr>
        <w:numPr>
          <w:ilvl w:val="1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JUDD, WJ. </w:t>
      </w:r>
      <w:r w:rsidRPr="00006C66">
        <w:rPr>
          <w:rFonts w:ascii="Arial" w:hAnsi="Arial"/>
          <w:i/>
          <w:sz w:val="24"/>
        </w:rPr>
        <w:t>Methods in Immunohematology</w:t>
      </w:r>
      <w:r>
        <w:rPr>
          <w:rFonts w:ascii="Arial" w:hAnsi="Arial"/>
          <w:sz w:val="24"/>
        </w:rPr>
        <w:t>, 3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Bethesda, MD: American Association of Blood Banks </w:t>
      </w:r>
      <w:r w:rsidR="00006C66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2008</w:t>
      </w:r>
      <w:r w:rsidR="00006C66">
        <w:rPr>
          <w:rFonts w:ascii="Arial" w:hAnsi="Arial"/>
          <w:sz w:val="24"/>
        </w:rPr>
        <w:t>)</w:t>
      </w:r>
      <w:r w:rsidR="00CF3149">
        <w:rPr>
          <w:rFonts w:ascii="Arial" w:hAnsi="Arial"/>
          <w:sz w:val="24"/>
        </w:rPr>
        <w:t>;</w:t>
      </w:r>
      <w:r w:rsidR="00D6559C">
        <w:rPr>
          <w:rFonts w:ascii="Arial" w:hAnsi="Arial"/>
          <w:sz w:val="24"/>
        </w:rPr>
        <w:t xml:space="preserve"> </w:t>
      </w:r>
      <w:r w:rsidR="00006C66">
        <w:rPr>
          <w:rFonts w:ascii="Arial" w:hAnsi="Arial"/>
          <w:sz w:val="24"/>
        </w:rPr>
        <w:t xml:space="preserve">p. </w:t>
      </w:r>
      <w:r w:rsidR="00D6559C">
        <w:rPr>
          <w:rFonts w:ascii="Arial" w:hAnsi="Arial"/>
          <w:sz w:val="24"/>
        </w:rPr>
        <w:t>15-20.</w:t>
      </w:r>
    </w:p>
    <w:p w:rsidR="00CF3149" w:rsidRDefault="00CF3149" w:rsidP="00CF3149">
      <w:pPr>
        <w:pStyle w:val="ListParagraph"/>
        <w:rPr>
          <w:rFonts w:ascii="Arial" w:hAnsi="Arial"/>
          <w:sz w:val="24"/>
        </w:rPr>
      </w:pPr>
    </w:p>
    <w:p w:rsidR="00CF3149" w:rsidRDefault="00CF3149" w:rsidP="00D6559C">
      <w:pPr>
        <w:numPr>
          <w:ilvl w:val="1"/>
          <w:numId w:val="1"/>
        </w:numPr>
        <w:rPr>
          <w:rFonts w:ascii="Arial" w:hAnsi="Arial"/>
          <w:sz w:val="24"/>
        </w:rPr>
      </w:pPr>
      <w:r w:rsidRPr="00CF3149">
        <w:rPr>
          <w:rFonts w:ascii="Arial" w:hAnsi="Arial"/>
          <w:i/>
          <w:sz w:val="24"/>
        </w:rPr>
        <w:t>Standards for Blood Banks and Transfusion Services</w:t>
      </w:r>
      <w:r>
        <w:rPr>
          <w:rFonts w:ascii="Arial" w:hAnsi="Arial"/>
          <w:sz w:val="24"/>
        </w:rPr>
        <w:t>, 28</w:t>
      </w:r>
      <w:r w:rsidRPr="00CF3149"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Bethesda, MD., AABB 2012; 5.13.2</w:t>
      </w:r>
    </w:p>
    <w:p w:rsidR="00A06B57" w:rsidRDefault="00A06B57">
      <w:pPr>
        <w:ind w:left="720"/>
        <w:rPr>
          <w:rFonts w:ascii="Arial" w:hAnsi="Arial"/>
          <w:sz w:val="24"/>
          <w:lang w:val="fr-CA"/>
        </w:rPr>
      </w:pPr>
    </w:p>
    <w:p w:rsidR="00C66529" w:rsidRDefault="00C66529">
      <w:pPr>
        <w:ind w:left="720"/>
        <w:rPr>
          <w:rFonts w:ascii="Arial" w:hAnsi="Arial"/>
          <w:sz w:val="24"/>
          <w:lang w:val="fr-CA"/>
        </w:rPr>
      </w:pPr>
    </w:p>
    <w:p w:rsidR="00D46758" w:rsidRDefault="00D46758" w:rsidP="00D46758">
      <w:pPr>
        <w:pStyle w:val="ListParagraph"/>
        <w:numPr>
          <w:ilvl w:val="0"/>
          <w:numId w:val="8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D46758" w:rsidRPr="00B1018F" w:rsidRDefault="00D46758" w:rsidP="00D46758">
      <w:pPr>
        <w:pStyle w:val="ListParagraph"/>
        <w:rPr>
          <w:rFonts w:ascii="Arial" w:hAnsi="Arial"/>
          <w:b/>
          <w:sz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46758" w:rsidRPr="00AA3396" w:rsidTr="00F863A6">
        <w:trPr>
          <w:cantSplit/>
        </w:trPr>
        <w:tc>
          <w:tcPr>
            <w:tcW w:w="4428" w:type="dxa"/>
            <w:shd w:val="clear" w:color="auto" w:fill="F2F2F2"/>
          </w:tcPr>
          <w:p w:rsidR="00D46758" w:rsidRPr="004050E8" w:rsidRDefault="00D46758" w:rsidP="00F863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4428" w:type="dxa"/>
            <w:shd w:val="clear" w:color="auto" w:fill="F2F2F2"/>
          </w:tcPr>
          <w:p w:rsidR="00D46758" w:rsidRPr="004050E8" w:rsidRDefault="00D46758" w:rsidP="00F863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D46758" w:rsidRPr="00AA3396" w:rsidTr="00F863A6">
        <w:trPr>
          <w:cantSplit/>
          <w:trHeight w:val="1923"/>
        </w:trPr>
        <w:tc>
          <w:tcPr>
            <w:tcW w:w="4428" w:type="dxa"/>
          </w:tcPr>
          <w:p w:rsidR="00D46758" w:rsidRPr="00AA3396" w:rsidRDefault="00D46758" w:rsidP="00F863A6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31 janvier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4428" w:type="dxa"/>
          </w:tcPr>
          <w:p w:rsidR="00D46758" w:rsidRPr="00AA3396" w:rsidRDefault="00D46758" w:rsidP="00D46758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D46758" w:rsidRDefault="00D46758" w:rsidP="00D46758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Changement du numéro du document anciennement AR.003, maintenant AR.006.</w:t>
            </w:r>
          </w:p>
          <w:p w:rsidR="00CF3149" w:rsidRPr="00AA3396" w:rsidRDefault="00CF3149" w:rsidP="00D46758">
            <w:pPr>
              <w:pStyle w:val="ListParagraph"/>
              <w:keepLines/>
              <w:widowControl w:val="0"/>
              <w:numPr>
                <w:ilvl w:val="0"/>
                <w:numId w:val="7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 xml:space="preserve">Modification du libellé de la section 5.3.1 pour mentionner les directives du fabricant. </w:t>
            </w:r>
          </w:p>
          <w:p w:rsidR="00D46758" w:rsidRDefault="00D46758" w:rsidP="00D46758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lang w:val="fr-CA"/>
              </w:rPr>
              <w:t>Mise à jour des références pour inclure les versions les plus récentes et ajout de la référence 9.4</w:t>
            </w:r>
          </w:p>
          <w:p w:rsidR="00D46758" w:rsidRPr="00AA3396" w:rsidRDefault="00D46758" w:rsidP="00CF3149">
            <w:pPr>
              <w:ind w:left="170"/>
              <w:rPr>
                <w:rFonts w:ascii="Arial" w:hAnsi="Arial"/>
                <w:sz w:val="22"/>
                <w:lang w:val="fr-CA"/>
              </w:rPr>
            </w:pPr>
          </w:p>
          <w:p w:rsidR="00D46758" w:rsidRPr="00AA3396" w:rsidRDefault="00D46758" w:rsidP="00F863A6">
            <w:pPr>
              <w:pStyle w:val="ListParagraph"/>
              <w:keepLines/>
              <w:widowControl w:val="0"/>
              <w:ind w:left="0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</w:tbl>
    <w:p w:rsidR="00D46758" w:rsidRPr="00B1018F" w:rsidRDefault="00D46758" w:rsidP="00D46758">
      <w:pPr>
        <w:rPr>
          <w:rFonts w:ascii="Arial" w:hAnsi="Arial"/>
          <w:sz w:val="18"/>
          <w:lang w:val="fr-CA"/>
        </w:rPr>
      </w:pPr>
    </w:p>
    <w:sectPr w:rsidR="00D46758" w:rsidRPr="00B1018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A4" w:rsidRDefault="000504A4">
      <w:r>
        <w:separator/>
      </w:r>
    </w:p>
  </w:endnote>
  <w:endnote w:type="continuationSeparator" w:id="0">
    <w:p w:rsidR="000504A4" w:rsidRDefault="0005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AC7B33">
      <w:trPr>
        <w:trHeight w:val="720"/>
      </w:trPr>
      <w:tc>
        <w:tcPr>
          <w:tcW w:w="1368" w:type="dxa"/>
        </w:tcPr>
        <w:p w:rsidR="00AC7B33" w:rsidRDefault="00AC7B33">
          <w:pPr>
            <w:pStyle w:val="Footer"/>
            <w:jc w:val="center"/>
            <w:rPr>
              <w:sz w:val="8"/>
            </w:rPr>
          </w:pPr>
        </w:p>
        <w:p w:rsidR="00AC7B33" w:rsidRDefault="00D745D4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AC7B33" w:rsidRDefault="00AC7B3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46758" w:rsidRDefault="00D46758" w:rsidP="00D4675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C7B33" w:rsidRDefault="00D46758" w:rsidP="00D4675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94" w:type="dxa"/>
        </w:tcPr>
        <w:p w:rsidR="00AC7B33" w:rsidRDefault="00AC7B3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AC7B33" w:rsidRDefault="00AC7B33" w:rsidP="00D46758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AR.003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F3149">
            <w:rPr>
              <w:rFonts w:ascii="Arial" w:hAnsi="Arial"/>
              <w:noProof/>
              <w:snapToGrid w:val="0"/>
              <w:sz w:val="18"/>
            </w:rPr>
            <w:t>8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F3149">
            <w:rPr>
              <w:rFonts w:ascii="Arial" w:hAnsi="Arial"/>
              <w:noProof/>
              <w:snapToGrid w:val="0"/>
              <w:sz w:val="18"/>
            </w:rPr>
            <w:t>8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AC7B33" w:rsidRDefault="00AC7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AC7B33">
      <w:trPr>
        <w:trHeight w:val="720"/>
      </w:trPr>
      <w:tc>
        <w:tcPr>
          <w:tcW w:w="1368" w:type="dxa"/>
        </w:tcPr>
        <w:p w:rsidR="00AC7B33" w:rsidRDefault="00AC7B3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AC7B33" w:rsidRDefault="00D745D4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AC7B33" w:rsidRDefault="00AC7B3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66529" w:rsidRDefault="00C66529" w:rsidP="00C66529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246078" w:rsidRDefault="00C66529" w:rsidP="00C66529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>
            <w:rPr>
              <w:rFonts w:ascii="Arial" w:hAnsi="Arial"/>
              <w:sz w:val="18"/>
            </w:rPr>
            <w:t xml:space="preserve"> </w:t>
          </w:r>
        </w:p>
        <w:p w:rsidR="00AC7B33" w:rsidRDefault="00AC7B33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AC7B33" w:rsidRDefault="00AC7B3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AC7B33" w:rsidRDefault="00AC7B33" w:rsidP="00C6652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AR.00</w:t>
          </w:r>
          <w:r w:rsidR="00C66529">
            <w:rPr>
              <w:rFonts w:ascii="Arial" w:hAnsi="Arial"/>
              <w:sz w:val="18"/>
            </w:rPr>
            <w:t>6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F314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F3149">
            <w:rPr>
              <w:rFonts w:ascii="Arial" w:hAnsi="Arial"/>
              <w:noProof/>
              <w:snapToGrid w:val="0"/>
              <w:sz w:val="18"/>
            </w:rPr>
            <w:t>8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AC7B33" w:rsidRDefault="00AC7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A4" w:rsidRDefault="000504A4">
      <w:r>
        <w:separator/>
      </w:r>
    </w:p>
  </w:footnote>
  <w:footnote w:type="continuationSeparator" w:id="0">
    <w:p w:rsidR="000504A4" w:rsidRDefault="0005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33" w:rsidRDefault="00AC7B33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sz w:val="28"/>
        <w:lang w:val="fr-CA"/>
      </w:rPr>
      <w:t>Recherche de l’antigène D faible</w:t>
    </w:r>
  </w:p>
  <w:p w:rsidR="00AC7B33" w:rsidRDefault="00AC7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33" w:rsidRDefault="00AC7B33">
    <w:pPr>
      <w:pStyle w:val="Header"/>
      <w:tabs>
        <w:tab w:val="clear" w:pos="8640"/>
        <w:tab w:val="left" w:pos="4783"/>
      </w:tabs>
    </w:pPr>
  </w:p>
  <w:p w:rsidR="00AC7B33" w:rsidRDefault="00D745D4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  <w:lang w:val="fr-CA"/>
      </w:rPr>
    </w:pPr>
    <w:r w:rsidRPr="003A3736">
      <w:rPr>
        <w:rFonts w:ascii="Verdana" w:hAnsi="Verdana"/>
        <w:noProof/>
        <w:sz w:val="8"/>
      </w:rPr>
      <w:drawing>
        <wp:inline distT="0" distB="0" distL="0" distR="0">
          <wp:extent cx="1133475" cy="885825"/>
          <wp:effectExtent l="0" t="0" r="0" b="0"/>
          <wp:docPr id="2" name="Picture 2" descr="RR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CCF">
      <w:t xml:space="preserve"> </w:t>
    </w:r>
  </w:p>
  <w:p w:rsidR="00C66529" w:rsidRPr="000C64D0" w:rsidRDefault="00C66529" w:rsidP="00C66529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C66529" w:rsidRPr="000C64D0" w:rsidRDefault="00C66529" w:rsidP="00C66529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AC7B33" w:rsidRDefault="00AC7B33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AC7B33" w:rsidRDefault="00AC7B33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sz w:val="28"/>
        <w:lang w:val="fr-CA"/>
      </w:rPr>
      <w:t>Recherche de l’antigène D faible</w:t>
    </w:r>
  </w:p>
  <w:p w:rsidR="00AC7B33" w:rsidRDefault="00AC7B33">
    <w:pPr>
      <w:pStyle w:val="Header"/>
      <w:jc w:val="center"/>
      <w:rPr>
        <w:rFonts w:ascii="Arial" w:hAnsi="Arial"/>
        <w:b/>
        <w:sz w:val="28"/>
        <w:lang w:val="fr-CA"/>
      </w:rPr>
    </w:pPr>
  </w:p>
  <w:p w:rsidR="00AC7B33" w:rsidRDefault="00AC7B33">
    <w:pPr>
      <w:pStyle w:val="Header"/>
      <w:jc w:val="center"/>
      <w:rPr>
        <w:rFonts w:ascii="Arial" w:hAnsi="Arial" w:cs="Arial"/>
        <w:b/>
        <w:bCs/>
        <w:lang w:val="fr-CA"/>
      </w:rPr>
    </w:pPr>
    <w:r>
      <w:rPr>
        <w:rFonts w:ascii="Arial" w:hAnsi="Arial" w:cs="Arial"/>
        <w:b/>
        <w:bCs/>
        <w:lang w:val="fr-CA"/>
      </w:rPr>
      <w:tab/>
    </w:r>
    <w:r w:rsidR="00D745D4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6B0B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AC7B33">
      <w:tc>
        <w:tcPr>
          <w:tcW w:w="4428" w:type="dxa"/>
        </w:tcPr>
        <w:p w:rsidR="00AC7B33" w:rsidRDefault="00AC7B33" w:rsidP="00C66529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 :</w:t>
          </w:r>
          <w:r w:rsidR="003F6CCF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AC7B33" w:rsidRDefault="00AC7B33" w:rsidP="00C66529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Document n</w:t>
          </w:r>
          <w:r>
            <w:rPr>
              <w:rFonts w:ascii="Arial" w:hAnsi="Arial" w:cs="Arial"/>
              <w:vertAlign w:val="superscript"/>
              <w:lang w:val="fr-CA"/>
            </w:rPr>
            <w:t>o</w:t>
          </w:r>
          <w:r>
            <w:rPr>
              <w:rFonts w:ascii="Arial" w:hAnsi="Arial" w:cs="Arial"/>
              <w:lang w:val="fr-CA"/>
            </w:rPr>
            <w:t xml:space="preserve"> : AR.00</w:t>
          </w:r>
          <w:r w:rsidR="00C66529">
            <w:rPr>
              <w:rFonts w:ascii="Arial" w:hAnsi="Arial" w:cs="Arial"/>
              <w:lang w:val="fr-CA"/>
            </w:rPr>
            <w:t>6</w:t>
          </w:r>
        </w:p>
      </w:tc>
    </w:tr>
    <w:tr w:rsidR="00AC7B33">
      <w:tc>
        <w:tcPr>
          <w:tcW w:w="4428" w:type="dxa"/>
        </w:tcPr>
        <w:p w:rsidR="00AC7B33" w:rsidRDefault="00AC7B33">
          <w:pPr>
            <w:pStyle w:val="Header"/>
            <w:rPr>
              <w:rFonts w:ascii="Arial" w:hAnsi="Arial" w:cs="Arial"/>
              <w:lang w:val="fr-CA"/>
            </w:rPr>
          </w:pPr>
          <w:r w:rsidRPr="002708B6">
            <w:rPr>
              <w:rFonts w:ascii="Arial" w:hAnsi="Arial" w:cs="Arial"/>
              <w:lang w:val="fr-CA"/>
            </w:rPr>
            <w:t>Date de publication : 2006/0</w:t>
          </w:r>
          <w:r w:rsidR="009B0534">
            <w:rPr>
              <w:rFonts w:ascii="Arial" w:hAnsi="Arial" w:cs="Arial"/>
              <w:lang w:val="fr-CA"/>
            </w:rPr>
            <w:t>8</w:t>
          </w:r>
          <w:r w:rsidRPr="002708B6">
            <w:rPr>
              <w:rFonts w:ascii="Arial" w:hAnsi="Arial" w:cs="Arial"/>
              <w:lang w:val="fr-CA"/>
            </w:rPr>
            <w:t>/0</w:t>
          </w:r>
          <w:r>
            <w:rPr>
              <w:rFonts w:ascii="Arial" w:hAnsi="Arial" w:cs="Arial"/>
              <w:color w:val="000000"/>
              <w:lang w:val="fr-CA"/>
            </w:rPr>
            <w:t>1</w:t>
          </w:r>
        </w:p>
      </w:tc>
      <w:tc>
        <w:tcPr>
          <w:tcW w:w="4428" w:type="dxa"/>
        </w:tcPr>
        <w:p w:rsidR="00AC7B33" w:rsidRDefault="00AC7B33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 : Analyses de routine</w:t>
          </w:r>
        </w:p>
      </w:tc>
    </w:tr>
    <w:tr w:rsidR="00246078">
      <w:tc>
        <w:tcPr>
          <w:tcW w:w="4428" w:type="dxa"/>
        </w:tcPr>
        <w:p w:rsidR="00246078" w:rsidRDefault="00246078" w:rsidP="008943AD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Date de révision : 2009/12/31</w:t>
          </w:r>
          <w:r w:rsidR="00C66529">
            <w:rPr>
              <w:rFonts w:ascii="Arial" w:hAnsi="Arial" w:cs="Arial"/>
              <w:lang w:val="fr-CA"/>
            </w:rPr>
            <w:t>; 2014/01/31</w:t>
          </w:r>
        </w:p>
      </w:tc>
      <w:tc>
        <w:tcPr>
          <w:tcW w:w="4428" w:type="dxa"/>
        </w:tcPr>
        <w:p w:rsidR="00246078" w:rsidRDefault="00246078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Pages : </w:t>
          </w:r>
          <w:r>
            <w:rPr>
              <w:rFonts w:ascii="Arial" w:hAnsi="Arial" w:cs="Arial"/>
              <w:lang w:val="fr-CA"/>
            </w:rPr>
            <w:fldChar w:fldCharType="begin"/>
          </w:r>
          <w:r>
            <w:rPr>
              <w:rFonts w:ascii="Arial" w:hAnsi="Arial" w:cs="Arial"/>
              <w:lang w:val="fr-CA"/>
            </w:rPr>
            <w:instrText xml:space="preserve"> NUMPAGES </w:instrText>
          </w:r>
          <w:r>
            <w:rPr>
              <w:rFonts w:ascii="Arial" w:hAnsi="Arial" w:cs="Arial"/>
              <w:lang w:val="fr-CA"/>
            </w:rPr>
            <w:fldChar w:fldCharType="separate"/>
          </w:r>
          <w:r w:rsidR="00CF3149">
            <w:rPr>
              <w:rFonts w:ascii="Arial" w:hAnsi="Arial" w:cs="Arial"/>
              <w:noProof/>
              <w:lang w:val="fr-CA"/>
            </w:rPr>
            <w:t>8</w:t>
          </w:r>
          <w:r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AC7B33" w:rsidRDefault="00D745D4">
    <w:pPr>
      <w:pStyle w:val="Header"/>
      <w:tabs>
        <w:tab w:val="clear" w:pos="8640"/>
        <w:tab w:val="left" w:pos="4714"/>
      </w:tabs>
      <w:rPr>
        <w:lang w:val="fr-CA"/>
      </w:rPr>
    </w:pPr>
    <w:r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8F8FC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AC7B33">
      <w:rPr>
        <w:rFonts w:ascii="Arial" w:hAnsi="Arial" w:cs="Arial"/>
        <w:lang w:val="fr-CA"/>
      </w:rPr>
      <w:tab/>
    </w:r>
    <w:r w:rsidR="00AC7B33">
      <w:rPr>
        <w:rFonts w:ascii="Arial" w:hAnsi="Arial" w:cs="Arial"/>
        <w:lang w:val="fr-CA"/>
      </w:rPr>
      <w:tab/>
    </w:r>
  </w:p>
  <w:p w:rsidR="00AC7B33" w:rsidRDefault="00AC7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84D"/>
    <w:multiLevelType w:val="hybridMultilevel"/>
    <w:tmpl w:val="F928071E"/>
    <w:lvl w:ilvl="0" w:tplc="C63A58E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D09CB"/>
    <w:multiLevelType w:val="multilevel"/>
    <w:tmpl w:val="135AD36A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368E16AE"/>
    <w:multiLevelType w:val="hybridMultilevel"/>
    <w:tmpl w:val="8870A968"/>
    <w:lvl w:ilvl="0" w:tplc="040C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3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E446C3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E115DE"/>
    <w:multiLevelType w:val="multilevel"/>
    <w:tmpl w:val="17EAAF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B52E30"/>
    <w:multiLevelType w:val="multilevel"/>
    <w:tmpl w:val="4000A81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94"/>
    <w:rsid w:val="00006C66"/>
    <w:rsid w:val="000124FC"/>
    <w:rsid w:val="00047913"/>
    <w:rsid w:val="000504A4"/>
    <w:rsid w:val="00103501"/>
    <w:rsid w:val="00123C42"/>
    <w:rsid w:val="00195EBE"/>
    <w:rsid w:val="00245A3D"/>
    <w:rsid w:val="00246078"/>
    <w:rsid w:val="002708B6"/>
    <w:rsid w:val="002743AC"/>
    <w:rsid w:val="00280594"/>
    <w:rsid w:val="002C3FB4"/>
    <w:rsid w:val="00362019"/>
    <w:rsid w:val="003F6CCF"/>
    <w:rsid w:val="004F64FB"/>
    <w:rsid w:val="0055575D"/>
    <w:rsid w:val="0057721A"/>
    <w:rsid w:val="005779DE"/>
    <w:rsid w:val="005E51E5"/>
    <w:rsid w:val="00605D88"/>
    <w:rsid w:val="00646C4D"/>
    <w:rsid w:val="0066548C"/>
    <w:rsid w:val="006D38E7"/>
    <w:rsid w:val="00713D4C"/>
    <w:rsid w:val="008103AF"/>
    <w:rsid w:val="00826B7E"/>
    <w:rsid w:val="008943AD"/>
    <w:rsid w:val="008F756E"/>
    <w:rsid w:val="00903E09"/>
    <w:rsid w:val="009147C8"/>
    <w:rsid w:val="009837F0"/>
    <w:rsid w:val="009B0534"/>
    <w:rsid w:val="00A06B57"/>
    <w:rsid w:val="00A22B41"/>
    <w:rsid w:val="00A52BF0"/>
    <w:rsid w:val="00A62BF2"/>
    <w:rsid w:val="00A67CA8"/>
    <w:rsid w:val="00AC7B33"/>
    <w:rsid w:val="00C33C44"/>
    <w:rsid w:val="00C66529"/>
    <w:rsid w:val="00C92CD7"/>
    <w:rsid w:val="00CB07CA"/>
    <w:rsid w:val="00CF3149"/>
    <w:rsid w:val="00D46758"/>
    <w:rsid w:val="00D6559C"/>
    <w:rsid w:val="00D745D4"/>
    <w:rsid w:val="00DF6E1F"/>
    <w:rsid w:val="00E91D29"/>
    <w:rsid w:val="00F05C37"/>
    <w:rsid w:val="00F863A6"/>
    <w:rsid w:val="00F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0E479-4847-40A5-B4D2-EA006D5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Georgia" w:hAnsi="Georgi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/>
    </w:pPr>
    <w:rPr>
      <w:rFonts w:ascii="Arial" w:hAnsi="Arial"/>
      <w:sz w:val="24"/>
      <w:lang w:val="fr-CA"/>
    </w:rPr>
  </w:style>
  <w:style w:type="paragraph" w:styleId="BalloonText">
    <w:name w:val="Balloon Text"/>
    <w:basedOn w:val="Normal"/>
    <w:semiHidden/>
    <w:rsid w:val="00F9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C66"/>
    <w:pPr>
      <w:ind w:left="708"/>
    </w:pPr>
  </w:style>
  <w:style w:type="table" w:styleId="TableGrid">
    <w:name w:val="Table Grid"/>
    <w:basedOn w:val="TableNormal"/>
    <w:rsid w:val="0012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1717</Words>
  <Characters>9789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RT.003 Weak D Typing</vt:lpstr>
      <vt:lpstr>RT.003 Weak D Typing</vt:lpstr>
    </vt:vector>
  </TitlesOfParts>
  <Company>Microsoft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RT.003 Weak D Typing</dc:title>
  <dc:subject/>
  <dc:creator>Transfusion Ontario Program Office</dc:creator>
  <cp:keywords/>
  <cp:lastModifiedBy>Nesrallah, Heather</cp:lastModifiedBy>
  <cp:revision>2</cp:revision>
  <cp:lastPrinted>2011-01-10T21:13:00Z</cp:lastPrinted>
  <dcterms:created xsi:type="dcterms:W3CDTF">2020-08-10T18:12:00Z</dcterms:created>
  <dcterms:modified xsi:type="dcterms:W3CDTF">2020-08-10T18:12:00Z</dcterms:modified>
</cp:coreProperties>
</file>