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DAA" w:rsidRDefault="00A20DAA">
      <w:pPr>
        <w:numPr>
          <w:ilvl w:val="0"/>
          <w:numId w:val="1"/>
        </w:numPr>
        <w:rPr>
          <w:rFonts w:ascii="Arial" w:hAnsi="Arial"/>
          <w:b/>
          <w:sz w:val="28"/>
          <w:lang w:val="fr-CA"/>
        </w:rPr>
      </w:pPr>
      <w:bookmarkStart w:id="0" w:name="_GoBack"/>
      <w:bookmarkEnd w:id="0"/>
      <w:r>
        <w:rPr>
          <w:rFonts w:ascii="Arial" w:hAnsi="Arial"/>
          <w:b/>
          <w:sz w:val="28"/>
          <w:lang w:val="fr-CA"/>
        </w:rPr>
        <w:t>Principe</w:t>
      </w:r>
    </w:p>
    <w:p w:rsidR="00A20DAA" w:rsidRDefault="00A20DAA">
      <w:pPr>
        <w:ind w:left="720"/>
        <w:rPr>
          <w:rFonts w:ascii="Arial" w:hAnsi="Arial"/>
          <w:sz w:val="24"/>
          <w:lang w:val="fr-CA"/>
        </w:rPr>
      </w:pPr>
      <w:r>
        <w:rPr>
          <w:rFonts w:ascii="Arial" w:hAnsi="Arial"/>
          <w:sz w:val="24"/>
          <w:lang w:val="fr-CA"/>
        </w:rPr>
        <w:t xml:space="preserve">Pour déterminer le facteur Rh (D) dans le sang humain. </w:t>
      </w:r>
    </w:p>
    <w:p w:rsidR="00A20DAA" w:rsidRDefault="00A20DAA">
      <w:pPr>
        <w:ind w:left="720"/>
        <w:rPr>
          <w:rFonts w:ascii="Arial" w:hAnsi="Arial"/>
          <w:sz w:val="24"/>
          <w:lang w:val="fr-CA"/>
        </w:rPr>
      </w:pPr>
    </w:p>
    <w:p w:rsidR="00A20DAA" w:rsidRDefault="00A20DAA">
      <w:pPr>
        <w:ind w:left="720"/>
        <w:rPr>
          <w:rFonts w:ascii="Arial" w:hAnsi="Arial"/>
          <w:sz w:val="24"/>
          <w:lang w:val="fr-CA"/>
        </w:rPr>
      </w:pPr>
      <w:r>
        <w:rPr>
          <w:rFonts w:ascii="Arial" w:hAnsi="Arial"/>
          <w:sz w:val="24"/>
          <w:lang w:val="fr-CA"/>
        </w:rPr>
        <w:t xml:space="preserve">C’est la présence ou l’absence de l’antigène D à la surface des globules rouges qui détermine le facteur Rh (D). On décèle l’antigène D à la surface des cellules par une épreuve d’agglutination directe avec anti-D. </w:t>
      </w:r>
    </w:p>
    <w:p w:rsidR="00A20DAA" w:rsidRDefault="00A20DAA">
      <w:pPr>
        <w:ind w:left="720"/>
        <w:rPr>
          <w:rFonts w:ascii="Arial" w:hAnsi="Arial"/>
          <w:sz w:val="24"/>
          <w:lang w:val="fr-CA"/>
        </w:rPr>
      </w:pPr>
    </w:p>
    <w:p w:rsidR="00A20DAA" w:rsidRDefault="00A20DAA">
      <w:pPr>
        <w:numPr>
          <w:ilvl w:val="0"/>
          <w:numId w:val="1"/>
        </w:numPr>
        <w:rPr>
          <w:rFonts w:ascii="Arial" w:hAnsi="Arial"/>
          <w:b/>
          <w:sz w:val="28"/>
          <w:lang w:val="fr-CA"/>
        </w:rPr>
      </w:pPr>
      <w:r>
        <w:rPr>
          <w:rFonts w:ascii="Arial" w:hAnsi="Arial"/>
          <w:b/>
          <w:sz w:val="28"/>
          <w:lang w:val="fr-CA"/>
        </w:rPr>
        <w:t>Portée et politiques connexes</w:t>
      </w:r>
    </w:p>
    <w:p w:rsidR="00A20DAA" w:rsidRDefault="00A20DAA">
      <w:pPr>
        <w:ind w:left="720"/>
        <w:rPr>
          <w:rFonts w:ascii="Arial" w:hAnsi="Arial"/>
          <w:sz w:val="24"/>
          <w:lang w:val="fr-CA"/>
        </w:rPr>
      </w:pPr>
    </w:p>
    <w:p w:rsidR="00A20DAA" w:rsidRDefault="00A20DAA">
      <w:pPr>
        <w:ind w:left="720"/>
        <w:rPr>
          <w:rFonts w:ascii="Arial" w:hAnsi="Arial"/>
          <w:sz w:val="24"/>
          <w:lang w:val="fr-CA"/>
        </w:rPr>
      </w:pPr>
      <w:r>
        <w:rPr>
          <w:rFonts w:ascii="Arial" w:hAnsi="Arial"/>
          <w:sz w:val="24"/>
          <w:lang w:val="fr-CA"/>
        </w:rPr>
        <w:t>N.B.</w:t>
      </w:r>
      <w:r w:rsidR="0013684B">
        <w:rPr>
          <w:rFonts w:ascii="Arial" w:hAnsi="Arial"/>
          <w:sz w:val="24"/>
          <w:lang w:val="fr-CA"/>
        </w:rPr>
        <w:t> :</w:t>
      </w:r>
      <w:r>
        <w:rPr>
          <w:rFonts w:ascii="Arial" w:hAnsi="Arial"/>
          <w:sz w:val="24"/>
          <w:lang w:val="fr-CA"/>
        </w:rPr>
        <w:t xml:space="preserve"> Le groupage sanguin ABO, la détermination du facteur Rh et le dépistage d'anticorps forment ensemble une procédure dite de groupage et dépistage.</w:t>
      </w:r>
    </w:p>
    <w:p w:rsidR="00A20DAA" w:rsidRDefault="00A20DAA">
      <w:pPr>
        <w:ind w:left="720"/>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t xml:space="preserve">Le facteur Rh est déterminé en soumettant les globules rouges du patient à </w:t>
      </w:r>
      <w:r w:rsidR="0013684B">
        <w:rPr>
          <w:rFonts w:ascii="Arial" w:hAnsi="Arial"/>
          <w:sz w:val="24"/>
          <w:lang w:val="fr-CA"/>
        </w:rPr>
        <w:t>un</w:t>
      </w:r>
      <w:r>
        <w:rPr>
          <w:rFonts w:ascii="Arial" w:hAnsi="Arial"/>
          <w:sz w:val="24"/>
          <w:lang w:val="fr-CA"/>
        </w:rPr>
        <w:t xml:space="preserve"> réactif anti-D</w:t>
      </w:r>
      <w:r>
        <w:rPr>
          <w:rFonts w:ascii="Arial" w:hAnsi="Arial"/>
          <w:sz w:val="24"/>
          <w:vertAlign w:val="superscript"/>
          <w:lang w:val="fr-CA"/>
        </w:rPr>
        <w:t>9.1</w:t>
      </w:r>
      <w:r w:rsidR="0001728C">
        <w:rPr>
          <w:rFonts w:ascii="Arial" w:hAnsi="Arial"/>
          <w:sz w:val="24"/>
          <w:lang w:val="fr-CA"/>
        </w:rPr>
        <w:t>.</w:t>
      </w:r>
    </w:p>
    <w:p w:rsidR="00A20DAA" w:rsidRDefault="00A20DAA">
      <w:pPr>
        <w:ind w:left="720"/>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t>Si</w:t>
      </w:r>
      <w:r w:rsidR="00B32BD0">
        <w:rPr>
          <w:rFonts w:ascii="Arial" w:hAnsi="Arial"/>
          <w:sz w:val="24"/>
          <w:lang w:val="fr-CA"/>
        </w:rPr>
        <w:t xml:space="preserve"> </w:t>
      </w:r>
      <w:r>
        <w:rPr>
          <w:rFonts w:ascii="Arial" w:hAnsi="Arial"/>
          <w:sz w:val="24"/>
          <w:lang w:val="fr-CA"/>
        </w:rPr>
        <w:t xml:space="preserve">la détermination du facteur </w:t>
      </w:r>
      <w:r w:rsidR="00921EBA">
        <w:rPr>
          <w:rFonts w:ascii="Arial" w:hAnsi="Arial"/>
          <w:sz w:val="24"/>
          <w:lang w:val="fr-CA"/>
        </w:rPr>
        <w:t xml:space="preserve">Rh </w:t>
      </w:r>
      <w:r w:rsidR="00B32BD0">
        <w:rPr>
          <w:rFonts w:ascii="Arial" w:hAnsi="Arial"/>
          <w:sz w:val="24"/>
          <w:lang w:val="fr-CA"/>
        </w:rPr>
        <w:t xml:space="preserve">occasionne un problème </w:t>
      </w:r>
      <w:r>
        <w:rPr>
          <w:rFonts w:ascii="Arial" w:hAnsi="Arial"/>
          <w:sz w:val="24"/>
          <w:lang w:val="fr-CA"/>
        </w:rPr>
        <w:t>et qu’il faut procéder à une transfusion sans délai, il faut mettre en circulation des produits sanguins Rh négatif pour les femmes préménopaus</w:t>
      </w:r>
      <w:r w:rsidR="0013684B">
        <w:rPr>
          <w:rFonts w:ascii="Arial" w:hAnsi="Arial"/>
          <w:sz w:val="24"/>
          <w:lang w:val="fr-CA"/>
        </w:rPr>
        <w:t>ées</w:t>
      </w:r>
      <w:r>
        <w:rPr>
          <w:rFonts w:ascii="Arial" w:hAnsi="Arial"/>
          <w:sz w:val="24"/>
          <w:lang w:val="fr-CA"/>
        </w:rPr>
        <w:t xml:space="preserve"> et les enfants jusqu’à la résolution du problème. Les autres patients, en l’absence d’un anti-D connu, peuvent recevoir du sang Rh positif dans les situations d’urgence </w:t>
      </w:r>
      <w:r w:rsidR="0013684B">
        <w:rPr>
          <w:rFonts w:ascii="Arial" w:hAnsi="Arial"/>
          <w:sz w:val="24"/>
          <w:lang w:val="fr-CA"/>
        </w:rPr>
        <w:t>lorsqu’</w:t>
      </w:r>
      <w:r>
        <w:rPr>
          <w:rFonts w:ascii="Arial" w:hAnsi="Arial"/>
          <w:sz w:val="24"/>
          <w:lang w:val="fr-CA"/>
        </w:rPr>
        <w:t>il y a pénurie de sang Rh négatif.</w:t>
      </w:r>
    </w:p>
    <w:p w:rsidR="00A20DAA" w:rsidRDefault="00A20DAA">
      <w:pPr>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t>Lorsque des receveurs éventuels de produits sanguins font l’objet d’analyses, il est inutile de procéder à la recherche de l’antigène D faible, à l’exception de ce qui est indiqué à 2.7.1</w:t>
      </w:r>
      <w:r>
        <w:rPr>
          <w:rFonts w:ascii="Arial" w:hAnsi="Arial"/>
          <w:sz w:val="24"/>
          <w:vertAlign w:val="superscript"/>
          <w:lang w:val="fr-CA"/>
        </w:rPr>
        <w:t>9.1</w:t>
      </w:r>
      <w:r w:rsidR="00323FE1">
        <w:rPr>
          <w:rFonts w:ascii="Arial" w:hAnsi="Arial"/>
          <w:sz w:val="24"/>
          <w:lang w:val="fr-CA"/>
        </w:rPr>
        <w:t>.</w:t>
      </w:r>
    </w:p>
    <w:p w:rsidR="00A20DAA" w:rsidRDefault="00A20DAA">
      <w:pPr>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t>Les patient</w:t>
      </w:r>
      <w:r w:rsidR="00921EBA">
        <w:rPr>
          <w:rFonts w:ascii="Arial" w:hAnsi="Arial"/>
          <w:sz w:val="24"/>
          <w:lang w:val="fr-CA"/>
        </w:rPr>
        <w:t>e</w:t>
      </w:r>
      <w:r>
        <w:rPr>
          <w:rFonts w:ascii="Arial" w:hAnsi="Arial"/>
          <w:sz w:val="24"/>
          <w:lang w:val="fr-CA"/>
        </w:rPr>
        <w:t>s en obstétrique qui se démarquent comme étant Rh positif ou D positif faible doivent être désigné</w:t>
      </w:r>
      <w:r w:rsidR="00921EBA">
        <w:rPr>
          <w:rFonts w:ascii="Arial" w:hAnsi="Arial"/>
          <w:sz w:val="24"/>
          <w:lang w:val="fr-CA"/>
        </w:rPr>
        <w:t>e</w:t>
      </w:r>
      <w:r>
        <w:rPr>
          <w:rFonts w:ascii="Arial" w:hAnsi="Arial"/>
          <w:sz w:val="24"/>
          <w:lang w:val="fr-CA"/>
        </w:rPr>
        <w:t>s comme étant Rh positif. Les patient</w:t>
      </w:r>
      <w:r w:rsidR="00323FE1">
        <w:rPr>
          <w:rFonts w:ascii="Arial" w:hAnsi="Arial"/>
          <w:sz w:val="24"/>
          <w:lang w:val="fr-CA"/>
        </w:rPr>
        <w:t>e</w:t>
      </w:r>
      <w:r>
        <w:rPr>
          <w:rFonts w:ascii="Arial" w:hAnsi="Arial"/>
          <w:sz w:val="24"/>
          <w:lang w:val="fr-CA"/>
        </w:rPr>
        <w:t>s dont les globules rouges sont de type Rh négatif doivent être désigné</w:t>
      </w:r>
      <w:r w:rsidR="00323FE1">
        <w:rPr>
          <w:rFonts w:ascii="Arial" w:hAnsi="Arial"/>
          <w:sz w:val="24"/>
          <w:lang w:val="fr-CA"/>
        </w:rPr>
        <w:t>e</w:t>
      </w:r>
      <w:r>
        <w:rPr>
          <w:rFonts w:ascii="Arial" w:hAnsi="Arial"/>
          <w:sz w:val="24"/>
          <w:lang w:val="fr-CA"/>
        </w:rPr>
        <w:t>s comme étant Rh négatif</w:t>
      </w:r>
      <w:r>
        <w:rPr>
          <w:rFonts w:ascii="Arial" w:hAnsi="Arial"/>
          <w:sz w:val="24"/>
          <w:vertAlign w:val="superscript"/>
          <w:lang w:val="fr-CA"/>
        </w:rPr>
        <w:t>9.1</w:t>
      </w:r>
      <w:r w:rsidR="0001728C">
        <w:rPr>
          <w:rFonts w:ascii="Arial" w:hAnsi="Arial"/>
          <w:sz w:val="24"/>
          <w:lang w:val="fr-CA"/>
        </w:rPr>
        <w:t>.</w:t>
      </w:r>
    </w:p>
    <w:p w:rsidR="00A20DAA" w:rsidRDefault="00A20DAA">
      <w:pPr>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lastRenderedPageBreak/>
        <w:t xml:space="preserve">Il faut revoir les dossiers de transfusion antérieurs </w:t>
      </w:r>
      <w:r>
        <w:rPr>
          <w:rFonts w:ascii="Arial" w:hAnsi="Arial"/>
          <w:sz w:val="24"/>
          <w:lang w:val="fr-FR"/>
        </w:rPr>
        <w:t>et comparer les résultats passés aux résultats actuels</w:t>
      </w:r>
      <w:r>
        <w:rPr>
          <w:rFonts w:ascii="Arial" w:hAnsi="Arial"/>
          <w:sz w:val="24"/>
          <w:vertAlign w:val="superscript"/>
          <w:lang w:val="fr-CA"/>
        </w:rPr>
        <w:t>9.1</w:t>
      </w:r>
      <w:r w:rsidR="0001728C">
        <w:rPr>
          <w:rFonts w:ascii="Arial" w:hAnsi="Arial"/>
          <w:sz w:val="24"/>
          <w:lang w:val="fr-CA"/>
        </w:rPr>
        <w:t>.</w:t>
      </w:r>
    </w:p>
    <w:p w:rsidR="00A20DAA" w:rsidRDefault="00A20DAA">
      <w:pPr>
        <w:rPr>
          <w:rFonts w:ascii="Arial" w:hAnsi="Arial"/>
          <w:sz w:val="24"/>
          <w:lang w:val="fr-CA"/>
        </w:rPr>
      </w:pPr>
    </w:p>
    <w:p w:rsidR="00A20DAA" w:rsidRDefault="004E2E47">
      <w:pPr>
        <w:numPr>
          <w:ilvl w:val="1"/>
          <w:numId w:val="1"/>
        </w:numPr>
        <w:rPr>
          <w:rFonts w:ascii="Arial" w:hAnsi="Arial"/>
          <w:sz w:val="24"/>
          <w:lang w:val="fr-CA"/>
        </w:rPr>
      </w:pPr>
      <w:r>
        <w:rPr>
          <w:rFonts w:ascii="Arial" w:hAnsi="Arial"/>
          <w:sz w:val="24"/>
          <w:lang w:val="fr-CA"/>
        </w:rPr>
        <w:t>L’épreuve doit comporter un témoin spécifique au réactif anti-D employé. Si le témoin est positif, on doit répéter la détermination du facteur Rh avec un réactif anti-D et un témoin appropriés</w:t>
      </w:r>
      <w:r>
        <w:rPr>
          <w:rFonts w:ascii="Arial" w:hAnsi="Arial"/>
          <w:sz w:val="24"/>
          <w:vertAlign w:val="superscript"/>
          <w:lang w:val="fr-CA"/>
        </w:rPr>
        <w:t>9.1</w:t>
      </w:r>
      <w:r w:rsidR="0001728C">
        <w:rPr>
          <w:rFonts w:ascii="Arial" w:hAnsi="Arial"/>
          <w:sz w:val="24"/>
          <w:lang w:val="fr-CA"/>
        </w:rPr>
        <w:t>.</w:t>
      </w:r>
    </w:p>
    <w:p w:rsidR="00A20DAA" w:rsidRDefault="00A20DAA">
      <w:pPr>
        <w:rPr>
          <w:rFonts w:ascii="Arial" w:hAnsi="Arial"/>
          <w:sz w:val="24"/>
          <w:lang w:val="fr-CA"/>
        </w:rPr>
      </w:pPr>
    </w:p>
    <w:p w:rsidR="00A20DAA" w:rsidRDefault="00A20DAA">
      <w:pPr>
        <w:numPr>
          <w:ilvl w:val="2"/>
          <w:numId w:val="1"/>
        </w:numPr>
        <w:rPr>
          <w:rFonts w:ascii="Arial" w:hAnsi="Arial"/>
          <w:sz w:val="24"/>
          <w:lang w:val="fr-CA"/>
        </w:rPr>
      </w:pPr>
      <w:r>
        <w:rPr>
          <w:rFonts w:ascii="Arial" w:hAnsi="Arial"/>
          <w:sz w:val="24"/>
          <w:lang w:val="fr-CA"/>
        </w:rPr>
        <w:t>Quoique certains fabricants ne recommandent pas de témoin Rh, ils mentionnent tous comme limite de l’épreuve la possibilité de faux résultats positifs si les globules rouges du tube sont fortement agglutinés avant l’ajout du réactif. La contamination bactérienne de l’échantillon constitue une autre limite. Conséquemment, un témoin Rh doit faire l’objet d’une épreuve en parallèle avec l’antisérum anti-D. Voir Contrôle de la qualité 5.3.</w:t>
      </w:r>
    </w:p>
    <w:p w:rsidR="00A20DAA" w:rsidRDefault="00A20DAA">
      <w:pPr>
        <w:ind w:left="1440"/>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t>Nouveau-nés :</w:t>
      </w:r>
    </w:p>
    <w:p w:rsidR="00A20DAA" w:rsidRDefault="00A20DAA">
      <w:pPr>
        <w:ind w:left="720"/>
        <w:rPr>
          <w:rFonts w:ascii="Arial" w:hAnsi="Arial"/>
          <w:sz w:val="24"/>
          <w:lang w:val="fr-CA"/>
        </w:rPr>
      </w:pPr>
    </w:p>
    <w:p w:rsidR="00A20DAA" w:rsidRDefault="00A20DAA">
      <w:pPr>
        <w:numPr>
          <w:ilvl w:val="2"/>
          <w:numId w:val="1"/>
        </w:numPr>
        <w:rPr>
          <w:rFonts w:ascii="Arial" w:hAnsi="Arial"/>
          <w:sz w:val="24"/>
          <w:lang w:val="fr-CA"/>
        </w:rPr>
      </w:pPr>
      <w:r>
        <w:rPr>
          <w:rFonts w:ascii="Arial" w:hAnsi="Arial"/>
          <w:sz w:val="24"/>
          <w:lang w:val="fr-CA"/>
        </w:rPr>
        <w:t>La recherche du D faible doit être faite chez les nourrissons ayant un Rh négatif si leur mère est Rh négatif et ne présente aucun signe d’alloimmunisation Rh</w:t>
      </w:r>
      <w:r>
        <w:rPr>
          <w:rFonts w:ascii="Arial" w:hAnsi="Arial"/>
          <w:sz w:val="24"/>
          <w:vertAlign w:val="superscript"/>
          <w:lang w:val="fr-CA"/>
        </w:rPr>
        <w:t>9.1</w:t>
      </w:r>
      <w:r w:rsidR="0001728C">
        <w:rPr>
          <w:rFonts w:ascii="Arial" w:hAnsi="Arial"/>
          <w:sz w:val="24"/>
          <w:lang w:val="fr-CA"/>
        </w:rPr>
        <w:t>.</w:t>
      </w:r>
    </w:p>
    <w:p w:rsidR="00A20DAA" w:rsidRDefault="00A20DAA">
      <w:pPr>
        <w:ind w:left="1440"/>
        <w:rPr>
          <w:rFonts w:ascii="Arial" w:hAnsi="Arial"/>
          <w:sz w:val="24"/>
          <w:lang w:val="fr-CA"/>
        </w:rPr>
      </w:pPr>
    </w:p>
    <w:p w:rsidR="00A20DAA" w:rsidRDefault="00A20DAA">
      <w:pPr>
        <w:numPr>
          <w:ilvl w:val="2"/>
          <w:numId w:val="1"/>
        </w:numPr>
        <w:rPr>
          <w:rFonts w:ascii="Arial" w:hAnsi="Arial"/>
          <w:sz w:val="24"/>
          <w:lang w:val="fr-CA"/>
        </w:rPr>
      </w:pPr>
      <w:r>
        <w:rPr>
          <w:rFonts w:ascii="Arial" w:hAnsi="Arial" w:cs="Arial"/>
          <w:sz w:val="24"/>
          <w:lang w:val="fr-FR"/>
        </w:rPr>
        <w:t xml:space="preserve">Toutes les épreuves prétransfusionnelles doivent se faire sur du sang prélevé par voie veineuse ou capillaire. On ne doit jamais utiliser </w:t>
      </w:r>
      <w:r w:rsidR="00921EBA">
        <w:rPr>
          <w:rFonts w:ascii="Arial" w:hAnsi="Arial" w:cs="Arial"/>
          <w:sz w:val="24"/>
          <w:lang w:val="fr-FR"/>
        </w:rPr>
        <w:t xml:space="preserve">du </w:t>
      </w:r>
      <w:r>
        <w:rPr>
          <w:rFonts w:ascii="Arial" w:hAnsi="Arial" w:cs="Arial"/>
          <w:sz w:val="24"/>
          <w:lang w:val="fr-FR"/>
        </w:rPr>
        <w:t>sang de cordon pour ces épreuves prétransfusionnelles</w:t>
      </w:r>
      <w:r>
        <w:rPr>
          <w:rFonts w:ascii="Arial" w:hAnsi="Arial"/>
          <w:sz w:val="24"/>
          <w:vertAlign w:val="superscript"/>
          <w:lang w:val="fr-CA"/>
        </w:rPr>
        <w:t>9.1</w:t>
      </w:r>
      <w:r w:rsidR="0001728C">
        <w:rPr>
          <w:rFonts w:ascii="Arial" w:hAnsi="Arial"/>
          <w:sz w:val="24"/>
          <w:lang w:val="fr-CA"/>
        </w:rPr>
        <w:t>.</w:t>
      </w:r>
    </w:p>
    <w:p w:rsidR="00A20DAA" w:rsidRDefault="00A20DAA">
      <w:pPr>
        <w:rPr>
          <w:rFonts w:ascii="Arial" w:hAnsi="Arial"/>
          <w:sz w:val="24"/>
          <w:lang w:val="fr-CA"/>
        </w:rPr>
      </w:pPr>
    </w:p>
    <w:p w:rsidR="00A20DAA" w:rsidRDefault="00A20DAA">
      <w:pPr>
        <w:numPr>
          <w:ilvl w:val="3"/>
          <w:numId w:val="1"/>
        </w:numPr>
        <w:rPr>
          <w:rFonts w:ascii="Arial" w:hAnsi="Arial" w:cs="Arial"/>
          <w:sz w:val="24"/>
          <w:lang w:val="fr-CA"/>
        </w:rPr>
      </w:pPr>
      <w:r>
        <w:rPr>
          <w:rFonts w:ascii="Arial" w:hAnsi="Arial"/>
          <w:sz w:val="24"/>
          <w:lang w:val="fr-CA"/>
        </w:rPr>
        <w:t>Dan</w:t>
      </w:r>
      <w:r>
        <w:rPr>
          <w:rFonts w:ascii="Arial" w:hAnsi="Arial" w:cs="Arial"/>
          <w:sz w:val="24"/>
          <w:lang w:val="fr-CA"/>
        </w:rPr>
        <w:t xml:space="preserve">s d’autres situations (ex., </w:t>
      </w:r>
      <w:r w:rsidR="00921EBA">
        <w:rPr>
          <w:rFonts w:ascii="Arial" w:hAnsi="Arial" w:cs="Arial"/>
          <w:sz w:val="24"/>
          <w:lang w:val="fr-CA"/>
        </w:rPr>
        <w:t xml:space="preserve">dépistage de </w:t>
      </w:r>
      <w:r>
        <w:rPr>
          <w:rFonts w:ascii="Arial" w:hAnsi="Arial" w:cs="Arial"/>
          <w:sz w:val="24"/>
          <w:lang w:val="fr-CA"/>
        </w:rPr>
        <w:t xml:space="preserve">la </w:t>
      </w:r>
      <w:r w:rsidR="00D74FA1">
        <w:rPr>
          <w:rFonts w:ascii="Arial" w:hAnsi="Arial" w:cs="Arial"/>
          <w:sz w:val="24"/>
          <w:lang w:val="fr-CA"/>
        </w:rPr>
        <w:t>m</w:t>
      </w:r>
      <w:r>
        <w:rPr>
          <w:rFonts w:ascii="Arial" w:hAnsi="Arial"/>
          <w:sz w:val="24"/>
          <w:lang w:val="fr-CA"/>
        </w:rPr>
        <w:t xml:space="preserve">aladie hémolytique du nouveau-né ou </w:t>
      </w:r>
      <w:r w:rsidR="00921EBA">
        <w:rPr>
          <w:rFonts w:ascii="Arial" w:hAnsi="Arial"/>
          <w:sz w:val="24"/>
          <w:lang w:val="fr-CA"/>
        </w:rPr>
        <w:t>détermination du</w:t>
      </w:r>
      <w:r>
        <w:rPr>
          <w:rFonts w:ascii="Arial" w:hAnsi="Arial"/>
          <w:sz w:val="24"/>
          <w:lang w:val="fr-CA"/>
        </w:rPr>
        <w:t xml:space="preserve"> besoin d’immunoglobuline Rh </w:t>
      </w:r>
      <w:r w:rsidR="0013684B">
        <w:rPr>
          <w:rFonts w:ascii="Arial" w:hAnsi="Arial"/>
          <w:sz w:val="24"/>
          <w:lang w:val="fr-CA"/>
        </w:rPr>
        <w:t>chez</w:t>
      </w:r>
      <w:r>
        <w:rPr>
          <w:rFonts w:ascii="Arial" w:hAnsi="Arial"/>
          <w:sz w:val="24"/>
          <w:lang w:val="fr-CA"/>
        </w:rPr>
        <w:t xml:space="preserve"> la mère), </w:t>
      </w:r>
      <w:r>
        <w:rPr>
          <w:rFonts w:ascii="Arial" w:hAnsi="Arial" w:cs="Arial"/>
          <w:sz w:val="24"/>
          <w:lang w:val="fr-CA"/>
        </w:rPr>
        <w:t>on peut utiliser du sang de cordon ou un échantillon périphérique pour déterminer le facteur Rh.</w:t>
      </w:r>
    </w:p>
    <w:p w:rsidR="00A20DAA" w:rsidRDefault="00A20DAA">
      <w:pPr>
        <w:ind w:left="2160"/>
        <w:rPr>
          <w:rFonts w:ascii="Arial" w:hAnsi="Arial" w:cs="Arial"/>
          <w:sz w:val="24"/>
          <w:lang w:val="fr-CA"/>
        </w:rPr>
      </w:pPr>
    </w:p>
    <w:p w:rsidR="00A20DAA" w:rsidRDefault="00A20DAA">
      <w:pPr>
        <w:numPr>
          <w:ilvl w:val="2"/>
          <w:numId w:val="1"/>
        </w:numPr>
        <w:rPr>
          <w:rFonts w:ascii="Arial" w:hAnsi="Arial"/>
          <w:sz w:val="24"/>
          <w:lang w:val="fr-CA"/>
        </w:rPr>
      </w:pPr>
      <w:r>
        <w:rPr>
          <w:rFonts w:ascii="Arial" w:hAnsi="Arial"/>
          <w:sz w:val="24"/>
          <w:lang w:val="fr-CA"/>
        </w:rPr>
        <w:t xml:space="preserve">Les épreuves sur l’échantillon prétransfusionnel initial doivent inclure la détermination du groupe ABO et du </w:t>
      </w:r>
      <w:r w:rsidR="00323FE1">
        <w:rPr>
          <w:rFonts w:ascii="Arial" w:hAnsi="Arial"/>
          <w:sz w:val="24"/>
          <w:lang w:val="fr-CA"/>
        </w:rPr>
        <w:t>facteur</w:t>
      </w:r>
      <w:r>
        <w:rPr>
          <w:rFonts w:ascii="Arial" w:hAnsi="Arial"/>
          <w:sz w:val="24"/>
          <w:lang w:val="fr-CA"/>
        </w:rPr>
        <w:t xml:space="preserve"> Rh et </w:t>
      </w:r>
      <w:r>
        <w:rPr>
          <w:rFonts w:ascii="Arial" w:hAnsi="Arial" w:cs="Arial"/>
          <w:sz w:val="24"/>
          <w:lang w:val="fr-FR"/>
        </w:rPr>
        <w:t>le dépistage des anticorps cliniquement significatifs</w:t>
      </w:r>
      <w:r>
        <w:rPr>
          <w:rFonts w:ascii="Arial" w:hAnsi="Arial"/>
          <w:sz w:val="24"/>
          <w:vertAlign w:val="superscript"/>
          <w:lang w:val="fr-CA"/>
        </w:rPr>
        <w:t>9.1</w:t>
      </w:r>
      <w:r w:rsidR="0001728C">
        <w:rPr>
          <w:rFonts w:ascii="Arial" w:hAnsi="Arial"/>
          <w:sz w:val="24"/>
          <w:lang w:val="fr-CA"/>
        </w:rPr>
        <w:t>.</w:t>
      </w:r>
      <w:r>
        <w:rPr>
          <w:rFonts w:ascii="Arial" w:hAnsi="Arial"/>
          <w:sz w:val="24"/>
          <w:lang w:val="fr-CA"/>
        </w:rPr>
        <w:t xml:space="preserve"> Chez les nouveau-nés, on peut utiliser un échantillon maternel pour effectuer les épreuves de compatibilité </w:t>
      </w:r>
      <w:r w:rsidR="00921EBA">
        <w:rPr>
          <w:rFonts w:ascii="Arial" w:hAnsi="Arial"/>
          <w:sz w:val="24"/>
          <w:lang w:val="fr-CA"/>
        </w:rPr>
        <w:t xml:space="preserve">et/ou </w:t>
      </w:r>
      <w:r>
        <w:rPr>
          <w:rFonts w:ascii="Arial" w:hAnsi="Arial"/>
          <w:sz w:val="24"/>
          <w:lang w:val="fr-CA"/>
        </w:rPr>
        <w:t>l</w:t>
      </w:r>
      <w:r w:rsidR="0013684B">
        <w:rPr>
          <w:rFonts w:ascii="Arial" w:hAnsi="Arial"/>
          <w:sz w:val="24"/>
          <w:lang w:val="fr-CA"/>
        </w:rPr>
        <w:t>e dépistage</w:t>
      </w:r>
      <w:r>
        <w:rPr>
          <w:rFonts w:ascii="Arial" w:hAnsi="Arial"/>
          <w:sz w:val="24"/>
          <w:lang w:val="fr-CA"/>
        </w:rPr>
        <w:t xml:space="preserve"> d’anticorps.</w:t>
      </w:r>
    </w:p>
    <w:p w:rsidR="00A20DAA" w:rsidRDefault="00A20DAA">
      <w:pPr>
        <w:ind w:left="1440"/>
        <w:rPr>
          <w:rFonts w:ascii="Arial" w:hAnsi="Arial"/>
          <w:sz w:val="24"/>
          <w:lang w:val="fr-CA"/>
        </w:rPr>
      </w:pPr>
    </w:p>
    <w:p w:rsidR="00A20DAA" w:rsidRDefault="00A20DAA">
      <w:pPr>
        <w:numPr>
          <w:ilvl w:val="2"/>
          <w:numId w:val="1"/>
        </w:numPr>
        <w:rPr>
          <w:rFonts w:ascii="Arial" w:hAnsi="Arial"/>
          <w:sz w:val="24"/>
          <w:lang w:val="fr-CA"/>
        </w:rPr>
      </w:pPr>
      <w:r>
        <w:rPr>
          <w:rFonts w:ascii="Arial" w:hAnsi="Arial" w:cs="Arial"/>
          <w:sz w:val="24"/>
          <w:lang w:val="fr-FR"/>
        </w:rPr>
        <w:t xml:space="preserve">Durant une période d’hospitalisation donnée, il n'est pas nécessaire de répéter le groupage ABO et la détermination du </w:t>
      </w:r>
      <w:r w:rsidR="0013684B">
        <w:rPr>
          <w:rFonts w:ascii="Arial" w:hAnsi="Arial" w:cs="Arial"/>
          <w:sz w:val="24"/>
          <w:lang w:val="fr-FR"/>
        </w:rPr>
        <w:t xml:space="preserve">facteur </w:t>
      </w:r>
      <w:r>
        <w:rPr>
          <w:rFonts w:ascii="Arial" w:hAnsi="Arial" w:cs="Arial"/>
          <w:sz w:val="24"/>
          <w:lang w:val="fr-FR"/>
        </w:rPr>
        <w:t>Rh chez le nourrisson</w:t>
      </w:r>
      <w:r w:rsidR="004E2E47">
        <w:rPr>
          <w:rFonts w:ascii="Arial" w:hAnsi="Arial" w:cs="Arial"/>
          <w:sz w:val="24"/>
          <w:lang w:val="fr-FR"/>
        </w:rPr>
        <w:t xml:space="preserve"> (âgé de jusqu’à 4 mois)</w:t>
      </w:r>
      <w:r>
        <w:rPr>
          <w:rFonts w:ascii="Arial" w:hAnsi="Arial"/>
          <w:sz w:val="24"/>
          <w:vertAlign w:val="superscript"/>
          <w:lang w:val="fr-CA"/>
        </w:rPr>
        <w:t>9.1</w:t>
      </w:r>
      <w:r w:rsidR="0001728C">
        <w:rPr>
          <w:rFonts w:ascii="Arial" w:hAnsi="Arial"/>
          <w:sz w:val="24"/>
          <w:lang w:val="fr-CA"/>
        </w:rPr>
        <w:t>.</w:t>
      </w:r>
    </w:p>
    <w:p w:rsidR="00A20DAA" w:rsidRDefault="00A20DAA">
      <w:pPr>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t>Il faut faire l</w:t>
      </w:r>
      <w:r w:rsidR="0013684B">
        <w:rPr>
          <w:rFonts w:ascii="Arial" w:hAnsi="Arial"/>
          <w:sz w:val="24"/>
          <w:lang w:val="fr-CA"/>
        </w:rPr>
        <w:t>e dépistage</w:t>
      </w:r>
      <w:r>
        <w:rPr>
          <w:rFonts w:ascii="Arial" w:hAnsi="Arial"/>
          <w:sz w:val="24"/>
          <w:lang w:val="fr-CA"/>
        </w:rPr>
        <w:t xml:space="preserve"> du D faible chez les patient</w:t>
      </w:r>
      <w:r w:rsidRPr="00490CC5">
        <w:rPr>
          <w:rFonts w:ascii="Arial" w:hAnsi="Arial"/>
          <w:sz w:val="24"/>
          <w:lang w:val="fr-CA"/>
        </w:rPr>
        <w:t>e</w:t>
      </w:r>
      <w:r>
        <w:rPr>
          <w:rFonts w:ascii="Arial" w:hAnsi="Arial"/>
          <w:sz w:val="24"/>
          <w:lang w:val="fr-CA"/>
        </w:rPr>
        <w:t xml:space="preserve">s en obstétrique ayant un Rh négatif </w:t>
      </w:r>
      <w:r w:rsidRPr="00490CC5">
        <w:rPr>
          <w:rFonts w:ascii="Arial" w:hAnsi="Arial"/>
          <w:sz w:val="24"/>
          <w:lang w:val="fr-CA"/>
        </w:rPr>
        <w:t>apparent</w:t>
      </w:r>
      <w:r>
        <w:rPr>
          <w:rFonts w:ascii="Arial" w:hAnsi="Arial"/>
          <w:sz w:val="24"/>
          <w:lang w:val="fr-CA"/>
        </w:rPr>
        <w:t>.</w:t>
      </w:r>
    </w:p>
    <w:p w:rsidR="00A20DAA" w:rsidRDefault="00A20DAA">
      <w:pPr>
        <w:rPr>
          <w:rFonts w:ascii="Arial" w:hAnsi="Arial"/>
          <w:sz w:val="24"/>
          <w:lang w:val="fr-CA"/>
        </w:rPr>
      </w:pPr>
    </w:p>
    <w:p w:rsidR="00A20DAA" w:rsidRDefault="00A20DAA">
      <w:pPr>
        <w:numPr>
          <w:ilvl w:val="0"/>
          <w:numId w:val="1"/>
        </w:numPr>
        <w:rPr>
          <w:rFonts w:ascii="Arial" w:hAnsi="Arial"/>
          <w:b/>
          <w:sz w:val="28"/>
          <w:lang w:val="fr-CA"/>
        </w:rPr>
      </w:pPr>
      <w:r>
        <w:rPr>
          <w:rFonts w:ascii="Arial" w:hAnsi="Arial"/>
          <w:b/>
          <w:sz w:val="28"/>
          <w:lang w:val="fr-CA"/>
        </w:rPr>
        <w:t>Échantillons</w:t>
      </w:r>
    </w:p>
    <w:p w:rsidR="00A20DAA" w:rsidRDefault="00A20DAA">
      <w:pPr>
        <w:rPr>
          <w:rFonts w:ascii="Arial" w:hAnsi="Arial"/>
          <w:sz w:val="24"/>
          <w:lang w:val="fr-CA"/>
        </w:rPr>
      </w:pPr>
    </w:p>
    <w:p w:rsidR="00A20DAA" w:rsidRDefault="00A20DAA">
      <w:pPr>
        <w:ind w:left="720"/>
        <w:rPr>
          <w:rFonts w:ascii="Arial" w:hAnsi="Arial"/>
          <w:sz w:val="24"/>
          <w:lang w:val="fr-CA"/>
        </w:rPr>
      </w:pPr>
      <w:r>
        <w:rPr>
          <w:rFonts w:ascii="Arial" w:hAnsi="Arial"/>
          <w:sz w:val="24"/>
          <w:lang w:val="fr-CA"/>
        </w:rPr>
        <w:t>Sang total anticoagulé</w:t>
      </w:r>
      <w:r w:rsidR="00D74FA1">
        <w:rPr>
          <w:rFonts w:ascii="Arial" w:hAnsi="Arial"/>
          <w:sz w:val="24"/>
          <w:lang w:val="fr-CA"/>
        </w:rPr>
        <w:t xml:space="preserve"> -</w:t>
      </w:r>
      <w:r>
        <w:rPr>
          <w:rFonts w:ascii="Arial" w:hAnsi="Arial"/>
          <w:sz w:val="24"/>
          <w:lang w:val="fr-CA"/>
        </w:rPr>
        <w:t xml:space="preserve"> </w:t>
      </w:r>
      <w:r w:rsidR="00490CC5">
        <w:rPr>
          <w:rFonts w:ascii="Arial" w:hAnsi="Arial"/>
          <w:sz w:val="24"/>
          <w:lang w:val="fr-CA"/>
        </w:rPr>
        <w:t xml:space="preserve">tube </w:t>
      </w:r>
      <w:r>
        <w:rPr>
          <w:rFonts w:ascii="Arial" w:hAnsi="Arial"/>
          <w:sz w:val="24"/>
          <w:lang w:val="fr-CA"/>
        </w:rPr>
        <w:t>EDTA</w:t>
      </w:r>
    </w:p>
    <w:p w:rsidR="00A20DAA" w:rsidRDefault="00A20DAA">
      <w:pPr>
        <w:ind w:left="720"/>
        <w:rPr>
          <w:rFonts w:ascii="Arial" w:hAnsi="Arial"/>
          <w:sz w:val="24"/>
          <w:lang w:val="fr-CA"/>
        </w:rPr>
      </w:pPr>
    </w:p>
    <w:p w:rsidR="00A20DAA" w:rsidRDefault="00A20DAA">
      <w:pPr>
        <w:numPr>
          <w:ilvl w:val="0"/>
          <w:numId w:val="1"/>
        </w:numPr>
        <w:rPr>
          <w:rFonts w:ascii="Arial" w:hAnsi="Arial"/>
          <w:b/>
          <w:sz w:val="28"/>
          <w:lang w:val="fr-CA"/>
        </w:rPr>
      </w:pPr>
      <w:r>
        <w:rPr>
          <w:rFonts w:ascii="Arial" w:hAnsi="Arial"/>
          <w:b/>
          <w:sz w:val="28"/>
          <w:lang w:val="fr-CA"/>
        </w:rPr>
        <w:t>Matériel</w:t>
      </w:r>
    </w:p>
    <w:p w:rsidR="00A20DAA" w:rsidRDefault="00A20DAA">
      <w:pPr>
        <w:rPr>
          <w:rFonts w:ascii="Arial" w:hAnsi="Arial"/>
          <w:sz w:val="24"/>
          <w:lang w:val="fr-CA"/>
        </w:rPr>
      </w:pPr>
    </w:p>
    <w:p w:rsidR="00A20DAA" w:rsidRDefault="00A20DAA">
      <w:pPr>
        <w:ind w:left="720"/>
        <w:rPr>
          <w:rFonts w:ascii="Arial" w:hAnsi="Arial"/>
          <w:sz w:val="24"/>
          <w:lang w:val="fr-CA"/>
        </w:rPr>
      </w:pPr>
      <w:r w:rsidRPr="0001728C">
        <w:rPr>
          <w:rFonts w:ascii="Arial" w:hAnsi="Arial"/>
          <w:b/>
          <w:sz w:val="24"/>
          <w:lang w:val="fr-CA"/>
        </w:rPr>
        <w:t>Équipement :</w:t>
      </w:r>
      <w:r w:rsidRPr="0001728C">
        <w:rPr>
          <w:rFonts w:ascii="Arial" w:hAnsi="Arial"/>
          <w:b/>
          <w:sz w:val="24"/>
          <w:lang w:val="fr-CA"/>
        </w:rPr>
        <w:tab/>
      </w:r>
      <w:r w:rsidR="0001728C">
        <w:rPr>
          <w:rFonts w:ascii="Arial" w:hAnsi="Arial"/>
          <w:sz w:val="24"/>
          <w:lang w:val="fr-CA"/>
        </w:rPr>
        <w:t>c</w:t>
      </w:r>
      <w:r>
        <w:rPr>
          <w:rFonts w:ascii="Arial" w:hAnsi="Arial"/>
          <w:sz w:val="24"/>
          <w:lang w:val="fr-CA"/>
        </w:rPr>
        <w:t>entrifugeuse sérologique</w:t>
      </w:r>
    </w:p>
    <w:p w:rsidR="00A20DAA" w:rsidRDefault="00A20DAA">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r w:rsidR="0001728C">
        <w:rPr>
          <w:rFonts w:ascii="Arial" w:hAnsi="Arial"/>
          <w:sz w:val="24"/>
          <w:lang w:val="fr-CA"/>
        </w:rPr>
        <w:t>s</w:t>
      </w:r>
      <w:r>
        <w:rPr>
          <w:rFonts w:ascii="Arial" w:hAnsi="Arial"/>
          <w:sz w:val="24"/>
          <w:lang w:val="fr-CA"/>
        </w:rPr>
        <w:t>upport à tubes</w:t>
      </w:r>
    </w:p>
    <w:p w:rsidR="00A20DAA" w:rsidRDefault="00A20DAA">
      <w:pPr>
        <w:ind w:left="720"/>
        <w:rPr>
          <w:rFonts w:ascii="Arial" w:hAnsi="Arial"/>
          <w:sz w:val="24"/>
          <w:lang w:val="fr-CA"/>
        </w:rPr>
      </w:pPr>
    </w:p>
    <w:p w:rsidR="00A20DAA" w:rsidRDefault="002E6A5B">
      <w:pPr>
        <w:ind w:left="720"/>
        <w:rPr>
          <w:rFonts w:ascii="Arial" w:hAnsi="Arial"/>
          <w:sz w:val="24"/>
          <w:lang w:val="fr-CA"/>
        </w:rPr>
      </w:pPr>
      <w:r>
        <w:rPr>
          <w:rFonts w:ascii="Arial" w:hAnsi="Arial"/>
          <w:b/>
          <w:sz w:val="24"/>
          <w:lang w:val="fr-CA"/>
        </w:rPr>
        <w:t>Fournitures </w:t>
      </w:r>
      <w:r w:rsidR="00A20DAA" w:rsidRPr="0001728C">
        <w:rPr>
          <w:rFonts w:ascii="Arial" w:hAnsi="Arial"/>
          <w:b/>
          <w:sz w:val="24"/>
          <w:lang w:val="fr-CA"/>
        </w:rPr>
        <w:t>:</w:t>
      </w:r>
      <w:r w:rsidR="00A20DAA">
        <w:rPr>
          <w:rFonts w:ascii="Arial" w:hAnsi="Arial"/>
          <w:sz w:val="24"/>
          <w:lang w:val="fr-CA"/>
        </w:rPr>
        <w:tab/>
      </w:r>
      <w:r w:rsidR="0001728C">
        <w:rPr>
          <w:rFonts w:ascii="Arial" w:hAnsi="Arial"/>
          <w:sz w:val="24"/>
          <w:lang w:val="fr-CA"/>
        </w:rPr>
        <w:t>t</w:t>
      </w:r>
      <w:r w:rsidR="00A20DAA">
        <w:rPr>
          <w:rFonts w:ascii="Arial" w:hAnsi="Arial"/>
          <w:sz w:val="24"/>
          <w:lang w:val="fr-CA"/>
        </w:rPr>
        <w:t>ubes – 10 x 75</w:t>
      </w:r>
      <w:r w:rsidR="0013684B">
        <w:rPr>
          <w:rFonts w:ascii="Arial" w:hAnsi="Arial"/>
          <w:sz w:val="24"/>
          <w:lang w:val="fr-CA"/>
        </w:rPr>
        <w:t xml:space="preserve"> </w:t>
      </w:r>
      <w:r w:rsidR="00A20DAA">
        <w:rPr>
          <w:rFonts w:ascii="Arial" w:hAnsi="Arial"/>
          <w:sz w:val="24"/>
          <w:lang w:val="fr-CA"/>
        </w:rPr>
        <w:t>mm</w:t>
      </w:r>
    </w:p>
    <w:p w:rsidR="00A20DAA" w:rsidRDefault="00A20DAA">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r w:rsidR="0001728C">
        <w:rPr>
          <w:rFonts w:ascii="Arial" w:hAnsi="Arial"/>
          <w:sz w:val="24"/>
          <w:lang w:val="fr-CA"/>
        </w:rPr>
        <w:t>p</w:t>
      </w:r>
      <w:r>
        <w:rPr>
          <w:rFonts w:ascii="Arial" w:hAnsi="Arial"/>
          <w:sz w:val="24"/>
          <w:lang w:val="fr-CA"/>
        </w:rPr>
        <w:t>ipettes sérologiques</w:t>
      </w:r>
    </w:p>
    <w:p w:rsidR="00A20DAA" w:rsidRDefault="00A20DAA">
      <w:pPr>
        <w:ind w:left="720"/>
        <w:rPr>
          <w:rFonts w:ascii="Arial" w:hAnsi="Arial"/>
          <w:sz w:val="24"/>
          <w:lang w:val="fr-CA"/>
        </w:rPr>
      </w:pPr>
    </w:p>
    <w:p w:rsidR="00A20DAA" w:rsidRDefault="002E6A5B">
      <w:pPr>
        <w:pStyle w:val="Heading1"/>
        <w:ind w:left="2880" w:hanging="2160"/>
        <w:rPr>
          <w:lang w:val="fr-CA"/>
        </w:rPr>
      </w:pPr>
      <w:r>
        <w:rPr>
          <w:b/>
          <w:lang w:val="fr-CA"/>
        </w:rPr>
        <w:t>Réactifs </w:t>
      </w:r>
      <w:r w:rsidR="00A20DAA" w:rsidRPr="0001728C">
        <w:rPr>
          <w:b/>
          <w:lang w:val="fr-CA"/>
        </w:rPr>
        <w:t>:</w:t>
      </w:r>
      <w:r w:rsidR="00A20DAA">
        <w:rPr>
          <w:lang w:val="fr-CA"/>
        </w:rPr>
        <w:tab/>
      </w:r>
      <w:r w:rsidR="0001728C">
        <w:rPr>
          <w:lang w:val="fr-CA"/>
        </w:rPr>
        <w:t>r</w:t>
      </w:r>
      <w:r w:rsidR="00A20DAA">
        <w:rPr>
          <w:lang w:val="fr-CA"/>
        </w:rPr>
        <w:t xml:space="preserve">éactifs anti-D : deux types différents de réactifs anti-D, l’un étant </w:t>
      </w:r>
      <w:r w:rsidR="00490CC5">
        <w:rPr>
          <w:lang w:val="fr-CA"/>
        </w:rPr>
        <w:t>de l’anti-D monoclonal IgM</w:t>
      </w:r>
      <w:r w:rsidR="00A20DAA">
        <w:rPr>
          <w:lang w:val="fr-CA"/>
        </w:rPr>
        <w:t xml:space="preserve"> mélangé à de l’anti-D polyclonal</w:t>
      </w:r>
    </w:p>
    <w:p w:rsidR="00A20DAA" w:rsidRDefault="00A20DAA">
      <w:pPr>
        <w:ind w:left="720"/>
        <w:rPr>
          <w:rFonts w:ascii="Arial" w:hAnsi="Arial"/>
          <w:sz w:val="24"/>
          <w:lang w:val="fr-CA"/>
        </w:rPr>
      </w:pPr>
      <w:r>
        <w:rPr>
          <w:rFonts w:ascii="Arial" w:hAnsi="Arial"/>
          <w:sz w:val="24"/>
          <w:lang w:val="fr-CA"/>
        </w:rPr>
        <w:tab/>
      </w:r>
      <w:r>
        <w:rPr>
          <w:rFonts w:ascii="Arial" w:hAnsi="Arial"/>
          <w:sz w:val="24"/>
          <w:lang w:val="fr-CA"/>
        </w:rPr>
        <w:tab/>
      </w:r>
      <w:r>
        <w:rPr>
          <w:rFonts w:ascii="Arial" w:hAnsi="Arial"/>
          <w:sz w:val="24"/>
          <w:lang w:val="fr-CA"/>
        </w:rPr>
        <w:tab/>
      </w:r>
      <w:r w:rsidR="0001728C">
        <w:rPr>
          <w:rFonts w:ascii="Arial" w:hAnsi="Arial"/>
          <w:sz w:val="24"/>
          <w:lang w:val="fr-CA"/>
        </w:rPr>
        <w:t>t</w:t>
      </w:r>
      <w:r>
        <w:rPr>
          <w:rFonts w:ascii="Arial" w:hAnsi="Arial"/>
          <w:sz w:val="24"/>
          <w:lang w:val="fr-CA"/>
        </w:rPr>
        <w:t xml:space="preserve">émoin </w:t>
      </w:r>
      <w:r w:rsidR="00A33D51">
        <w:rPr>
          <w:rFonts w:ascii="Arial" w:hAnsi="Arial"/>
          <w:sz w:val="24"/>
          <w:lang w:val="fr-CA"/>
        </w:rPr>
        <w:t xml:space="preserve">approprié </w:t>
      </w:r>
      <w:r>
        <w:rPr>
          <w:rFonts w:ascii="Arial" w:hAnsi="Arial"/>
          <w:sz w:val="24"/>
          <w:lang w:val="fr-CA"/>
        </w:rPr>
        <w:t xml:space="preserve">pour la détermination du facteur Rh </w:t>
      </w:r>
      <w:r w:rsidR="00A33D51">
        <w:rPr>
          <w:rFonts w:ascii="Arial" w:hAnsi="Arial"/>
          <w:sz w:val="24"/>
          <w:lang w:val="fr-CA"/>
        </w:rPr>
        <w:tab/>
      </w:r>
      <w:r w:rsidR="00A33D51">
        <w:rPr>
          <w:rFonts w:ascii="Arial" w:hAnsi="Arial"/>
          <w:sz w:val="24"/>
          <w:lang w:val="fr-CA"/>
        </w:rPr>
        <w:tab/>
      </w:r>
      <w:r w:rsidR="00A33D51">
        <w:rPr>
          <w:rFonts w:ascii="Arial" w:hAnsi="Arial"/>
          <w:sz w:val="24"/>
          <w:lang w:val="fr-CA"/>
        </w:rPr>
        <w:tab/>
      </w:r>
      <w:r w:rsidR="00A33D51">
        <w:rPr>
          <w:rFonts w:ascii="Arial" w:hAnsi="Arial"/>
          <w:sz w:val="24"/>
          <w:lang w:val="fr-CA"/>
        </w:rPr>
        <w:tab/>
        <w:t>(conformément aux instructions du fabricant)</w:t>
      </w:r>
      <w:r w:rsidR="00A33D51" w:rsidRPr="00A33D51">
        <w:rPr>
          <w:rFonts w:ascii="Arial" w:hAnsi="Arial"/>
          <w:sz w:val="24"/>
          <w:vertAlign w:val="superscript"/>
          <w:lang w:val="fr-CA"/>
        </w:rPr>
        <w:t>9.2</w:t>
      </w:r>
    </w:p>
    <w:p w:rsidR="00A20DAA" w:rsidRDefault="00A20DAA">
      <w:pPr>
        <w:pStyle w:val="Heading1"/>
        <w:rPr>
          <w:lang w:val="fr-CA"/>
        </w:rPr>
      </w:pPr>
      <w:r>
        <w:rPr>
          <w:lang w:val="fr-CA"/>
        </w:rPr>
        <w:tab/>
      </w:r>
      <w:r>
        <w:rPr>
          <w:lang w:val="fr-CA"/>
        </w:rPr>
        <w:tab/>
      </w:r>
      <w:r>
        <w:rPr>
          <w:lang w:val="fr-CA"/>
        </w:rPr>
        <w:tab/>
      </w:r>
      <w:r w:rsidR="00C92510">
        <w:rPr>
          <w:lang w:val="fr-CA"/>
        </w:rPr>
        <w:t xml:space="preserve">solution </w:t>
      </w:r>
      <w:r w:rsidR="00FB342D">
        <w:rPr>
          <w:lang w:val="fr-CA"/>
        </w:rPr>
        <w:t>saline normale</w:t>
      </w:r>
    </w:p>
    <w:p w:rsidR="00A20DAA" w:rsidRDefault="00A20DAA">
      <w:pPr>
        <w:ind w:left="720"/>
        <w:rPr>
          <w:rFonts w:ascii="Arial" w:hAnsi="Arial"/>
          <w:sz w:val="24"/>
          <w:lang w:val="fr-CA"/>
        </w:rPr>
      </w:pPr>
    </w:p>
    <w:p w:rsidR="00A20DAA" w:rsidRDefault="00A20DAA">
      <w:pPr>
        <w:numPr>
          <w:ilvl w:val="0"/>
          <w:numId w:val="1"/>
        </w:numPr>
        <w:rPr>
          <w:rFonts w:ascii="Arial" w:hAnsi="Arial"/>
          <w:b/>
          <w:sz w:val="28"/>
          <w:lang w:val="fr-CA"/>
        </w:rPr>
      </w:pPr>
      <w:r>
        <w:rPr>
          <w:rFonts w:ascii="Arial" w:hAnsi="Arial"/>
          <w:b/>
          <w:sz w:val="28"/>
          <w:lang w:val="fr-CA"/>
        </w:rPr>
        <w:t>Contrôle de la qualité</w:t>
      </w:r>
    </w:p>
    <w:p w:rsidR="00A20DAA" w:rsidRDefault="00A20DAA">
      <w:pPr>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t xml:space="preserve">Voir CAQ.001 – Contrôle de la qualité des </w:t>
      </w:r>
      <w:r w:rsidR="0001728C">
        <w:rPr>
          <w:rFonts w:ascii="Arial" w:hAnsi="Arial"/>
          <w:sz w:val="24"/>
          <w:lang w:val="fr-CA"/>
        </w:rPr>
        <w:t>globules rouges</w:t>
      </w:r>
      <w:r>
        <w:rPr>
          <w:rFonts w:ascii="Arial" w:hAnsi="Arial"/>
          <w:sz w:val="24"/>
          <w:lang w:val="fr-CA"/>
        </w:rPr>
        <w:t xml:space="preserve"> et des antisérums</w:t>
      </w:r>
      <w:r w:rsidR="0001728C">
        <w:rPr>
          <w:rFonts w:ascii="Arial" w:hAnsi="Arial"/>
          <w:sz w:val="24"/>
          <w:lang w:val="fr-CA"/>
        </w:rPr>
        <w:t xml:space="preserve"> commerciaux</w:t>
      </w:r>
      <w:r>
        <w:rPr>
          <w:rFonts w:ascii="Arial" w:hAnsi="Arial"/>
          <w:sz w:val="24"/>
          <w:lang w:val="fr-CA"/>
        </w:rPr>
        <w:t>.</w:t>
      </w:r>
    </w:p>
    <w:p w:rsidR="00A20DAA" w:rsidRDefault="00A20DAA">
      <w:pPr>
        <w:ind w:left="720"/>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t xml:space="preserve">S’il faut immédiatement </w:t>
      </w:r>
      <w:r w:rsidR="004E2E47">
        <w:rPr>
          <w:rFonts w:ascii="Arial" w:hAnsi="Arial"/>
          <w:sz w:val="24"/>
          <w:lang w:val="fr-CA"/>
        </w:rPr>
        <w:t xml:space="preserve">(STAT) </w:t>
      </w:r>
      <w:r>
        <w:rPr>
          <w:rFonts w:ascii="Arial" w:hAnsi="Arial"/>
          <w:sz w:val="24"/>
          <w:lang w:val="fr-CA"/>
        </w:rPr>
        <w:t xml:space="preserve">des composants du sang, choisir des globules rouges </w:t>
      </w:r>
      <w:r w:rsidR="00490CC5">
        <w:rPr>
          <w:rFonts w:ascii="Arial" w:hAnsi="Arial"/>
          <w:sz w:val="24"/>
          <w:lang w:val="fr-CA"/>
        </w:rPr>
        <w:t xml:space="preserve">Rh négatif </w:t>
      </w:r>
      <w:r>
        <w:rPr>
          <w:rFonts w:ascii="Arial" w:hAnsi="Arial"/>
          <w:sz w:val="24"/>
          <w:lang w:val="fr-CA"/>
        </w:rPr>
        <w:t>pour les femmes préménopaus</w:t>
      </w:r>
      <w:r w:rsidR="0013684B">
        <w:rPr>
          <w:rFonts w:ascii="Arial" w:hAnsi="Arial"/>
          <w:sz w:val="24"/>
          <w:lang w:val="fr-CA"/>
        </w:rPr>
        <w:t>ées</w:t>
      </w:r>
      <w:r>
        <w:rPr>
          <w:rFonts w:ascii="Arial" w:hAnsi="Arial"/>
          <w:sz w:val="24"/>
          <w:lang w:val="fr-CA"/>
        </w:rPr>
        <w:t xml:space="preserve"> et les enfants. Les autres patients, en l’absence d’un anti-D connu, peuvent recevoir du sang Rh positif dans les situations d’urgence </w:t>
      </w:r>
      <w:r w:rsidR="0013684B">
        <w:rPr>
          <w:rFonts w:ascii="Arial" w:hAnsi="Arial"/>
          <w:sz w:val="24"/>
          <w:lang w:val="fr-CA"/>
        </w:rPr>
        <w:t>lorsqu’</w:t>
      </w:r>
      <w:r>
        <w:rPr>
          <w:rFonts w:ascii="Arial" w:hAnsi="Arial"/>
          <w:sz w:val="24"/>
          <w:lang w:val="fr-CA"/>
        </w:rPr>
        <w:t>il y a une pénurie de sang Rh négatif.</w:t>
      </w:r>
    </w:p>
    <w:p w:rsidR="00A20DAA" w:rsidRDefault="00A20DAA">
      <w:pPr>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t xml:space="preserve">De faux résultats positifs </w:t>
      </w:r>
      <w:r w:rsidR="00490CC5">
        <w:rPr>
          <w:rFonts w:ascii="Arial" w:hAnsi="Arial"/>
          <w:sz w:val="24"/>
          <w:lang w:val="fr-CA"/>
        </w:rPr>
        <w:t>du test témoin</w:t>
      </w:r>
      <w:r>
        <w:rPr>
          <w:rFonts w:ascii="Arial" w:hAnsi="Arial"/>
          <w:sz w:val="24"/>
          <w:lang w:val="fr-CA"/>
        </w:rPr>
        <w:t xml:space="preserve"> en raison d’autoagglutinines </w:t>
      </w:r>
      <w:r w:rsidR="00C51D82">
        <w:rPr>
          <w:rFonts w:ascii="Arial" w:hAnsi="Arial"/>
          <w:sz w:val="24"/>
          <w:lang w:val="fr-CA"/>
        </w:rPr>
        <w:t xml:space="preserve">froides </w:t>
      </w:r>
      <w:r>
        <w:rPr>
          <w:rFonts w:ascii="Arial" w:hAnsi="Arial"/>
          <w:sz w:val="24"/>
          <w:lang w:val="fr-CA"/>
        </w:rPr>
        <w:t xml:space="preserve">ou d’un déséquilibre protéinique </w:t>
      </w:r>
      <w:r w:rsidR="00323FE1">
        <w:rPr>
          <w:rFonts w:ascii="Arial" w:hAnsi="Arial"/>
          <w:sz w:val="24"/>
          <w:lang w:val="fr-CA"/>
        </w:rPr>
        <w:t>peuvent</w:t>
      </w:r>
      <w:r>
        <w:rPr>
          <w:rFonts w:ascii="Arial" w:hAnsi="Arial"/>
          <w:sz w:val="24"/>
          <w:lang w:val="fr-CA"/>
        </w:rPr>
        <w:t xml:space="preserve"> survenir si les épreuves sont faites avec des globules rouges non lavés.</w:t>
      </w:r>
    </w:p>
    <w:p w:rsidR="00A20DAA" w:rsidRDefault="00A20DAA">
      <w:pPr>
        <w:rPr>
          <w:rFonts w:ascii="Arial" w:hAnsi="Arial"/>
          <w:sz w:val="24"/>
          <w:lang w:val="fr-CA"/>
        </w:rPr>
      </w:pPr>
    </w:p>
    <w:p w:rsidR="00A20DAA" w:rsidRDefault="00A20DAA">
      <w:pPr>
        <w:numPr>
          <w:ilvl w:val="2"/>
          <w:numId w:val="1"/>
        </w:numPr>
        <w:rPr>
          <w:rFonts w:ascii="Arial" w:hAnsi="Arial"/>
          <w:sz w:val="24"/>
          <w:lang w:val="fr-CA"/>
        </w:rPr>
      </w:pPr>
      <w:r>
        <w:rPr>
          <w:rFonts w:ascii="Arial" w:hAnsi="Arial"/>
          <w:sz w:val="24"/>
          <w:lang w:val="fr-CA"/>
        </w:rPr>
        <w:t xml:space="preserve">L’absence de cette agglutination spontanée peut habituellement être démontrée en observant les réactions négatives dans le groupage sanguin ABO par épreuve globulaire (réactions avec anti-A </w:t>
      </w:r>
      <w:r w:rsidR="00490CC5">
        <w:rPr>
          <w:rFonts w:ascii="Arial" w:hAnsi="Arial"/>
          <w:sz w:val="24"/>
          <w:lang w:val="fr-CA"/>
        </w:rPr>
        <w:t>et/ou</w:t>
      </w:r>
      <w:r>
        <w:rPr>
          <w:rFonts w:ascii="Arial" w:hAnsi="Arial"/>
          <w:sz w:val="24"/>
          <w:lang w:val="fr-CA"/>
        </w:rPr>
        <w:t xml:space="preserve"> anti-B).</w:t>
      </w:r>
    </w:p>
    <w:p w:rsidR="00A20DAA" w:rsidRDefault="00A20DAA">
      <w:pPr>
        <w:ind w:left="1440"/>
        <w:rPr>
          <w:rFonts w:ascii="Arial" w:hAnsi="Arial"/>
          <w:sz w:val="24"/>
          <w:lang w:val="fr-CA"/>
        </w:rPr>
      </w:pPr>
    </w:p>
    <w:p w:rsidR="00A20DAA" w:rsidRDefault="00A20DAA">
      <w:pPr>
        <w:numPr>
          <w:ilvl w:val="2"/>
          <w:numId w:val="1"/>
        </w:numPr>
        <w:rPr>
          <w:rFonts w:ascii="Arial" w:hAnsi="Arial"/>
          <w:sz w:val="24"/>
          <w:lang w:val="fr-CA"/>
        </w:rPr>
      </w:pPr>
      <w:r>
        <w:rPr>
          <w:rFonts w:ascii="Arial" w:hAnsi="Arial"/>
          <w:sz w:val="24"/>
          <w:lang w:val="fr-CA"/>
        </w:rPr>
        <w:t>Dans le cas des échantillons qui présentent une agglutination dans tous les tubes (c.-à.-d. donnent des réactions de groupe AB, D positif), il faut effectuer un contrôle parallèle sur les cellules des patients. Ceci n’est pas requis pour la confirmation des unités de sang d</w:t>
      </w:r>
      <w:r w:rsidR="0013684B">
        <w:rPr>
          <w:rFonts w:ascii="Arial" w:hAnsi="Arial"/>
          <w:sz w:val="24"/>
          <w:lang w:val="fr-CA"/>
        </w:rPr>
        <w:t>e</w:t>
      </w:r>
      <w:r>
        <w:rPr>
          <w:rFonts w:ascii="Arial" w:hAnsi="Arial"/>
          <w:sz w:val="24"/>
          <w:lang w:val="fr-CA"/>
        </w:rPr>
        <w:t xml:space="preserve"> donneur.</w:t>
      </w:r>
    </w:p>
    <w:p w:rsidR="00A20DAA" w:rsidRDefault="00A20DAA">
      <w:pPr>
        <w:rPr>
          <w:rFonts w:ascii="Arial" w:hAnsi="Arial"/>
          <w:sz w:val="24"/>
          <w:lang w:val="fr-CA"/>
        </w:rPr>
      </w:pPr>
    </w:p>
    <w:p w:rsidR="00A20DAA" w:rsidRPr="00490CC5" w:rsidRDefault="00A20DAA">
      <w:pPr>
        <w:numPr>
          <w:ilvl w:val="2"/>
          <w:numId w:val="1"/>
        </w:numPr>
        <w:rPr>
          <w:rFonts w:ascii="Arial" w:hAnsi="Arial"/>
          <w:sz w:val="24"/>
          <w:lang w:val="fr-CA"/>
        </w:rPr>
      </w:pPr>
      <w:r>
        <w:rPr>
          <w:rFonts w:ascii="Arial" w:hAnsi="Arial"/>
          <w:sz w:val="24"/>
          <w:lang w:val="fr-CA"/>
        </w:rPr>
        <w:t xml:space="preserve">Si un contrôle commercial pour un </w:t>
      </w:r>
      <w:r w:rsidR="00490CC5">
        <w:rPr>
          <w:rFonts w:ascii="Arial" w:hAnsi="Arial"/>
          <w:sz w:val="24"/>
          <w:lang w:val="fr-CA"/>
        </w:rPr>
        <w:t xml:space="preserve">réactif </w:t>
      </w:r>
      <w:r>
        <w:rPr>
          <w:rFonts w:ascii="Arial" w:hAnsi="Arial"/>
          <w:sz w:val="24"/>
          <w:lang w:val="fr-CA"/>
        </w:rPr>
        <w:t xml:space="preserve">hypoprotéique (mélange monoclonal/polyclonal) n’est pas disponible, on peut utiliser du plasma autologue ou </w:t>
      </w:r>
      <w:r w:rsidR="004E2E47">
        <w:rPr>
          <w:rFonts w:ascii="Arial" w:hAnsi="Arial"/>
          <w:sz w:val="24"/>
          <w:lang w:val="fr-CA"/>
        </w:rPr>
        <w:t>de l’</w:t>
      </w:r>
      <w:r w:rsidRPr="00490CC5">
        <w:rPr>
          <w:rFonts w:ascii="Arial" w:hAnsi="Arial"/>
          <w:sz w:val="24"/>
          <w:lang w:val="fr-CA"/>
        </w:rPr>
        <w:t xml:space="preserve">albumine bovine </w:t>
      </w:r>
      <w:r w:rsidR="00490CC5">
        <w:rPr>
          <w:rFonts w:ascii="Arial" w:hAnsi="Arial"/>
          <w:sz w:val="24"/>
          <w:lang w:val="fr-CA"/>
        </w:rPr>
        <w:t xml:space="preserve">à </w:t>
      </w:r>
      <w:r w:rsidRPr="00490CC5">
        <w:rPr>
          <w:rFonts w:ascii="Arial" w:hAnsi="Arial"/>
          <w:sz w:val="24"/>
          <w:lang w:val="fr-CA"/>
        </w:rPr>
        <w:t>6 %</w:t>
      </w:r>
      <w:r w:rsidR="004E2E47">
        <w:rPr>
          <w:rFonts w:ascii="Arial" w:hAnsi="Arial"/>
          <w:sz w:val="24"/>
          <w:lang w:val="fr-CA"/>
        </w:rPr>
        <w:t xml:space="preserve"> comme témoin</w:t>
      </w:r>
      <w:r w:rsidRPr="00490CC5">
        <w:rPr>
          <w:rFonts w:ascii="Arial" w:hAnsi="Arial"/>
          <w:sz w:val="24"/>
          <w:lang w:val="fr-CA"/>
        </w:rPr>
        <w:t>.</w:t>
      </w:r>
    </w:p>
    <w:p w:rsidR="00A20DAA" w:rsidRDefault="00A20DAA">
      <w:pPr>
        <w:ind w:left="1440"/>
        <w:rPr>
          <w:rFonts w:ascii="Arial" w:hAnsi="Arial"/>
          <w:sz w:val="24"/>
          <w:lang w:val="fr-CA"/>
        </w:rPr>
      </w:pPr>
    </w:p>
    <w:p w:rsidR="00A20DAA" w:rsidRDefault="00A20DAA">
      <w:pPr>
        <w:numPr>
          <w:ilvl w:val="0"/>
          <w:numId w:val="1"/>
        </w:numPr>
        <w:rPr>
          <w:rFonts w:ascii="Arial" w:hAnsi="Arial"/>
          <w:b/>
          <w:sz w:val="28"/>
          <w:lang w:val="fr-CA"/>
        </w:rPr>
      </w:pPr>
      <w:r>
        <w:rPr>
          <w:rFonts w:ascii="Arial" w:hAnsi="Arial"/>
          <w:b/>
          <w:sz w:val="28"/>
          <w:lang w:val="fr-CA"/>
        </w:rPr>
        <w:t>Procédure</w:t>
      </w:r>
    </w:p>
    <w:p w:rsidR="00A20DAA" w:rsidRDefault="00A20DAA">
      <w:pPr>
        <w:rPr>
          <w:rFonts w:ascii="Arial" w:hAnsi="Arial"/>
          <w:sz w:val="24"/>
          <w:lang w:val="fr-CA"/>
        </w:rPr>
      </w:pPr>
    </w:p>
    <w:p w:rsidR="00A33D51" w:rsidRDefault="00A20DAA">
      <w:pPr>
        <w:numPr>
          <w:ilvl w:val="1"/>
          <w:numId w:val="1"/>
        </w:numPr>
        <w:rPr>
          <w:rFonts w:ascii="Arial" w:hAnsi="Arial"/>
          <w:sz w:val="24"/>
          <w:lang w:val="fr-CA"/>
        </w:rPr>
      </w:pPr>
      <w:r>
        <w:rPr>
          <w:rFonts w:ascii="Arial" w:hAnsi="Arial"/>
          <w:sz w:val="24"/>
          <w:lang w:val="fr-CA"/>
        </w:rPr>
        <w:t>Vérifi</w:t>
      </w:r>
      <w:r w:rsidR="00A33D51">
        <w:rPr>
          <w:rFonts w:ascii="Arial" w:hAnsi="Arial"/>
          <w:sz w:val="24"/>
          <w:lang w:val="fr-CA"/>
        </w:rPr>
        <w:t xml:space="preserve">cation des </w:t>
      </w:r>
      <w:r>
        <w:rPr>
          <w:rFonts w:ascii="Arial" w:hAnsi="Arial"/>
          <w:sz w:val="24"/>
          <w:lang w:val="fr-CA"/>
        </w:rPr>
        <w:t xml:space="preserve">antécédents du patient. </w:t>
      </w:r>
    </w:p>
    <w:p w:rsidR="00A20DAA" w:rsidRDefault="00A20DAA" w:rsidP="00A33D51">
      <w:pPr>
        <w:numPr>
          <w:ilvl w:val="2"/>
          <w:numId w:val="1"/>
        </w:numPr>
        <w:rPr>
          <w:rFonts w:ascii="Arial" w:hAnsi="Arial"/>
          <w:sz w:val="24"/>
          <w:lang w:val="fr-CA"/>
        </w:rPr>
      </w:pPr>
      <w:r>
        <w:rPr>
          <w:rFonts w:ascii="Arial" w:hAnsi="Arial"/>
          <w:sz w:val="24"/>
          <w:lang w:val="fr-CA"/>
        </w:rPr>
        <w:t>Voir PA.003 – Vérification des antécédents du patient.</w:t>
      </w:r>
    </w:p>
    <w:p w:rsidR="00A20DAA" w:rsidRDefault="00A20DAA">
      <w:pPr>
        <w:ind w:left="720"/>
        <w:rPr>
          <w:rFonts w:ascii="Arial" w:hAnsi="Arial"/>
          <w:sz w:val="24"/>
          <w:lang w:val="fr-CA"/>
        </w:rPr>
      </w:pPr>
    </w:p>
    <w:p w:rsidR="00A33D51" w:rsidRDefault="00A20DAA">
      <w:pPr>
        <w:numPr>
          <w:ilvl w:val="1"/>
          <w:numId w:val="1"/>
        </w:numPr>
        <w:rPr>
          <w:rFonts w:ascii="Arial" w:hAnsi="Arial"/>
          <w:sz w:val="24"/>
          <w:lang w:val="fr-CA"/>
        </w:rPr>
      </w:pPr>
      <w:r>
        <w:rPr>
          <w:rFonts w:ascii="Arial" w:hAnsi="Arial"/>
          <w:sz w:val="24"/>
          <w:lang w:val="fr-CA"/>
        </w:rPr>
        <w:t>Vérifi</w:t>
      </w:r>
      <w:r w:rsidR="00A33D51">
        <w:rPr>
          <w:rFonts w:ascii="Arial" w:hAnsi="Arial"/>
          <w:sz w:val="24"/>
          <w:lang w:val="fr-CA"/>
        </w:rPr>
        <w:t>cation de l’</w:t>
      </w:r>
      <w:r w:rsidR="00323FE1">
        <w:rPr>
          <w:rFonts w:ascii="Arial" w:hAnsi="Arial"/>
          <w:sz w:val="24"/>
          <w:lang w:val="fr-CA"/>
        </w:rPr>
        <w:t>acceptabilité</w:t>
      </w:r>
      <w:r>
        <w:rPr>
          <w:rFonts w:ascii="Arial" w:hAnsi="Arial"/>
          <w:sz w:val="24"/>
          <w:lang w:val="fr-CA"/>
        </w:rPr>
        <w:t xml:space="preserve"> des échantillons </w:t>
      </w:r>
    </w:p>
    <w:p w:rsidR="00A20DAA" w:rsidRDefault="00A33D51" w:rsidP="00A33D51">
      <w:pPr>
        <w:numPr>
          <w:ilvl w:val="2"/>
          <w:numId w:val="1"/>
        </w:numPr>
        <w:rPr>
          <w:rFonts w:ascii="Arial" w:hAnsi="Arial"/>
          <w:sz w:val="24"/>
          <w:lang w:val="fr-CA"/>
        </w:rPr>
      </w:pPr>
      <w:r>
        <w:rPr>
          <w:rFonts w:ascii="Arial" w:hAnsi="Arial"/>
          <w:sz w:val="24"/>
          <w:lang w:val="fr-CA"/>
        </w:rPr>
        <w:t>Voir PA.002 – Acceptation ou rejet des échantillons, étapes 6.1 – 6.4 pour s</w:t>
      </w:r>
      <w:r w:rsidR="00A20DAA">
        <w:rPr>
          <w:rFonts w:ascii="Arial" w:hAnsi="Arial"/>
          <w:sz w:val="24"/>
          <w:lang w:val="fr-CA"/>
        </w:rPr>
        <w:t xml:space="preserve">’assurer que les renseignements qui s’y rapportent correspondent au formulaire de demande d'analyse. </w:t>
      </w:r>
    </w:p>
    <w:p w:rsidR="00A20DAA" w:rsidRDefault="00A20DAA" w:rsidP="00A33D51">
      <w:pPr>
        <w:numPr>
          <w:ilvl w:val="2"/>
          <w:numId w:val="1"/>
        </w:numPr>
        <w:rPr>
          <w:rFonts w:ascii="Arial" w:hAnsi="Arial"/>
          <w:sz w:val="24"/>
          <w:lang w:val="fr-CA"/>
        </w:rPr>
      </w:pPr>
      <w:r>
        <w:rPr>
          <w:rFonts w:ascii="Arial" w:hAnsi="Arial"/>
          <w:sz w:val="24"/>
          <w:lang w:val="fr-CA"/>
        </w:rPr>
        <w:t>Centrifuger l'échantillon pendant 5 minutes à 3500 rpm ou l'équivalent.</w:t>
      </w:r>
    </w:p>
    <w:p w:rsidR="00A20DAA" w:rsidRDefault="00A20DAA" w:rsidP="00A33D51">
      <w:pPr>
        <w:numPr>
          <w:ilvl w:val="2"/>
          <w:numId w:val="1"/>
        </w:numPr>
        <w:rPr>
          <w:rFonts w:ascii="Arial" w:hAnsi="Arial"/>
          <w:sz w:val="24"/>
          <w:lang w:val="fr-CA"/>
        </w:rPr>
      </w:pPr>
      <w:r>
        <w:rPr>
          <w:rFonts w:ascii="Arial" w:hAnsi="Arial"/>
          <w:sz w:val="24"/>
          <w:lang w:val="fr-CA"/>
        </w:rPr>
        <w:t xml:space="preserve">Vérifier toute anomalie dans l’aspect des échantillons. Voir PA.002 – </w:t>
      </w:r>
      <w:r w:rsidR="00D33392">
        <w:rPr>
          <w:rFonts w:ascii="Arial" w:hAnsi="Arial"/>
          <w:sz w:val="24"/>
          <w:lang w:val="fr-CA"/>
        </w:rPr>
        <w:t>Acceptation ou rejet des échantillons</w:t>
      </w:r>
      <w:r>
        <w:rPr>
          <w:rFonts w:ascii="Arial" w:hAnsi="Arial"/>
          <w:sz w:val="24"/>
          <w:lang w:val="fr-CA"/>
        </w:rPr>
        <w:t>, étapes 6.5 – 6.6.</w:t>
      </w:r>
    </w:p>
    <w:p w:rsidR="00A20DAA" w:rsidRDefault="00A20DAA">
      <w:pPr>
        <w:ind w:left="720"/>
        <w:rPr>
          <w:rFonts w:ascii="Arial" w:hAnsi="Arial"/>
          <w:sz w:val="24"/>
          <w:lang w:val="fr-CA"/>
        </w:rPr>
      </w:pPr>
    </w:p>
    <w:p w:rsidR="00A33D51" w:rsidRDefault="00A33D51">
      <w:pPr>
        <w:numPr>
          <w:ilvl w:val="1"/>
          <w:numId w:val="1"/>
        </w:numPr>
        <w:rPr>
          <w:rFonts w:ascii="Arial" w:hAnsi="Arial"/>
          <w:sz w:val="24"/>
          <w:lang w:val="fr-CA"/>
        </w:rPr>
      </w:pPr>
      <w:r>
        <w:rPr>
          <w:rFonts w:ascii="Arial" w:hAnsi="Arial"/>
          <w:sz w:val="24"/>
          <w:lang w:val="fr-CA"/>
        </w:rPr>
        <w:t>Étiquetage des tubes</w:t>
      </w:r>
    </w:p>
    <w:p w:rsidR="00A20DAA" w:rsidRDefault="00A20DAA" w:rsidP="00A33D51">
      <w:pPr>
        <w:numPr>
          <w:ilvl w:val="2"/>
          <w:numId w:val="1"/>
        </w:numPr>
        <w:rPr>
          <w:rFonts w:ascii="Arial" w:hAnsi="Arial"/>
          <w:sz w:val="24"/>
          <w:lang w:val="fr-CA"/>
        </w:rPr>
      </w:pPr>
      <w:r>
        <w:rPr>
          <w:rFonts w:ascii="Arial" w:hAnsi="Arial"/>
          <w:sz w:val="24"/>
          <w:lang w:val="fr-CA"/>
        </w:rPr>
        <w:t xml:space="preserve">Étiqueter les tubes conformément à la procédure établie. Voir PA.004 – </w:t>
      </w:r>
      <w:r w:rsidR="0001728C">
        <w:rPr>
          <w:rFonts w:ascii="Arial" w:hAnsi="Arial"/>
          <w:sz w:val="24"/>
          <w:lang w:val="fr-CA"/>
        </w:rPr>
        <w:t>Étiquetage des tubes et disposition dans un support en vue des épreuves de compatibilité</w:t>
      </w:r>
      <w:r>
        <w:rPr>
          <w:rFonts w:ascii="Arial" w:hAnsi="Arial"/>
          <w:sz w:val="24"/>
          <w:lang w:val="fr-CA"/>
        </w:rPr>
        <w:t xml:space="preserve">. Voir Contrôle de la qualité </w:t>
      </w:r>
      <w:r w:rsidR="0013684B">
        <w:rPr>
          <w:rFonts w:ascii="Arial" w:hAnsi="Arial"/>
          <w:sz w:val="24"/>
          <w:lang w:val="fr-CA"/>
        </w:rPr>
        <w:t xml:space="preserve">5.2 </w:t>
      </w:r>
      <w:r>
        <w:rPr>
          <w:rFonts w:ascii="Arial" w:hAnsi="Arial"/>
          <w:sz w:val="24"/>
          <w:lang w:val="fr-CA"/>
        </w:rPr>
        <w:t>et Remarque 8.1.</w:t>
      </w:r>
    </w:p>
    <w:p w:rsidR="00A20DAA" w:rsidRDefault="00A20DAA">
      <w:pPr>
        <w:ind w:left="720"/>
        <w:rPr>
          <w:rFonts w:ascii="Arial" w:hAnsi="Arial"/>
          <w:sz w:val="24"/>
          <w:lang w:val="fr-CA"/>
        </w:rPr>
      </w:pPr>
    </w:p>
    <w:p w:rsidR="00A33D51" w:rsidRDefault="00A20DAA">
      <w:pPr>
        <w:numPr>
          <w:ilvl w:val="1"/>
          <w:numId w:val="1"/>
        </w:numPr>
        <w:rPr>
          <w:rFonts w:ascii="Arial" w:hAnsi="Arial"/>
          <w:sz w:val="24"/>
          <w:lang w:val="fr-CA"/>
        </w:rPr>
      </w:pPr>
      <w:r>
        <w:rPr>
          <w:rFonts w:ascii="Arial" w:hAnsi="Arial"/>
          <w:sz w:val="24"/>
          <w:lang w:val="fr-CA"/>
        </w:rPr>
        <w:t>Ajout</w:t>
      </w:r>
      <w:r w:rsidR="00A33D51">
        <w:rPr>
          <w:rFonts w:ascii="Arial" w:hAnsi="Arial"/>
          <w:sz w:val="24"/>
          <w:lang w:val="fr-CA"/>
        </w:rPr>
        <w:t xml:space="preserve"> des réactifs</w:t>
      </w:r>
    </w:p>
    <w:p w:rsidR="00A20DAA" w:rsidRDefault="00A20DAA">
      <w:pPr>
        <w:numPr>
          <w:ilvl w:val="2"/>
          <w:numId w:val="1"/>
        </w:numPr>
        <w:rPr>
          <w:rFonts w:ascii="Arial" w:hAnsi="Arial"/>
          <w:sz w:val="24"/>
          <w:lang w:val="fr-CA"/>
        </w:rPr>
      </w:pPr>
      <w:r>
        <w:rPr>
          <w:rFonts w:ascii="Arial" w:hAnsi="Arial"/>
          <w:sz w:val="24"/>
          <w:lang w:val="fr-CA"/>
        </w:rPr>
        <w:t>Ajouter 1 goutte d’anti-D au tube étiqueté D.</w:t>
      </w:r>
    </w:p>
    <w:p w:rsidR="00A20DAA" w:rsidRDefault="00A20DAA">
      <w:pPr>
        <w:numPr>
          <w:ilvl w:val="2"/>
          <w:numId w:val="1"/>
        </w:numPr>
        <w:rPr>
          <w:rFonts w:ascii="Arial" w:hAnsi="Arial"/>
          <w:sz w:val="24"/>
          <w:lang w:val="fr-CA"/>
        </w:rPr>
      </w:pPr>
      <w:r>
        <w:rPr>
          <w:rFonts w:ascii="Arial" w:hAnsi="Arial"/>
          <w:sz w:val="24"/>
          <w:lang w:val="fr-CA"/>
        </w:rPr>
        <w:t xml:space="preserve">Ajouter 1 goutte de réactif témoin </w:t>
      </w:r>
      <w:r w:rsidR="0013684B">
        <w:rPr>
          <w:rFonts w:ascii="Arial" w:hAnsi="Arial"/>
          <w:sz w:val="24"/>
          <w:lang w:val="fr-CA"/>
        </w:rPr>
        <w:t xml:space="preserve">Rh </w:t>
      </w:r>
      <w:r>
        <w:rPr>
          <w:rFonts w:ascii="Arial" w:hAnsi="Arial"/>
          <w:sz w:val="24"/>
          <w:lang w:val="fr-CA"/>
        </w:rPr>
        <w:t>au tube étiqueté DT.</w:t>
      </w:r>
    </w:p>
    <w:p w:rsidR="00A20DAA" w:rsidRDefault="00A20DAA">
      <w:pPr>
        <w:rPr>
          <w:rFonts w:ascii="Arial" w:hAnsi="Arial"/>
          <w:sz w:val="24"/>
          <w:lang w:val="fr-CA"/>
        </w:rPr>
      </w:pPr>
    </w:p>
    <w:p w:rsidR="00D82A02" w:rsidRPr="00D82A02" w:rsidRDefault="00A20DAA">
      <w:pPr>
        <w:numPr>
          <w:ilvl w:val="1"/>
          <w:numId w:val="1"/>
        </w:numPr>
        <w:rPr>
          <w:rFonts w:ascii="Arial" w:hAnsi="Arial"/>
          <w:sz w:val="24"/>
          <w:lang w:val="fr-CA"/>
        </w:rPr>
      </w:pPr>
      <w:r>
        <w:rPr>
          <w:rFonts w:ascii="Arial" w:hAnsi="Arial"/>
          <w:sz w:val="24"/>
          <w:lang w:val="fr-CA"/>
        </w:rPr>
        <w:t>Prépar</w:t>
      </w:r>
      <w:r w:rsidR="00D82A02">
        <w:rPr>
          <w:rFonts w:ascii="Arial" w:hAnsi="Arial"/>
          <w:sz w:val="24"/>
          <w:lang w:val="fr-CA"/>
        </w:rPr>
        <w:t>ation d’</w:t>
      </w:r>
      <w:r>
        <w:rPr>
          <w:rFonts w:ascii="Arial" w:hAnsi="Arial"/>
          <w:sz w:val="24"/>
          <w:lang w:val="fr-CA"/>
        </w:rPr>
        <w:t xml:space="preserve">une suspension de cellules </w:t>
      </w:r>
      <w:r w:rsidR="00D8601D">
        <w:rPr>
          <w:rFonts w:ascii="Arial" w:hAnsi="Arial"/>
          <w:sz w:val="24"/>
          <w:lang w:val="fr-CA"/>
        </w:rPr>
        <w:t xml:space="preserve">du patient </w:t>
      </w:r>
      <w:r>
        <w:rPr>
          <w:rFonts w:ascii="Arial" w:hAnsi="Arial"/>
          <w:sz w:val="24"/>
          <w:lang w:val="fr-CA"/>
        </w:rPr>
        <w:t>à 3 %.</w:t>
      </w:r>
    </w:p>
    <w:p w:rsidR="00D82A02" w:rsidRDefault="00D82A02" w:rsidP="00D82A02">
      <w:pPr>
        <w:numPr>
          <w:ilvl w:val="2"/>
          <w:numId w:val="1"/>
        </w:numPr>
        <w:rPr>
          <w:rFonts w:ascii="Arial" w:hAnsi="Arial"/>
          <w:sz w:val="24"/>
          <w:lang w:val="fr-CA"/>
        </w:rPr>
      </w:pPr>
      <w:r>
        <w:rPr>
          <w:rFonts w:ascii="Arial" w:hAnsi="Arial"/>
          <w:sz w:val="24"/>
          <w:lang w:val="fr-CA"/>
        </w:rPr>
        <w:t>Comparer le nom du patient et le numéro d’identification sur tous les tubes avec les renseignements correspondants sur le formulaire de demande ou à l’écran d’ordinateur pour vérifier leur concordance</w:t>
      </w:r>
      <w:r w:rsidRPr="00D82A02">
        <w:rPr>
          <w:rFonts w:ascii="Arial" w:hAnsi="Arial"/>
          <w:sz w:val="24"/>
          <w:lang w:val="fr-CA"/>
        </w:rPr>
        <w:t xml:space="preserve"> </w:t>
      </w:r>
    </w:p>
    <w:p w:rsidR="00D82A02" w:rsidRPr="00D82A02" w:rsidRDefault="005C405B" w:rsidP="00D82A02">
      <w:pPr>
        <w:numPr>
          <w:ilvl w:val="2"/>
          <w:numId w:val="1"/>
        </w:numPr>
        <w:rPr>
          <w:rFonts w:ascii="Arial" w:hAnsi="Arial"/>
          <w:sz w:val="24"/>
          <w:lang w:val="fr-CA"/>
        </w:rPr>
      </w:pPr>
      <w:r w:rsidRPr="00D82A02">
        <w:rPr>
          <w:rFonts w:ascii="Arial" w:hAnsi="Arial"/>
          <w:sz w:val="24"/>
          <w:lang w:val="fr-CA"/>
        </w:rPr>
        <w:t>Voir AR.0</w:t>
      </w:r>
      <w:r w:rsidR="00D82A02">
        <w:rPr>
          <w:rFonts w:ascii="Arial" w:hAnsi="Arial"/>
          <w:sz w:val="24"/>
          <w:lang w:val="fr-CA"/>
        </w:rPr>
        <w:t>03</w:t>
      </w:r>
      <w:r w:rsidRPr="00D82A02">
        <w:rPr>
          <w:rFonts w:ascii="Arial" w:hAnsi="Arial"/>
          <w:sz w:val="24"/>
          <w:lang w:val="fr-CA"/>
        </w:rPr>
        <w:t xml:space="preserve"> – Préparation d’une suspension de globules rouges à 3 %.</w:t>
      </w:r>
    </w:p>
    <w:p w:rsidR="00A20DAA" w:rsidRPr="00D82A02" w:rsidRDefault="00D82A02" w:rsidP="00D82A02">
      <w:pPr>
        <w:ind w:left="1440"/>
        <w:rPr>
          <w:rFonts w:ascii="Arial" w:hAnsi="Arial"/>
          <w:i/>
          <w:sz w:val="24"/>
          <w:lang w:val="fr-CA"/>
        </w:rPr>
      </w:pPr>
      <w:r w:rsidRPr="00D82A02">
        <w:rPr>
          <w:rFonts w:ascii="Arial" w:hAnsi="Arial"/>
          <w:i/>
          <w:sz w:val="24"/>
          <w:shd w:val="clear" w:color="auto" w:fill="EEECE1"/>
          <w:lang w:val="fr-CA"/>
        </w:rPr>
        <w:t>Remarque : Il n’est pas nécessaire de pré-laver les globules rouges, toutefois, en cas de divergence, il faut laver les globules et répéter les épreuves.</w:t>
      </w:r>
    </w:p>
    <w:p w:rsidR="00A20DAA" w:rsidRDefault="00A20DAA" w:rsidP="00D82A02">
      <w:pPr>
        <w:numPr>
          <w:ilvl w:val="2"/>
          <w:numId w:val="1"/>
        </w:numPr>
        <w:rPr>
          <w:rFonts w:ascii="Arial" w:hAnsi="Arial"/>
          <w:sz w:val="24"/>
          <w:lang w:val="fr-CA"/>
        </w:rPr>
      </w:pPr>
      <w:r>
        <w:rPr>
          <w:rFonts w:ascii="Arial" w:hAnsi="Arial"/>
          <w:sz w:val="24"/>
          <w:lang w:val="fr-CA"/>
        </w:rPr>
        <w:t xml:space="preserve">Ajouter </w:t>
      </w:r>
      <w:r w:rsidR="00D82A02">
        <w:rPr>
          <w:rFonts w:ascii="Arial" w:hAnsi="Arial"/>
          <w:sz w:val="24"/>
          <w:lang w:val="fr-CA"/>
        </w:rPr>
        <w:t>1 (</w:t>
      </w:r>
      <w:r>
        <w:rPr>
          <w:rFonts w:ascii="Arial" w:hAnsi="Arial"/>
          <w:sz w:val="24"/>
          <w:lang w:val="fr-CA"/>
        </w:rPr>
        <w:t>une</w:t>
      </w:r>
      <w:r w:rsidR="00D82A02">
        <w:rPr>
          <w:rFonts w:ascii="Arial" w:hAnsi="Arial"/>
          <w:sz w:val="24"/>
          <w:lang w:val="fr-CA"/>
        </w:rPr>
        <w:t>)</w:t>
      </w:r>
      <w:r>
        <w:rPr>
          <w:rFonts w:ascii="Arial" w:hAnsi="Arial"/>
          <w:sz w:val="24"/>
          <w:lang w:val="fr-CA"/>
        </w:rPr>
        <w:t xml:space="preserve"> goutte de la suspension cellulaire à 3 % aux tubes étiquetés D</w:t>
      </w:r>
      <w:r w:rsidR="005C405B">
        <w:rPr>
          <w:rFonts w:ascii="Arial" w:hAnsi="Arial"/>
          <w:sz w:val="24"/>
          <w:lang w:val="fr-CA"/>
        </w:rPr>
        <w:t xml:space="preserve"> </w:t>
      </w:r>
      <w:r>
        <w:rPr>
          <w:rFonts w:ascii="Arial" w:hAnsi="Arial"/>
          <w:sz w:val="24"/>
          <w:lang w:val="fr-CA"/>
        </w:rPr>
        <w:t>et DT</w:t>
      </w:r>
      <w:r w:rsidR="0013684B">
        <w:rPr>
          <w:rFonts w:ascii="Arial" w:hAnsi="Arial"/>
          <w:sz w:val="24"/>
          <w:lang w:val="fr-CA"/>
        </w:rPr>
        <w:t>, le cas échéant</w:t>
      </w:r>
      <w:r>
        <w:rPr>
          <w:rFonts w:ascii="Arial" w:hAnsi="Arial"/>
          <w:sz w:val="24"/>
          <w:lang w:val="fr-CA"/>
        </w:rPr>
        <w:t>.</w:t>
      </w:r>
    </w:p>
    <w:p w:rsidR="00A20DAA" w:rsidRDefault="00A20DAA" w:rsidP="00D82A02">
      <w:pPr>
        <w:numPr>
          <w:ilvl w:val="2"/>
          <w:numId w:val="1"/>
        </w:numPr>
        <w:rPr>
          <w:rFonts w:ascii="Arial" w:hAnsi="Arial"/>
          <w:sz w:val="24"/>
          <w:lang w:val="fr-CA"/>
        </w:rPr>
      </w:pPr>
      <w:r>
        <w:rPr>
          <w:rFonts w:ascii="Arial" w:hAnsi="Arial"/>
          <w:sz w:val="24"/>
          <w:lang w:val="fr-CA"/>
        </w:rPr>
        <w:t>Mélanger tous les tubes.</w:t>
      </w:r>
    </w:p>
    <w:p w:rsidR="00A20DAA" w:rsidRPr="00D74FA1" w:rsidRDefault="00A20DAA" w:rsidP="00D82A02">
      <w:pPr>
        <w:numPr>
          <w:ilvl w:val="2"/>
          <w:numId w:val="1"/>
        </w:numPr>
        <w:rPr>
          <w:rFonts w:ascii="Arial" w:hAnsi="Arial"/>
          <w:sz w:val="24"/>
          <w:lang w:val="fr-CA"/>
        </w:rPr>
      </w:pPr>
      <w:r>
        <w:rPr>
          <w:rFonts w:ascii="Arial" w:hAnsi="Arial"/>
          <w:sz w:val="24"/>
          <w:lang w:val="fr-CA"/>
        </w:rPr>
        <w:t xml:space="preserve">Centrifuger les tubes à 3400 rpm pendant 10 à 15 secondes dans une centrifugeuse sérologique. Voir </w:t>
      </w:r>
      <w:r w:rsidRPr="00D74FA1">
        <w:rPr>
          <w:rFonts w:ascii="Arial" w:hAnsi="Arial"/>
          <w:sz w:val="24"/>
          <w:lang w:val="fr-CA"/>
        </w:rPr>
        <w:t>Remarque 8.2.</w:t>
      </w:r>
    </w:p>
    <w:p w:rsidR="00A20DAA" w:rsidRPr="00D82A02" w:rsidRDefault="00A20DAA" w:rsidP="00D82A02">
      <w:pPr>
        <w:numPr>
          <w:ilvl w:val="2"/>
          <w:numId w:val="1"/>
        </w:numPr>
        <w:rPr>
          <w:rFonts w:ascii="Arial" w:hAnsi="Arial"/>
          <w:sz w:val="24"/>
          <w:lang w:val="fr-CA"/>
        </w:rPr>
      </w:pPr>
      <w:r w:rsidRPr="00D82A02">
        <w:rPr>
          <w:rFonts w:ascii="Arial" w:hAnsi="Arial"/>
          <w:sz w:val="24"/>
          <w:lang w:val="fr-CA"/>
        </w:rPr>
        <w:t>Retirer les tubes de la centrifugeuse sérologique dans l’ordre où ils y ont été mis.</w:t>
      </w:r>
      <w:r w:rsidR="00D82A02" w:rsidRPr="00D82A02">
        <w:rPr>
          <w:rFonts w:ascii="Arial" w:hAnsi="Arial"/>
          <w:sz w:val="24"/>
          <w:lang w:val="fr-CA"/>
        </w:rPr>
        <w:t xml:space="preserve"> </w:t>
      </w:r>
      <w:r w:rsidRPr="00D82A02">
        <w:rPr>
          <w:rFonts w:ascii="Arial" w:hAnsi="Arial"/>
          <w:sz w:val="24"/>
          <w:lang w:val="fr-CA"/>
        </w:rPr>
        <w:t xml:space="preserve">Si plusieurs patients font l’objet d’une analyse, retirer les tubes d’un patient seulement. Lire et </w:t>
      </w:r>
      <w:r w:rsidR="0001728C" w:rsidRPr="00D82A02">
        <w:rPr>
          <w:rFonts w:ascii="Arial" w:hAnsi="Arial"/>
          <w:sz w:val="24"/>
          <w:lang w:val="fr-CA"/>
        </w:rPr>
        <w:t>inscrire</w:t>
      </w:r>
      <w:r w:rsidR="00D8601D" w:rsidRPr="00D82A02">
        <w:rPr>
          <w:rFonts w:ascii="Arial" w:hAnsi="Arial"/>
          <w:sz w:val="24"/>
          <w:lang w:val="fr-CA"/>
        </w:rPr>
        <w:t xml:space="preserve"> </w:t>
      </w:r>
      <w:r w:rsidRPr="00D82A02">
        <w:rPr>
          <w:rFonts w:ascii="Arial" w:hAnsi="Arial"/>
          <w:sz w:val="24"/>
          <w:lang w:val="fr-CA"/>
        </w:rPr>
        <w:t>les résultats</w:t>
      </w:r>
      <w:r w:rsidR="00D74FA1" w:rsidRPr="00D82A02">
        <w:rPr>
          <w:rFonts w:ascii="Arial" w:hAnsi="Arial"/>
          <w:sz w:val="24"/>
          <w:lang w:val="fr-CA"/>
        </w:rPr>
        <w:t xml:space="preserve">, </w:t>
      </w:r>
      <w:r w:rsidRPr="00D82A02">
        <w:rPr>
          <w:rFonts w:ascii="Arial" w:hAnsi="Arial"/>
          <w:sz w:val="24"/>
          <w:lang w:val="fr-CA"/>
        </w:rPr>
        <w:t xml:space="preserve">un patient à la fois. </w:t>
      </w:r>
      <w:r w:rsidRPr="00D82A02">
        <w:rPr>
          <w:rFonts w:ascii="Arial" w:hAnsi="Arial"/>
          <w:sz w:val="24"/>
          <w:lang w:val="fr-CA"/>
        </w:rPr>
        <w:br/>
      </w:r>
    </w:p>
    <w:p w:rsidR="00D82A02" w:rsidRDefault="00D82A02">
      <w:pPr>
        <w:numPr>
          <w:ilvl w:val="1"/>
          <w:numId w:val="1"/>
        </w:numPr>
        <w:rPr>
          <w:rFonts w:ascii="Arial" w:hAnsi="Arial"/>
          <w:sz w:val="24"/>
          <w:lang w:val="fr-CA"/>
        </w:rPr>
      </w:pPr>
      <w:r>
        <w:rPr>
          <w:rFonts w:ascii="Arial" w:hAnsi="Arial"/>
          <w:sz w:val="24"/>
          <w:lang w:val="fr-CA"/>
        </w:rPr>
        <w:t>Lecture et interprétation des résultats</w:t>
      </w:r>
    </w:p>
    <w:p w:rsidR="00A20DAA" w:rsidRDefault="00A20DAA" w:rsidP="00D82A02">
      <w:pPr>
        <w:numPr>
          <w:ilvl w:val="2"/>
          <w:numId w:val="1"/>
        </w:numPr>
        <w:rPr>
          <w:rFonts w:ascii="Arial" w:hAnsi="Arial"/>
          <w:sz w:val="24"/>
          <w:lang w:val="fr-CA"/>
        </w:rPr>
      </w:pPr>
      <w:r>
        <w:rPr>
          <w:rFonts w:ascii="Arial" w:hAnsi="Arial"/>
          <w:sz w:val="24"/>
          <w:lang w:val="fr-CA"/>
        </w:rPr>
        <w:t>Faire la lecture des résultats conformément à la procédure établie. Voir A</w:t>
      </w:r>
      <w:r w:rsidR="00D82A02">
        <w:rPr>
          <w:rFonts w:ascii="Arial" w:hAnsi="Arial"/>
          <w:sz w:val="24"/>
          <w:lang w:val="fr-CA"/>
        </w:rPr>
        <w:t>R</w:t>
      </w:r>
      <w:r>
        <w:rPr>
          <w:rFonts w:ascii="Arial" w:hAnsi="Arial"/>
          <w:sz w:val="24"/>
          <w:lang w:val="fr-CA"/>
        </w:rPr>
        <w:t>.00</w:t>
      </w:r>
      <w:r w:rsidR="00D82A02">
        <w:rPr>
          <w:rFonts w:ascii="Arial" w:hAnsi="Arial"/>
          <w:sz w:val="24"/>
          <w:lang w:val="fr-CA"/>
        </w:rPr>
        <w:t>1</w:t>
      </w:r>
      <w:r>
        <w:rPr>
          <w:rFonts w:ascii="Arial" w:hAnsi="Arial"/>
          <w:sz w:val="24"/>
          <w:lang w:val="fr-CA"/>
        </w:rPr>
        <w:t xml:space="preserve"> – Lecture et </w:t>
      </w:r>
      <w:r w:rsidR="00D84D07">
        <w:rPr>
          <w:rFonts w:ascii="Arial" w:hAnsi="Arial"/>
          <w:sz w:val="24"/>
          <w:lang w:val="fr-CA"/>
        </w:rPr>
        <w:t>inscription</w:t>
      </w:r>
      <w:r>
        <w:rPr>
          <w:rFonts w:ascii="Arial" w:hAnsi="Arial"/>
          <w:sz w:val="24"/>
          <w:lang w:val="fr-CA"/>
        </w:rPr>
        <w:t xml:space="preserve"> des réactions d’hémagglutination.</w:t>
      </w:r>
    </w:p>
    <w:p w:rsidR="00A20DAA" w:rsidRDefault="00A20DAA">
      <w:pPr>
        <w:numPr>
          <w:ilvl w:val="2"/>
          <w:numId w:val="1"/>
        </w:numPr>
        <w:rPr>
          <w:rFonts w:ascii="Arial" w:hAnsi="Arial"/>
          <w:sz w:val="24"/>
          <w:lang w:val="fr-CA"/>
        </w:rPr>
      </w:pPr>
      <w:r>
        <w:rPr>
          <w:rFonts w:ascii="Arial" w:hAnsi="Arial"/>
          <w:sz w:val="24"/>
          <w:lang w:val="fr-CA"/>
        </w:rPr>
        <w:t xml:space="preserve"> </w:t>
      </w:r>
      <w:r w:rsidR="00D8601D">
        <w:rPr>
          <w:rFonts w:ascii="Arial" w:hAnsi="Arial"/>
          <w:sz w:val="24"/>
          <w:lang w:val="fr-CA"/>
        </w:rPr>
        <w:t xml:space="preserve">Interpréter </w:t>
      </w:r>
      <w:r>
        <w:rPr>
          <w:rFonts w:ascii="Arial" w:hAnsi="Arial"/>
          <w:sz w:val="24"/>
          <w:lang w:val="fr-CA"/>
        </w:rPr>
        <w:t xml:space="preserve">et </w:t>
      </w:r>
      <w:r w:rsidR="0001728C">
        <w:rPr>
          <w:rFonts w:ascii="Arial" w:hAnsi="Arial"/>
          <w:sz w:val="24"/>
          <w:lang w:val="fr-CA"/>
        </w:rPr>
        <w:t>inscrire</w:t>
      </w:r>
      <w:r w:rsidR="00D8601D">
        <w:rPr>
          <w:rFonts w:ascii="Arial" w:hAnsi="Arial"/>
          <w:sz w:val="24"/>
          <w:lang w:val="fr-CA"/>
        </w:rPr>
        <w:t xml:space="preserve"> </w:t>
      </w:r>
      <w:r>
        <w:rPr>
          <w:rFonts w:ascii="Arial" w:hAnsi="Arial"/>
          <w:sz w:val="24"/>
          <w:lang w:val="fr-CA"/>
        </w:rPr>
        <w:t>les résultats.</w:t>
      </w:r>
    </w:p>
    <w:p w:rsidR="00A20DAA" w:rsidRDefault="00A20DAA">
      <w:pPr>
        <w:ind w:left="1440" w:firstLine="720"/>
        <w:rPr>
          <w:rFonts w:ascii="Arial" w:hAnsi="Arial"/>
          <w:sz w:val="24"/>
          <w:lang w:val="fr-CA"/>
        </w:rPr>
      </w:pPr>
      <w:r>
        <w:rPr>
          <w:rFonts w:ascii="Arial" w:hAnsi="Arial"/>
          <w:sz w:val="24"/>
          <w:lang w:val="fr-CA"/>
        </w:rPr>
        <w:t xml:space="preserve"> </w:t>
      </w:r>
    </w:p>
    <w:p w:rsidR="00D82A02" w:rsidRDefault="00D82A02">
      <w:pPr>
        <w:numPr>
          <w:ilvl w:val="1"/>
          <w:numId w:val="1"/>
        </w:numPr>
        <w:rPr>
          <w:rFonts w:ascii="Arial" w:hAnsi="Arial"/>
          <w:sz w:val="24"/>
          <w:lang w:val="fr-CA"/>
        </w:rPr>
      </w:pPr>
      <w:r>
        <w:rPr>
          <w:rFonts w:ascii="Arial" w:hAnsi="Arial"/>
          <w:sz w:val="24"/>
          <w:lang w:val="fr-CA"/>
        </w:rPr>
        <w:t>Incubation des résultats négatifs</w:t>
      </w:r>
    </w:p>
    <w:p w:rsidR="00D82A02" w:rsidRDefault="00D82A02" w:rsidP="00D82A02">
      <w:pPr>
        <w:numPr>
          <w:ilvl w:val="2"/>
          <w:numId w:val="1"/>
        </w:numPr>
        <w:rPr>
          <w:rFonts w:ascii="Arial" w:hAnsi="Arial"/>
          <w:sz w:val="24"/>
          <w:lang w:val="fr-CA"/>
        </w:rPr>
      </w:pPr>
      <w:r>
        <w:rPr>
          <w:rFonts w:ascii="Arial" w:hAnsi="Arial"/>
          <w:sz w:val="24"/>
          <w:lang w:val="fr-CA"/>
        </w:rPr>
        <w:t>Si le dépliant du fabricant le mentionne, incuber les résultats négatifs et répéter les étapes 6.5.5. à 6.6.6.</w:t>
      </w:r>
    </w:p>
    <w:p w:rsidR="00D82A02" w:rsidRDefault="00D82A02" w:rsidP="00D82A02">
      <w:pPr>
        <w:ind w:left="2160"/>
        <w:rPr>
          <w:rFonts w:ascii="Arial" w:hAnsi="Arial"/>
          <w:sz w:val="24"/>
          <w:lang w:val="fr-CA"/>
        </w:rPr>
      </w:pPr>
    </w:p>
    <w:p w:rsidR="00D82A02" w:rsidRDefault="00D8601D">
      <w:pPr>
        <w:numPr>
          <w:ilvl w:val="1"/>
          <w:numId w:val="1"/>
        </w:numPr>
        <w:rPr>
          <w:rFonts w:ascii="Arial" w:hAnsi="Arial"/>
          <w:sz w:val="24"/>
          <w:lang w:val="fr-CA"/>
        </w:rPr>
      </w:pPr>
      <w:r>
        <w:rPr>
          <w:rFonts w:ascii="Arial" w:hAnsi="Arial"/>
          <w:sz w:val="24"/>
          <w:lang w:val="fr-CA"/>
        </w:rPr>
        <w:t>Interprét</w:t>
      </w:r>
      <w:r w:rsidR="00D82A02">
        <w:rPr>
          <w:rFonts w:ascii="Arial" w:hAnsi="Arial"/>
          <w:sz w:val="24"/>
          <w:lang w:val="fr-CA"/>
        </w:rPr>
        <w:t>ation des résultats</w:t>
      </w:r>
    </w:p>
    <w:p w:rsidR="00A20DAA" w:rsidRDefault="00D82A02" w:rsidP="00D82A02">
      <w:pPr>
        <w:numPr>
          <w:ilvl w:val="2"/>
          <w:numId w:val="1"/>
        </w:numPr>
        <w:rPr>
          <w:rFonts w:ascii="Arial" w:hAnsi="Arial"/>
          <w:sz w:val="24"/>
          <w:lang w:val="fr-CA"/>
        </w:rPr>
      </w:pPr>
      <w:r>
        <w:rPr>
          <w:rFonts w:ascii="Arial" w:hAnsi="Arial"/>
          <w:sz w:val="24"/>
          <w:lang w:val="fr-CA"/>
        </w:rPr>
        <w:t xml:space="preserve">Interpréter </w:t>
      </w:r>
      <w:r w:rsidR="00A20DAA">
        <w:rPr>
          <w:rFonts w:ascii="Arial" w:hAnsi="Arial"/>
          <w:sz w:val="24"/>
          <w:lang w:val="fr-CA"/>
        </w:rPr>
        <w:t>le facteur Rh. Voir 7.0 – Documentation.</w:t>
      </w:r>
    </w:p>
    <w:p w:rsidR="00A20DAA" w:rsidRDefault="00064B3E" w:rsidP="00323FE1">
      <w:pPr>
        <w:numPr>
          <w:ilvl w:val="2"/>
          <w:numId w:val="1"/>
        </w:numPr>
        <w:tabs>
          <w:tab w:val="clear" w:pos="2160"/>
        </w:tabs>
        <w:ind w:left="2127" w:hanging="687"/>
        <w:rPr>
          <w:rFonts w:ascii="Arial" w:hAnsi="Arial"/>
          <w:sz w:val="24"/>
          <w:lang w:val="fr-CA"/>
        </w:rPr>
      </w:pPr>
      <w:r>
        <w:rPr>
          <w:rFonts w:ascii="Arial" w:hAnsi="Arial"/>
          <w:sz w:val="24"/>
          <w:lang w:val="fr-CA"/>
        </w:rPr>
        <w:t>Comparer le groupe Rh obtenu avec celui de l’interprétation Rh précédente (historique), si possible</w:t>
      </w:r>
      <w:r w:rsidR="00163FAC">
        <w:rPr>
          <w:rFonts w:ascii="Arial" w:hAnsi="Arial"/>
          <w:sz w:val="24"/>
          <w:lang w:val="fr-CA"/>
        </w:rPr>
        <w:t>.</w:t>
      </w:r>
      <w:r w:rsidR="00163FAC" w:rsidRPr="00163FAC">
        <w:rPr>
          <w:rFonts w:ascii="Arial" w:hAnsi="Arial"/>
          <w:sz w:val="24"/>
          <w:lang w:val="fr-CA"/>
        </w:rPr>
        <w:t xml:space="preserve"> </w:t>
      </w:r>
      <w:r w:rsidR="00163FAC">
        <w:rPr>
          <w:rFonts w:ascii="Arial" w:hAnsi="Arial"/>
          <w:sz w:val="24"/>
          <w:lang w:val="fr-CA"/>
        </w:rPr>
        <w:t>En cas de divergence, voir EC.004 – Résolution de problèmes relatifs à la détermination du facteur Rh</w:t>
      </w:r>
    </w:p>
    <w:p w:rsidR="00163FAC" w:rsidRDefault="00163FAC" w:rsidP="005E57BF">
      <w:pPr>
        <w:ind w:left="1440"/>
        <w:rPr>
          <w:rFonts w:ascii="Arial" w:hAnsi="Arial"/>
          <w:sz w:val="24"/>
          <w:lang w:val="fr-CA"/>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300"/>
      </w:tblGrid>
      <w:tr w:rsidR="00163FAC" w:rsidRPr="00CC71BD" w:rsidTr="00CC71BD">
        <w:tc>
          <w:tcPr>
            <w:tcW w:w="4390" w:type="dxa"/>
            <w:shd w:val="clear" w:color="auto" w:fill="DDD9C3"/>
          </w:tcPr>
          <w:p w:rsidR="00163FAC" w:rsidRPr="00CC71BD" w:rsidRDefault="00163FAC" w:rsidP="00323FE1">
            <w:pPr>
              <w:rPr>
                <w:rFonts w:ascii="Arial" w:hAnsi="Arial"/>
                <w:sz w:val="24"/>
                <w:lang w:val="fr-CA"/>
              </w:rPr>
            </w:pPr>
            <w:r w:rsidRPr="00CC71BD">
              <w:rPr>
                <w:rFonts w:ascii="Arial" w:hAnsi="Arial"/>
                <w:sz w:val="24"/>
                <w:lang w:val="fr-CA"/>
              </w:rPr>
              <w:t>Si…,</w:t>
            </w:r>
          </w:p>
        </w:tc>
        <w:tc>
          <w:tcPr>
            <w:tcW w:w="4390" w:type="dxa"/>
            <w:shd w:val="clear" w:color="auto" w:fill="DDD9C3"/>
          </w:tcPr>
          <w:p w:rsidR="00163FAC" w:rsidRPr="00CC71BD" w:rsidRDefault="00163FAC" w:rsidP="00163FAC">
            <w:pPr>
              <w:rPr>
                <w:rFonts w:ascii="Arial" w:hAnsi="Arial"/>
                <w:sz w:val="24"/>
                <w:lang w:val="fr-CA"/>
              </w:rPr>
            </w:pPr>
            <w:r w:rsidRPr="00CC71BD">
              <w:rPr>
                <w:rFonts w:ascii="Arial" w:hAnsi="Arial"/>
                <w:sz w:val="24"/>
                <w:lang w:val="fr-CA"/>
              </w:rPr>
              <w:t>vous devez</w:t>
            </w:r>
          </w:p>
        </w:tc>
      </w:tr>
      <w:tr w:rsidR="00163FAC" w:rsidRPr="00CC71BD" w:rsidTr="00CC71BD">
        <w:tc>
          <w:tcPr>
            <w:tcW w:w="4390" w:type="dxa"/>
          </w:tcPr>
          <w:p w:rsidR="00163FAC" w:rsidRPr="00CC71BD" w:rsidRDefault="00163FAC" w:rsidP="00323FE1">
            <w:pPr>
              <w:rPr>
                <w:rFonts w:ascii="Arial" w:hAnsi="Arial"/>
                <w:sz w:val="24"/>
                <w:lang w:val="fr-CA"/>
              </w:rPr>
            </w:pPr>
            <w:r w:rsidRPr="00CC71BD">
              <w:rPr>
                <w:rFonts w:ascii="Arial" w:hAnsi="Arial"/>
                <w:sz w:val="24"/>
                <w:lang w:val="fr-CA"/>
              </w:rPr>
              <w:t>les cellules du patient réagissent tel que décrit à 7.0 –Documentation</w:t>
            </w:r>
          </w:p>
        </w:tc>
        <w:tc>
          <w:tcPr>
            <w:tcW w:w="4390" w:type="dxa"/>
          </w:tcPr>
          <w:p w:rsidR="00163FAC" w:rsidRPr="00CC71BD" w:rsidRDefault="00163FAC" w:rsidP="00323FE1">
            <w:pPr>
              <w:rPr>
                <w:rFonts w:ascii="Arial" w:hAnsi="Arial"/>
                <w:sz w:val="24"/>
                <w:lang w:val="fr-CA"/>
              </w:rPr>
            </w:pPr>
            <w:r w:rsidRPr="00CC71BD">
              <w:rPr>
                <w:rFonts w:ascii="Arial" w:hAnsi="Arial"/>
                <w:sz w:val="24"/>
                <w:lang w:val="fr-CA"/>
              </w:rPr>
              <w:t>inscrire l’interprétation du facteur Rh sur le formulaire de demande ou à l’ordinateur selon la procédure établie.</w:t>
            </w:r>
          </w:p>
        </w:tc>
      </w:tr>
      <w:tr w:rsidR="00163FAC" w:rsidRPr="00CC71BD" w:rsidTr="00CC71BD">
        <w:tc>
          <w:tcPr>
            <w:tcW w:w="4390" w:type="dxa"/>
          </w:tcPr>
          <w:p w:rsidR="00163FAC" w:rsidRPr="00CC71BD" w:rsidRDefault="00163FAC" w:rsidP="00323FE1">
            <w:pPr>
              <w:rPr>
                <w:rFonts w:ascii="Arial" w:hAnsi="Arial"/>
                <w:sz w:val="24"/>
                <w:lang w:val="fr-CA"/>
              </w:rPr>
            </w:pPr>
            <w:r w:rsidRPr="00CC71BD">
              <w:rPr>
                <w:rFonts w:ascii="Arial" w:hAnsi="Arial"/>
                <w:sz w:val="24"/>
                <w:lang w:val="fr-CA"/>
              </w:rPr>
              <w:t>les cellules du patient ne réagissent pas tel que décrit en 7.0 – Documentation</w:t>
            </w:r>
          </w:p>
        </w:tc>
        <w:tc>
          <w:tcPr>
            <w:tcW w:w="4390" w:type="dxa"/>
          </w:tcPr>
          <w:p w:rsidR="00163FAC" w:rsidRPr="00CC71BD" w:rsidRDefault="005E57BF" w:rsidP="00323FE1">
            <w:pPr>
              <w:rPr>
                <w:rFonts w:ascii="Arial" w:hAnsi="Arial"/>
                <w:sz w:val="24"/>
                <w:lang w:val="fr-CA"/>
              </w:rPr>
            </w:pPr>
            <w:r w:rsidRPr="00CC71BD">
              <w:rPr>
                <w:rFonts w:ascii="Arial" w:hAnsi="Arial"/>
                <w:sz w:val="24"/>
                <w:lang w:val="fr-CA"/>
              </w:rPr>
              <w:t xml:space="preserve">résoudre la divergence avant d’inscrire le type de facteur Rh. </w:t>
            </w:r>
            <w:r w:rsidRPr="001A4B9C">
              <w:rPr>
                <w:rFonts w:ascii="Arial" w:hAnsi="Arial"/>
                <w:sz w:val="24"/>
                <w:lang w:val="fr-CA"/>
              </w:rPr>
              <w:t>Voir EC.004 – Résolution de problèmes</w:t>
            </w:r>
            <w:bookmarkStart w:id="1" w:name="OLE_LINK1"/>
            <w:r w:rsidRPr="001A4B9C">
              <w:rPr>
                <w:rFonts w:ascii="Arial" w:hAnsi="Arial"/>
                <w:sz w:val="24"/>
                <w:lang w:val="fr-CA"/>
              </w:rPr>
              <w:t xml:space="preserve"> liés à la détermination du facteur Rh</w:t>
            </w:r>
            <w:bookmarkEnd w:id="1"/>
            <w:r w:rsidRPr="00CC71BD">
              <w:rPr>
                <w:rFonts w:ascii="Arial" w:hAnsi="Arial"/>
                <w:sz w:val="24"/>
                <w:lang w:val="fr-CA"/>
              </w:rPr>
              <w:t>. S’il faut immédiatement des produits sanguins compatibles, avant que la divergence ait pu être résolue, choisir seulement des globules rouges Rh négatif jusqu’à la résolution du problème.</w:t>
            </w:r>
          </w:p>
          <w:p w:rsidR="005E57BF" w:rsidRPr="00CC71BD" w:rsidRDefault="005E57BF" w:rsidP="00323FE1">
            <w:pPr>
              <w:rPr>
                <w:rFonts w:ascii="Arial" w:hAnsi="Arial"/>
                <w:sz w:val="24"/>
                <w:lang w:val="fr-CA"/>
              </w:rPr>
            </w:pPr>
          </w:p>
          <w:p w:rsidR="005E57BF" w:rsidRPr="00CC71BD" w:rsidRDefault="005E57BF" w:rsidP="00323FE1">
            <w:pPr>
              <w:rPr>
                <w:rFonts w:ascii="Arial" w:hAnsi="Arial"/>
                <w:sz w:val="24"/>
                <w:lang w:val="fr-CA"/>
              </w:rPr>
            </w:pPr>
            <w:r w:rsidRPr="00CC71BD">
              <w:rPr>
                <w:rFonts w:ascii="Arial" w:hAnsi="Arial"/>
                <w:sz w:val="24"/>
                <w:lang w:val="fr-CA"/>
              </w:rPr>
              <w:t>Voir Portée et politiques connexes 2.2 et Contrôle de la qualité 5.2</w:t>
            </w:r>
          </w:p>
          <w:p w:rsidR="005E57BF" w:rsidRPr="00CC71BD" w:rsidRDefault="005E57BF" w:rsidP="00323FE1">
            <w:pPr>
              <w:rPr>
                <w:rFonts w:ascii="Arial" w:hAnsi="Arial"/>
                <w:sz w:val="24"/>
                <w:lang w:val="fr-CA"/>
              </w:rPr>
            </w:pPr>
          </w:p>
        </w:tc>
      </w:tr>
    </w:tbl>
    <w:p w:rsidR="00A20DAA" w:rsidRDefault="00A20DAA">
      <w:pPr>
        <w:ind w:left="2355"/>
        <w:rPr>
          <w:rFonts w:ascii="Arial" w:hAnsi="Arial"/>
          <w:sz w:val="24"/>
          <w:lang w:val="fr-CA"/>
        </w:rPr>
      </w:pPr>
    </w:p>
    <w:p w:rsidR="00A20DAA" w:rsidRDefault="00064B3E">
      <w:pPr>
        <w:numPr>
          <w:ilvl w:val="1"/>
          <w:numId w:val="1"/>
        </w:numPr>
        <w:rPr>
          <w:rFonts w:ascii="Arial" w:hAnsi="Arial"/>
          <w:sz w:val="24"/>
          <w:lang w:val="fr-CA"/>
        </w:rPr>
      </w:pPr>
      <w:r>
        <w:rPr>
          <w:rFonts w:ascii="Arial" w:hAnsi="Arial"/>
          <w:sz w:val="24"/>
          <w:lang w:val="fr-CA"/>
        </w:rPr>
        <w:t>Vérification</w:t>
      </w:r>
    </w:p>
    <w:p w:rsidR="00A20DAA" w:rsidRDefault="00A20DAA" w:rsidP="00064B3E">
      <w:pPr>
        <w:numPr>
          <w:ilvl w:val="2"/>
          <w:numId w:val="1"/>
        </w:numPr>
        <w:rPr>
          <w:rFonts w:ascii="Arial" w:hAnsi="Arial"/>
          <w:sz w:val="24"/>
          <w:lang w:val="fr-CA"/>
        </w:rPr>
      </w:pPr>
      <w:r>
        <w:rPr>
          <w:rFonts w:ascii="Arial" w:hAnsi="Arial"/>
          <w:sz w:val="24"/>
          <w:lang w:val="fr-CA"/>
        </w:rPr>
        <w:t>Une fois la procédure terminée, il faut procéder à une vérification</w:t>
      </w:r>
      <w:r w:rsidR="005C405B">
        <w:rPr>
          <w:rFonts w:ascii="Arial" w:hAnsi="Arial"/>
          <w:sz w:val="24"/>
          <w:lang w:val="fr-CA"/>
        </w:rPr>
        <w:t xml:space="preserve"> </w:t>
      </w:r>
      <w:r>
        <w:rPr>
          <w:rFonts w:ascii="Arial" w:hAnsi="Arial"/>
          <w:sz w:val="24"/>
          <w:lang w:val="fr-CA"/>
        </w:rPr>
        <w:t>des éléments suivants :</w:t>
      </w:r>
    </w:p>
    <w:p w:rsidR="00A20DAA" w:rsidRDefault="00A20DAA" w:rsidP="00064B3E">
      <w:pPr>
        <w:numPr>
          <w:ilvl w:val="0"/>
          <w:numId w:val="2"/>
        </w:numPr>
        <w:tabs>
          <w:tab w:val="num" w:pos="2520"/>
        </w:tabs>
        <w:ind w:left="2520"/>
        <w:rPr>
          <w:rFonts w:ascii="Arial" w:hAnsi="Arial"/>
          <w:sz w:val="24"/>
          <w:lang w:val="fr-CA"/>
        </w:rPr>
      </w:pPr>
      <w:r>
        <w:rPr>
          <w:rFonts w:ascii="Arial" w:hAnsi="Arial"/>
          <w:sz w:val="24"/>
          <w:lang w:val="fr-CA"/>
        </w:rPr>
        <w:t xml:space="preserve">Le nom du patient et le numéro d’identification sont identiques sur tous les échantillons et sur le formulaire de demande. </w:t>
      </w:r>
    </w:p>
    <w:p w:rsidR="00064B3E" w:rsidRDefault="00A20DAA" w:rsidP="00064B3E">
      <w:pPr>
        <w:numPr>
          <w:ilvl w:val="0"/>
          <w:numId w:val="2"/>
        </w:numPr>
        <w:tabs>
          <w:tab w:val="clear" w:pos="2487"/>
          <w:tab w:val="num" w:pos="2520"/>
          <w:tab w:val="num" w:pos="2847"/>
        </w:tabs>
        <w:ind w:left="2520"/>
        <w:rPr>
          <w:rFonts w:ascii="Arial" w:hAnsi="Arial"/>
          <w:sz w:val="24"/>
          <w:lang w:val="fr-CA"/>
        </w:rPr>
      </w:pPr>
      <w:r w:rsidRPr="00064B3E">
        <w:rPr>
          <w:rFonts w:ascii="Arial" w:hAnsi="Arial"/>
          <w:sz w:val="24"/>
          <w:lang w:val="fr-CA"/>
        </w:rPr>
        <w:t>Le nom du patient est identique sur tous les tubes et sur le formulaire de demande.</w:t>
      </w:r>
    </w:p>
    <w:p w:rsidR="00A20DAA" w:rsidRPr="00064B3E" w:rsidRDefault="00A20DAA" w:rsidP="00064B3E">
      <w:pPr>
        <w:numPr>
          <w:ilvl w:val="0"/>
          <w:numId w:val="2"/>
        </w:numPr>
        <w:tabs>
          <w:tab w:val="clear" w:pos="2487"/>
          <w:tab w:val="num" w:pos="2520"/>
          <w:tab w:val="num" w:pos="2847"/>
        </w:tabs>
        <w:ind w:left="2520"/>
        <w:rPr>
          <w:rFonts w:ascii="Arial" w:hAnsi="Arial"/>
          <w:sz w:val="24"/>
          <w:lang w:val="fr-CA"/>
        </w:rPr>
      </w:pPr>
      <w:r w:rsidRPr="00064B3E">
        <w:rPr>
          <w:rFonts w:ascii="Arial" w:hAnsi="Arial"/>
          <w:sz w:val="24"/>
          <w:lang w:val="fr-CA"/>
        </w:rPr>
        <w:t>Les résultats ont été interprétés correctement.</w:t>
      </w:r>
    </w:p>
    <w:p w:rsidR="00A20DAA" w:rsidRDefault="00A20DAA">
      <w:pPr>
        <w:ind w:left="1440"/>
        <w:rPr>
          <w:rFonts w:ascii="Arial" w:hAnsi="Arial"/>
          <w:sz w:val="24"/>
          <w:lang w:val="fr-CA"/>
        </w:rPr>
      </w:pPr>
    </w:p>
    <w:p w:rsidR="005E57BF" w:rsidRDefault="005E57BF">
      <w:pPr>
        <w:numPr>
          <w:ilvl w:val="1"/>
          <w:numId w:val="1"/>
        </w:numPr>
        <w:rPr>
          <w:rFonts w:ascii="Arial" w:hAnsi="Arial"/>
          <w:sz w:val="24"/>
          <w:lang w:val="fr-CA"/>
        </w:rPr>
      </w:pPr>
      <w:r>
        <w:rPr>
          <w:rFonts w:ascii="Arial" w:hAnsi="Arial"/>
          <w:sz w:val="24"/>
          <w:lang w:val="fr-CA"/>
        </w:rPr>
        <w:t>Conclusion de la procédure</w:t>
      </w:r>
    </w:p>
    <w:p w:rsidR="005E57BF" w:rsidRDefault="00A20DAA" w:rsidP="005E57BF">
      <w:pPr>
        <w:numPr>
          <w:ilvl w:val="2"/>
          <w:numId w:val="1"/>
        </w:numPr>
        <w:rPr>
          <w:rFonts w:ascii="Arial" w:hAnsi="Arial"/>
          <w:sz w:val="24"/>
          <w:lang w:val="fr-CA"/>
        </w:rPr>
      </w:pPr>
      <w:r w:rsidRPr="005E57BF">
        <w:rPr>
          <w:rFonts w:ascii="Arial" w:hAnsi="Arial"/>
          <w:sz w:val="24"/>
          <w:lang w:val="fr-CA"/>
        </w:rPr>
        <w:t xml:space="preserve">Mettre ses initiales ou signer et </w:t>
      </w:r>
      <w:r w:rsidR="00323FE1" w:rsidRPr="005E57BF">
        <w:rPr>
          <w:rFonts w:ascii="Arial" w:hAnsi="Arial"/>
          <w:sz w:val="24"/>
          <w:lang w:val="fr-CA"/>
        </w:rPr>
        <w:t>inscrire</w:t>
      </w:r>
      <w:r w:rsidR="008965B1" w:rsidRPr="005E57BF">
        <w:rPr>
          <w:rFonts w:ascii="Arial" w:hAnsi="Arial"/>
          <w:sz w:val="24"/>
          <w:lang w:val="fr-CA"/>
        </w:rPr>
        <w:t xml:space="preserve"> </w:t>
      </w:r>
      <w:r w:rsidRPr="005E57BF">
        <w:rPr>
          <w:rFonts w:ascii="Arial" w:hAnsi="Arial"/>
          <w:sz w:val="24"/>
          <w:lang w:val="fr-CA"/>
        </w:rPr>
        <w:t>l’heure et la date de la conclusion de l’épreuve sur le formulaire de demande ou à l’ordinateur.</w:t>
      </w:r>
    </w:p>
    <w:p w:rsidR="00A20DAA" w:rsidRPr="005E57BF" w:rsidRDefault="005C405B" w:rsidP="005E57BF">
      <w:pPr>
        <w:numPr>
          <w:ilvl w:val="2"/>
          <w:numId w:val="1"/>
        </w:numPr>
        <w:rPr>
          <w:rFonts w:ascii="Arial" w:hAnsi="Arial"/>
          <w:sz w:val="24"/>
          <w:lang w:val="fr-CA"/>
        </w:rPr>
      </w:pPr>
      <w:r w:rsidRPr="005E57BF">
        <w:rPr>
          <w:rFonts w:ascii="Arial" w:hAnsi="Arial"/>
          <w:sz w:val="24"/>
          <w:lang w:val="fr-CA"/>
        </w:rPr>
        <w:t>Noter que les résultats ont été vérifiés. Voir 7.0 Documentation.</w:t>
      </w:r>
      <w:r w:rsidRPr="005E57BF">
        <w:rPr>
          <w:rFonts w:ascii="Arial" w:hAnsi="Arial"/>
          <w:sz w:val="24"/>
          <w:lang w:val="fr-CA"/>
        </w:rPr>
        <w:br/>
      </w:r>
    </w:p>
    <w:p w:rsidR="00A20DAA" w:rsidRDefault="00A20DAA">
      <w:pPr>
        <w:numPr>
          <w:ilvl w:val="0"/>
          <w:numId w:val="1"/>
        </w:numPr>
        <w:rPr>
          <w:rFonts w:ascii="Arial" w:hAnsi="Arial"/>
          <w:b/>
          <w:sz w:val="28"/>
          <w:lang w:val="fr-CA"/>
        </w:rPr>
      </w:pPr>
      <w:r>
        <w:rPr>
          <w:rFonts w:ascii="Arial" w:hAnsi="Arial"/>
          <w:b/>
          <w:sz w:val="28"/>
          <w:lang w:val="fr-CA"/>
        </w:rPr>
        <w:t>Documentation</w:t>
      </w:r>
    </w:p>
    <w:p w:rsidR="00A20DAA" w:rsidRDefault="00A20DAA">
      <w:pPr>
        <w:rPr>
          <w:rFonts w:ascii="Arial" w:hAnsi="Arial"/>
          <w:sz w:val="24"/>
          <w:lang w:val="fr-CA"/>
        </w:rPr>
      </w:pPr>
    </w:p>
    <w:p w:rsidR="00A20DAA" w:rsidRPr="005C405B" w:rsidRDefault="00A20DAA">
      <w:pPr>
        <w:numPr>
          <w:ilvl w:val="1"/>
          <w:numId w:val="1"/>
        </w:numPr>
        <w:rPr>
          <w:rFonts w:ascii="Arial" w:hAnsi="Arial"/>
          <w:sz w:val="24"/>
          <w:lang w:val="fr-CA"/>
        </w:rPr>
      </w:pPr>
      <w:r>
        <w:rPr>
          <w:rFonts w:ascii="Arial" w:hAnsi="Arial"/>
          <w:sz w:val="24"/>
          <w:lang w:val="fr-CA"/>
        </w:rPr>
        <w:t xml:space="preserve">Pour </w:t>
      </w:r>
      <w:r w:rsidR="00CA4A11">
        <w:rPr>
          <w:rFonts w:ascii="Arial" w:hAnsi="Arial"/>
          <w:sz w:val="24"/>
          <w:lang w:val="fr-CA"/>
        </w:rPr>
        <w:t xml:space="preserve">que le </w:t>
      </w:r>
      <w:r>
        <w:rPr>
          <w:rFonts w:ascii="Arial" w:hAnsi="Arial"/>
          <w:sz w:val="24"/>
          <w:lang w:val="fr-CA"/>
        </w:rPr>
        <w:t xml:space="preserve">groupe Rh </w:t>
      </w:r>
      <w:r w:rsidR="00CA4A11">
        <w:rPr>
          <w:rFonts w:ascii="Arial" w:hAnsi="Arial"/>
          <w:sz w:val="24"/>
          <w:lang w:val="fr-CA"/>
        </w:rPr>
        <w:t xml:space="preserve">soit </w:t>
      </w:r>
      <w:r>
        <w:rPr>
          <w:rFonts w:ascii="Arial" w:hAnsi="Arial"/>
          <w:sz w:val="24"/>
          <w:lang w:val="fr-CA"/>
        </w:rPr>
        <w:t xml:space="preserve">valide, </w:t>
      </w:r>
      <w:r w:rsidRPr="005C405B">
        <w:rPr>
          <w:rFonts w:ascii="Arial" w:hAnsi="Arial"/>
          <w:bCs/>
          <w:sz w:val="24"/>
          <w:lang w:val="fr-CA"/>
        </w:rPr>
        <w:t xml:space="preserve">le résultat du tube </w:t>
      </w:r>
      <w:r w:rsidR="002E6A5B">
        <w:rPr>
          <w:rFonts w:ascii="Arial" w:hAnsi="Arial"/>
          <w:bCs/>
          <w:sz w:val="24"/>
          <w:lang w:val="fr-CA"/>
        </w:rPr>
        <w:t>témoin</w:t>
      </w:r>
      <w:r w:rsidRPr="005C405B">
        <w:rPr>
          <w:rFonts w:ascii="Arial" w:hAnsi="Arial"/>
          <w:bCs/>
          <w:sz w:val="24"/>
          <w:lang w:val="fr-CA"/>
        </w:rPr>
        <w:t xml:space="preserve"> doit être négatif</w:t>
      </w:r>
      <w:r w:rsidRPr="005C405B">
        <w:rPr>
          <w:rFonts w:ascii="Arial" w:hAnsi="Arial"/>
          <w:sz w:val="24"/>
          <w:lang w:val="fr-CA"/>
        </w:rPr>
        <w:t>. Le groupe Rh doit être documenté comme suit :</w:t>
      </w:r>
    </w:p>
    <w:p w:rsidR="00A20DAA" w:rsidRDefault="00A20DAA">
      <w:pPr>
        <w:ind w:left="720"/>
        <w:rPr>
          <w:rFonts w:ascii="Arial" w:hAnsi="Arial"/>
          <w:sz w:val="24"/>
          <w:lang w:val="fr-CA"/>
        </w:rPr>
      </w:pPr>
    </w:p>
    <w:p w:rsidR="00A20DAA" w:rsidRDefault="00323FE1">
      <w:pPr>
        <w:numPr>
          <w:ilvl w:val="2"/>
          <w:numId w:val="1"/>
        </w:numPr>
        <w:rPr>
          <w:rFonts w:ascii="Arial" w:hAnsi="Arial"/>
          <w:sz w:val="24"/>
          <w:lang w:val="fr-CA"/>
        </w:rPr>
      </w:pPr>
      <w:r>
        <w:rPr>
          <w:rFonts w:ascii="Arial" w:hAnsi="Arial"/>
          <w:sz w:val="24"/>
          <w:lang w:val="fr-CA"/>
        </w:rPr>
        <w:t>Une a</w:t>
      </w:r>
      <w:r w:rsidR="00A20DAA">
        <w:rPr>
          <w:rFonts w:ascii="Arial" w:hAnsi="Arial"/>
          <w:sz w:val="24"/>
          <w:lang w:val="fr-CA"/>
        </w:rPr>
        <w:t>gglutination (</w:t>
      </w:r>
      <w:r w:rsidR="008965B1">
        <w:rPr>
          <w:rFonts w:ascii="Arial" w:hAnsi="Arial"/>
          <w:sz w:val="24"/>
          <w:lang w:val="fr-CA"/>
        </w:rPr>
        <w:t>+2 ou plus grand</w:t>
      </w:r>
      <w:r w:rsidR="00A20DAA">
        <w:rPr>
          <w:rFonts w:ascii="Arial" w:hAnsi="Arial"/>
          <w:sz w:val="24"/>
          <w:lang w:val="fr-CA"/>
        </w:rPr>
        <w:t xml:space="preserve">) avec </w:t>
      </w:r>
      <w:r w:rsidR="00A20DAA" w:rsidRPr="008965B1">
        <w:rPr>
          <w:rFonts w:ascii="Arial" w:hAnsi="Arial"/>
          <w:sz w:val="24"/>
          <w:lang w:val="fr-CA"/>
        </w:rPr>
        <w:t>un</w:t>
      </w:r>
      <w:r w:rsidR="00A20DAA">
        <w:rPr>
          <w:rFonts w:ascii="Arial" w:hAnsi="Arial"/>
          <w:sz w:val="24"/>
          <w:lang w:val="fr-CA"/>
        </w:rPr>
        <w:t xml:space="preserve"> anti-D indique la présence de l’antigène D. </w:t>
      </w:r>
      <w:r w:rsidR="0001728C">
        <w:rPr>
          <w:rFonts w:ascii="Arial" w:hAnsi="Arial"/>
          <w:sz w:val="24"/>
          <w:lang w:val="fr-CA"/>
        </w:rPr>
        <w:t>Inscrire</w:t>
      </w:r>
      <w:r w:rsidR="00A20DAA">
        <w:rPr>
          <w:rFonts w:ascii="Arial" w:hAnsi="Arial"/>
          <w:sz w:val="24"/>
          <w:lang w:val="fr-CA"/>
        </w:rPr>
        <w:t xml:space="preserve"> comme </w:t>
      </w:r>
      <w:r w:rsidR="005C405B">
        <w:rPr>
          <w:rFonts w:ascii="Arial" w:hAnsi="Arial"/>
          <w:sz w:val="24"/>
          <w:lang w:val="fr-CA"/>
        </w:rPr>
        <w:t xml:space="preserve">étant </w:t>
      </w:r>
      <w:r w:rsidR="00A20DAA">
        <w:rPr>
          <w:rFonts w:ascii="Arial" w:hAnsi="Arial"/>
          <w:sz w:val="24"/>
          <w:lang w:val="fr-CA"/>
        </w:rPr>
        <w:t>Rh positif</w:t>
      </w:r>
      <w:r w:rsidR="005C405B" w:rsidRPr="005C405B">
        <w:rPr>
          <w:rFonts w:ascii="Arial" w:hAnsi="Arial"/>
          <w:sz w:val="24"/>
          <w:vertAlign w:val="superscript"/>
          <w:lang w:val="fr-CA"/>
        </w:rPr>
        <w:t>9.4</w:t>
      </w:r>
      <w:r w:rsidR="00A20DAA">
        <w:rPr>
          <w:rFonts w:ascii="Arial" w:hAnsi="Arial"/>
          <w:sz w:val="24"/>
          <w:lang w:val="fr-CA"/>
        </w:rPr>
        <w:t>.</w:t>
      </w:r>
    </w:p>
    <w:p w:rsidR="00A20DAA" w:rsidRDefault="00A20DAA">
      <w:pPr>
        <w:ind w:left="1440"/>
        <w:rPr>
          <w:rFonts w:ascii="Arial" w:hAnsi="Arial"/>
          <w:sz w:val="24"/>
          <w:lang w:val="fr-CA"/>
        </w:rPr>
      </w:pPr>
    </w:p>
    <w:p w:rsidR="00A20DAA" w:rsidRDefault="00A20DAA">
      <w:pPr>
        <w:numPr>
          <w:ilvl w:val="2"/>
          <w:numId w:val="1"/>
        </w:numPr>
        <w:rPr>
          <w:rFonts w:ascii="Arial" w:hAnsi="Arial"/>
          <w:sz w:val="24"/>
          <w:lang w:val="fr-CA"/>
        </w:rPr>
      </w:pPr>
      <w:r>
        <w:rPr>
          <w:rFonts w:ascii="Arial" w:hAnsi="Arial"/>
          <w:sz w:val="24"/>
          <w:lang w:val="fr-CA"/>
        </w:rPr>
        <w:t xml:space="preserve">Aucune agglutination avec l’anti-D indique l’absence de l’antigène D. </w:t>
      </w:r>
      <w:r w:rsidR="0001728C">
        <w:rPr>
          <w:rFonts w:ascii="Arial" w:hAnsi="Arial"/>
          <w:sz w:val="24"/>
          <w:lang w:val="fr-CA"/>
        </w:rPr>
        <w:t>Inscrire</w:t>
      </w:r>
      <w:r>
        <w:rPr>
          <w:rFonts w:ascii="Arial" w:hAnsi="Arial"/>
          <w:sz w:val="24"/>
          <w:lang w:val="fr-CA"/>
        </w:rPr>
        <w:t xml:space="preserve"> comme </w:t>
      </w:r>
      <w:r w:rsidR="005C405B">
        <w:rPr>
          <w:rFonts w:ascii="Arial" w:hAnsi="Arial"/>
          <w:sz w:val="24"/>
          <w:lang w:val="fr-CA"/>
        </w:rPr>
        <w:t xml:space="preserve">étant </w:t>
      </w:r>
      <w:r>
        <w:rPr>
          <w:rFonts w:ascii="Arial" w:hAnsi="Arial"/>
          <w:sz w:val="24"/>
          <w:lang w:val="fr-CA"/>
        </w:rPr>
        <w:t>Rh négatif.</w:t>
      </w:r>
    </w:p>
    <w:p w:rsidR="00A20DAA" w:rsidRDefault="00A20DAA">
      <w:pPr>
        <w:ind w:left="2160"/>
        <w:rPr>
          <w:rFonts w:ascii="Arial" w:hAnsi="Arial"/>
          <w:sz w:val="24"/>
          <w:lang w:val="fr-CA"/>
        </w:rPr>
      </w:pPr>
    </w:p>
    <w:p w:rsidR="00A20DAA" w:rsidRPr="005C405B" w:rsidRDefault="00A20DAA">
      <w:pPr>
        <w:numPr>
          <w:ilvl w:val="1"/>
          <w:numId w:val="1"/>
        </w:numPr>
        <w:rPr>
          <w:rFonts w:ascii="Arial" w:hAnsi="Arial"/>
          <w:sz w:val="24"/>
          <w:lang w:val="fr-CA"/>
        </w:rPr>
      </w:pPr>
      <w:r w:rsidRPr="005C405B">
        <w:rPr>
          <w:rFonts w:ascii="Arial" w:hAnsi="Arial"/>
          <w:sz w:val="24"/>
          <w:lang w:val="fr-CA"/>
        </w:rPr>
        <w:t xml:space="preserve">Si le </w:t>
      </w:r>
      <w:r w:rsidR="002E6A5B">
        <w:rPr>
          <w:rFonts w:ascii="Arial" w:hAnsi="Arial"/>
          <w:sz w:val="24"/>
          <w:lang w:val="fr-CA"/>
        </w:rPr>
        <w:t>témoin</w:t>
      </w:r>
      <w:r w:rsidRPr="005C405B">
        <w:rPr>
          <w:rFonts w:ascii="Arial" w:hAnsi="Arial"/>
          <w:sz w:val="24"/>
          <w:lang w:val="fr-CA"/>
        </w:rPr>
        <w:t xml:space="preserve"> est positif ou si la réaction avec l’anti-D est faible ou +1, ne pas </w:t>
      </w:r>
      <w:r w:rsidR="0001728C" w:rsidRPr="005C405B">
        <w:rPr>
          <w:rFonts w:ascii="Arial" w:hAnsi="Arial"/>
          <w:sz w:val="24"/>
          <w:lang w:val="fr-CA"/>
        </w:rPr>
        <w:t>inscrire</w:t>
      </w:r>
      <w:r w:rsidRPr="005C405B">
        <w:rPr>
          <w:rFonts w:ascii="Arial" w:hAnsi="Arial"/>
          <w:sz w:val="24"/>
          <w:lang w:val="fr-CA"/>
        </w:rPr>
        <w:t xml:space="preserve"> le groupe Rh.</w:t>
      </w:r>
    </w:p>
    <w:p w:rsidR="00A20DAA" w:rsidRDefault="00A20DAA">
      <w:pPr>
        <w:ind w:left="720"/>
        <w:rPr>
          <w:rFonts w:ascii="Arial" w:hAnsi="Arial"/>
          <w:sz w:val="24"/>
          <w:lang w:val="fr-CA"/>
        </w:rPr>
      </w:pPr>
    </w:p>
    <w:p w:rsidR="00A20DAA" w:rsidRDefault="00A20DAA">
      <w:pPr>
        <w:numPr>
          <w:ilvl w:val="2"/>
          <w:numId w:val="1"/>
        </w:numPr>
        <w:rPr>
          <w:rFonts w:ascii="Arial" w:hAnsi="Arial"/>
          <w:sz w:val="24"/>
          <w:lang w:val="fr-CA"/>
        </w:rPr>
      </w:pPr>
      <w:r w:rsidRPr="008965B1">
        <w:rPr>
          <w:rFonts w:ascii="Arial" w:hAnsi="Arial"/>
          <w:sz w:val="24"/>
          <w:lang w:val="fr-CA"/>
        </w:rPr>
        <w:t>Il faut faire des épreuves supplémentaires pour</w:t>
      </w:r>
      <w:r>
        <w:rPr>
          <w:rFonts w:ascii="Arial" w:hAnsi="Arial"/>
          <w:sz w:val="24"/>
          <w:lang w:val="fr-CA"/>
        </w:rPr>
        <w:t xml:space="preserve"> investiguer le </w:t>
      </w:r>
      <w:r w:rsidR="002E6A5B">
        <w:rPr>
          <w:rFonts w:ascii="Arial" w:hAnsi="Arial"/>
          <w:sz w:val="24"/>
          <w:lang w:val="fr-CA"/>
        </w:rPr>
        <w:t>témoin</w:t>
      </w:r>
      <w:r>
        <w:rPr>
          <w:rFonts w:ascii="Arial" w:hAnsi="Arial"/>
          <w:sz w:val="24"/>
          <w:lang w:val="fr-CA"/>
        </w:rPr>
        <w:t xml:space="preserve"> positif ou la faible réaction avec l’anti-D. Voir </w:t>
      </w:r>
      <w:r w:rsidR="00D33392">
        <w:rPr>
          <w:rFonts w:ascii="Arial" w:hAnsi="Arial"/>
          <w:sz w:val="24"/>
          <w:lang w:val="fr-CA"/>
        </w:rPr>
        <w:t>EC</w:t>
      </w:r>
      <w:r>
        <w:rPr>
          <w:rFonts w:ascii="Arial" w:hAnsi="Arial"/>
          <w:sz w:val="24"/>
          <w:lang w:val="fr-CA"/>
        </w:rPr>
        <w:t>.004 – Résolution de problèmes relatifs à la détermination du facteur Rh.</w:t>
      </w:r>
    </w:p>
    <w:p w:rsidR="00A20DAA" w:rsidRDefault="00A20DAA">
      <w:pPr>
        <w:ind w:left="1440"/>
        <w:rPr>
          <w:rFonts w:ascii="Arial" w:hAnsi="Arial"/>
          <w:sz w:val="24"/>
          <w:lang w:val="fr-CA"/>
        </w:rPr>
      </w:pPr>
    </w:p>
    <w:p w:rsidR="001A4B9C" w:rsidRDefault="001A4B9C">
      <w:pPr>
        <w:ind w:left="1440"/>
        <w:rPr>
          <w:rFonts w:ascii="Arial" w:hAnsi="Arial"/>
          <w:sz w:val="24"/>
          <w:lang w:val="fr-CA"/>
        </w:rPr>
      </w:pPr>
    </w:p>
    <w:p w:rsidR="00A20DAA" w:rsidRDefault="00A20DAA">
      <w:pPr>
        <w:numPr>
          <w:ilvl w:val="0"/>
          <w:numId w:val="1"/>
        </w:numPr>
        <w:rPr>
          <w:rFonts w:ascii="Arial" w:hAnsi="Arial"/>
          <w:b/>
          <w:sz w:val="28"/>
          <w:lang w:val="fr-CA"/>
        </w:rPr>
      </w:pPr>
      <w:r>
        <w:rPr>
          <w:rFonts w:ascii="Arial" w:hAnsi="Arial"/>
          <w:b/>
          <w:sz w:val="28"/>
          <w:lang w:val="fr-CA"/>
        </w:rPr>
        <w:t>Remarques</w:t>
      </w:r>
    </w:p>
    <w:p w:rsidR="00A20DAA" w:rsidRDefault="00A20DAA">
      <w:pPr>
        <w:rPr>
          <w:rFonts w:ascii="Arial" w:hAnsi="Arial"/>
          <w:sz w:val="24"/>
          <w:lang w:val="fr-CA"/>
        </w:rPr>
      </w:pPr>
    </w:p>
    <w:p w:rsidR="00A20DAA" w:rsidRDefault="00A20DAA">
      <w:pPr>
        <w:numPr>
          <w:ilvl w:val="1"/>
          <w:numId w:val="1"/>
        </w:numPr>
        <w:rPr>
          <w:rFonts w:ascii="Arial" w:hAnsi="Arial"/>
          <w:sz w:val="24"/>
          <w:lang w:val="fr-CA"/>
        </w:rPr>
      </w:pPr>
      <w:r>
        <w:rPr>
          <w:rFonts w:ascii="Arial" w:hAnsi="Arial"/>
          <w:sz w:val="24"/>
          <w:lang w:val="fr-CA"/>
        </w:rPr>
        <w:t>Pour assurer l’uniformité de la procédure et faciliter la détection des faux résultats positifs avec le réactif anti-D, on doit utiliser un témoin pour la détermination du facteur Rh</w:t>
      </w:r>
      <w:r w:rsidR="002E6A5B">
        <w:rPr>
          <w:rFonts w:ascii="Arial" w:hAnsi="Arial"/>
          <w:sz w:val="24"/>
          <w:lang w:val="fr-CA"/>
        </w:rPr>
        <w:t xml:space="preserve"> (si on a recours à l’épreuve modifiée anti-D)</w:t>
      </w:r>
      <w:r>
        <w:rPr>
          <w:rFonts w:ascii="Arial" w:hAnsi="Arial"/>
          <w:sz w:val="24"/>
          <w:lang w:val="fr-CA"/>
        </w:rPr>
        <w:t>.</w:t>
      </w:r>
      <w:r>
        <w:rPr>
          <w:rFonts w:ascii="Arial" w:hAnsi="Arial"/>
          <w:sz w:val="24"/>
          <w:lang w:val="fr-CA"/>
        </w:rPr>
        <w:br/>
        <w:t xml:space="preserve"> </w:t>
      </w:r>
    </w:p>
    <w:p w:rsidR="00A20DAA" w:rsidRDefault="00A20DAA">
      <w:pPr>
        <w:numPr>
          <w:ilvl w:val="1"/>
          <w:numId w:val="1"/>
        </w:numPr>
        <w:rPr>
          <w:rFonts w:ascii="Arial" w:hAnsi="Arial"/>
          <w:sz w:val="24"/>
          <w:lang w:val="fr-CA"/>
        </w:rPr>
      </w:pPr>
      <w:r>
        <w:rPr>
          <w:rFonts w:ascii="Arial" w:hAnsi="Arial"/>
          <w:sz w:val="24"/>
          <w:lang w:val="fr-CA"/>
        </w:rPr>
        <w:t>Centrifugation des tubes.</w:t>
      </w:r>
    </w:p>
    <w:p w:rsidR="00A20DAA" w:rsidRDefault="00A20DAA">
      <w:pPr>
        <w:ind w:left="720"/>
        <w:rPr>
          <w:rFonts w:ascii="Arial" w:hAnsi="Arial"/>
          <w:sz w:val="24"/>
          <w:lang w:val="fr-CA"/>
        </w:rPr>
      </w:pPr>
    </w:p>
    <w:p w:rsidR="00A20DAA" w:rsidRDefault="00A20DAA">
      <w:pPr>
        <w:numPr>
          <w:ilvl w:val="2"/>
          <w:numId w:val="1"/>
        </w:numPr>
        <w:rPr>
          <w:rFonts w:ascii="Arial" w:hAnsi="Arial"/>
          <w:sz w:val="24"/>
          <w:lang w:val="fr-CA"/>
        </w:rPr>
      </w:pPr>
      <w:r>
        <w:rPr>
          <w:rFonts w:ascii="Arial" w:hAnsi="Arial"/>
          <w:sz w:val="24"/>
          <w:lang w:val="fr-CA"/>
        </w:rPr>
        <w:t xml:space="preserve">Si l’échantillon d’un seul patient est analysé, </w:t>
      </w:r>
      <w:r w:rsidR="002E6A5B">
        <w:rPr>
          <w:rFonts w:ascii="Arial" w:hAnsi="Arial"/>
          <w:sz w:val="24"/>
          <w:lang w:val="fr-CA"/>
        </w:rPr>
        <w:t xml:space="preserve">équilibrer les </w:t>
      </w:r>
      <w:r>
        <w:rPr>
          <w:rFonts w:ascii="Arial" w:hAnsi="Arial"/>
          <w:sz w:val="24"/>
          <w:lang w:val="fr-CA"/>
        </w:rPr>
        <w:t>tubes dans la centrifugeuse pour bien distribuer le poids ou utiliser un tube vide.</w:t>
      </w:r>
      <w:r>
        <w:rPr>
          <w:rFonts w:ascii="Arial" w:hAnsi="Arial"/>
          <w:sz w:val="24"/>
          <w:lang w:val="fr-CA"/>
        </w:rPr>
        <w:br/>
        <w:t xml:space="preserve"> </w:t>
      </w:r>
    </w:p>
    <w:p w:rsidR="00A20DAA" w:rsidRDefault="00A20DAA">
      <w:pPr>
        <w:numPr>
          <w:ilvl w:val="2"/>
          <w:numId w:val="1"/>
        </w:numPr>
        <w:rPr>
          <w:rFonts w:ascii="Arial" w:hAnsi="Arial"/>
          <w:sz w:val="24"/>
          <w:lang w:val="fr-CA"/>
        </w:rPr>
      </w:pPr>
      <w:r>
        <w:rPr>
          <w:rFonts w:ascii="Arial" w:hAnsi="Arial"/>
          <w:sz w:val="24"/>
          <w:lang w:val="fr-CA"/>
        </w:rPr>
        <w:t xml:space="preserve"> Si les échantillons de plusieurs patients sont analysés, </w:t>
      </w:r>
      <w:r w:rsidR="00380F8F">
        <w:rPr>
          <w:rFonts w:ascii="Arial" w:hAnsi="Arial"/>
          <w:sz w:val="24"/>
          <w:lang w:val="fr-CA"/>
        </w:rPr>
        <w:t xml:space="preserve">placer en opposition </w:t>
      </w:r>
      <w:r>
        <w:rPr>
          <w:rFonts w:ascii="Arial" w:hAnsi="Arial"/>
          <w:sz w:val="24"/>
          <w:lang w:val="fr-CA"/>
        </w:rPr>
        <w:t>les tubes d</w:t>
      </w:r>
      <w:r w:rsidR="00380F8F">
        <w:rPr>
          <w:rFonts w:ascii="Arial" w:hAnsi="Arial"/>
          <w:sz w:val="24"/>
          <w:lang w:val="fr-CA"/>
        </w:rPr>
        <w:t>e chaque patient pour assurer l’équilibre</w:t>
      </w:r>
      <w:r>
        <w:rPr>
          <w:rFonts w:ascii="Arial" w:hAnsi="Arial"/>
          <w:sz w:val="24"/>
          <w:lang w:val="fr-CA"/>
        </w:rPr>
        <w:t>.</w:t>
      </w:r>
    </w:p>
    <w:p w:rsidR="00A20DAA" w:rsidRDefault="00A20DAA">
      <w:pPr>
        <w:rPr>
          <w:rFonts w:ascii="Arial" w:hAnsi="Arial"/>
          <w:sz w:val="24"/>
          <w:lang w:val="fr-CA"/>
        </w:rPr>
      </w:pPr>
    </w:p>
    <w:p w:rsidR="00A20DAA" w:rsidRDefault="00A20DAA">
      <w:pPr>
        <w:numPr>
          <w:ilvl w:val="0"/>
          <w:numId w:val="1"/>
        </w:numPr>
        <w:rPr>
          <w:rFonts w:ascii="Arial" w:hAnsi="Arial"/>
          <w:b/>
          <w:sz w:val="28"/>
          <w:lang w:val="fr-CA"/>
        </w:rPr>
      </w:pPr>
      <w:r>
        <w:rPr>
          <w:rFonts w:ascii="Arial" w:hAnsi="Arial"/>
          <w:b/>
          <w:sz w:val="28"/>
          <w:lang w:val="fr-CA"/>
        </w:rPr>
        <w:t>Références</w:t>
      </w:r>
    </w:p>
    <w:p w:rsidR="00A20DAA" w:rsidRDefault="00A20DAA">
      <w:pPr>
        <w:rPr>
          <w:rFonts w:ascii="Arial" w:hAnsi="Arial"/>
          <w:sz w:val="24"/>
          <w:lang w:val="fr-CA"/>
        </w:rPr>
      </w:pPr>
    </w:p>
    <w:p w:rsidR="00654F89" w:rsidRPr="00FB342D" w:rsidRDefault="00654F89" w:rsidP="00654F89">
      <w:pPr>
        <w:numPr>
          <w:ilvl w:val="1"/>
          <w:numId w:val="1"/>
        </w:numPr>
        <w:rPr>
          <w:rFonts w:ascii="Arial" w:hAnsi="Arial"/>
          <w:sz w:val="24"/>
          <w:lang w:val="fr-CA"/>
        </w:rPr>
      </w:pPr>
      <w:r w:rsidRPr="00FB342D">
        <w:rPr>
          <w:rFonts w:ascii="Arial" w:hAnsi="Arial"/>
          <w:i/>
          <w:sz w:val="24"/>
          <w:lang w:val="fr-CA"/>
        </w:rPr>
        <w:t>Standards for Hospital Transfusion Services</w:t>
      </w:r>
      <w:r w:rsidR="000E6520" w:rsidRPr="00FB342D">
        <w:rPr>
          <w:rFonts w:ascii="Arial" w:hAnsi="Arial"/>
          <w:sz w:val="24"/>
          <w:lang w:val="fr-CA"/>
        </w:rPr>
        <w:t>,</w:t>
      </w:r>
      <w:r w:rsidR="002E6A5B" w:rsidRPr="00FB342D">
        <w:rPr>
          <w:rFonts w:ascii="Arial" w:hAnsi="Arial"/>
          <w:sz w:val="24"/>
          <w:lang w:val="fr-CA"/>
        </w:rPr>
        <w:t xml:space="preserve"> </w:t>
      </w:r>
      <w:r w:rsidR="000E6520" w:rsidRPr="00FB342D">
        <w:rPr>
          <w:rFonts w:ascii="Arial" w:hAnsi="Arial"/>
          <w:sz w:val="24"/>
          <w:lang w:val="fr-CA"/>
        </w:rPr>
        <w:t>v</w:t>
      </w:r>
      <w:r w:rsidRPr="00FB342D">
        <w:rPr>
          <w:rFonts w:ascii="Arial" w:hAnsi="Arial"/>
          <w:sz w:val="24"/>
          <w:lang w:val="fr-CA"/>
        </w:rPr>
        <w:t xml:space="preserve">ersion </w:t>
      </w:r>
      <w:r w:rsidR="005E57BF" w:rsidRPr="00FB342D">
        <w:rPr>
          <w:rFonts w:ascii="Arial" w:hAnsi="Arial"/>
          <w:sz w:val="24"/>
          <w:lang w:val="fr-CA"/>
        </w:rPr>
        <w:t>3</w:t>
      </w:r>
      <w:r w:rsidRPr="00FB342D">
        <w:rPr>
          <w:rFonts w:ascii="Arial" w:hAnsi="Arial"/>
          <w:sz w:val="24"/>
          <w:lang w:val="fr-CA"/>
        </w:rPr>
        <w:t xml:space="preserve"> – </w:t>
      </w:r>
      <w:r w:rsidR="005E57BF" w:rsidRPr="00FB342D">
        <w:rPr>
          <w:rFonts w:ascii="Arial" w:hAnsi="Arial"/>
          <w:sz w:val="24"/>
          <w:lang w:val="fr-CA"/>
        </w:rPr>
        <w:t>février</w:t>
      </w:r>
      <w:r w:rsidRPr="00FB342D">
        <w:rPr>
          <w:rFonts w:ascii="Arial" w:hAnsi="Arial"/>
          <w:sz w:val="24"/>
          <w:lang w:val="fr-CA"/>
        </w:rPr>
        <w:t xml:space="preserve"> 20</w:t>
      </w:r>
      <w:r w:rsidR="005E57BF" w:rsidRPr="00FB342D">
        <w:rPr>
          <w:rFonts w:ascii="Arial" w:hAnsi="Arial"/>
          <w:sz w:val="24"/>
          <w:lang w:val="fr-CA"/>
        </w:rPr>
        <w:t>11</w:t>
      </w:r>
      <w:r w:rsidRPr="00FB342D">
        <w:rPr>
          <w:rFonts w:ascii="Arial" w:hAnsi="Arial"/>
          <w:sz w:val="24"/>
          <w:lang w:val="fr-CA"/>
        </w:rPr>
        <w:t>. Société canadienne de médecine transfusionnelle</w:t>
      </w:r>
      <w:r w:rsidR="005E57BF" w:rsidRPr="00FB342D">
        <w:rPr>
          <w:rFonts w:ascii="Arial" w:hAnsi="Arial"/>
          <w:sz w:val="24"/>
          <w:lang w:val="fr-CA"/>
        </w:rPr>
        <w:t>;</w:t>
      </w:r>
      <w:r w:rsidRPr="00FB342D">
        <w:rPr>
          <w:rFonts w:ascii="Arial" w:hAnsi="Arial"/>
          <w:sz w:val="24"/>
          <w:lang w:val="fr-CA"/>
        </w:rPr>
        <w:t xml:space="preserve"> 5.3.</w:t>
      </w:r>
      <w:r w:rsidR="005E57BF" w:rsidRPr="00FB342D">
        <w:rPr>
          <w:rFonts w:ascii="Arial" w:hAnsi="Arial"/>
          <w:sz w:val="24"/>
          <w:lang w:val="fr-CA"/>
        </w:rPr>
        <w:t>1.4, 5.3.</w:t>
      </w:r>
      <w:r w:rsidRPr="00FB342D">
        <w:rPr>
          <w:rFonts w:ascii="Arial" w:hAnsi="Arial"/>
          <w:sz w:val="24"/>
          <w:lang w:val="fr-CA"/>
        </w:rPr>
        <w:t xml:space="preserve">3.1, </w:t>
      </w:r>
      <w:r w:rsidR="005E57BF" w:rsidRPr="00FB342D">
        <w:rPr>
          <w:rFonts w:ascii="Arial" w:hAnsi="Arial"/>
          <w:sz w:val="24"/>
          <w:lang w:val="fr-CA"/>
        </w:rPr>
        <w:t xml:space="preserve">5.3.3.2, </w:t>
      </w:r>
      <w:r w:rsidRPr="00FB342D">
        <w:rPr>
          <w:rFonts w:ascii="Arial" w:hAnsi="Arial"/>
          <w:sz w:val="24"/>
          <w:lang w:val="fr-CA"/>
        </w:rPr>
        <w:t>5.3.3.3, 5.9.2.1-5.9.2.4.</w:t>
      </w:r>
    </w:p>
    <w:p w:rsidR="001A4B9C" w:rsidRPr="001A4B9C" w:rsidRDefault="001A4B9C" w:rsidP="001A4B9C">
      <w:pPr>
        <w:ind w:left="1440"/>
        <w:rPr>
          <w:rFonts w:ascii="Arial" w:hAnsi="Arial"/>
          <w:sz w:val="24"/>
        </w:rPr>
      </w:pPr>
    </w:p>
    <w:p w:rsidR="00064B3E" w:rsidRDefault="005E57BF" w:rsidP="00654F89">
      <w:pPr>
        <w:numPr>
          <w:ilvl w:val="1"/>
          <w:numId w:val="1"/>
        </w:numPr>
        <w:rPr>
          <w:rFonts w:ascii="Arial" w:hAnsi="Arial"/>
          <w:sz w:val="24"/>
        </w:rPr>
      </w:pPr>
      <w:r w:rsidRPr="005E57BF">
        <w:rPr>
          <w:rFonts w:ascii="Arial" w:hAnsi="Arial"/>
          <w:i/>
          <w:sz w:val="24"/>
        </w:rPr>
        <w:t>Transfusion Medicine Review</w:t>
      </w:r>
      <w:r>
        <w:rPr>
          <w:rFonts w:ascii="Arial" w:hAnsi="Arial"/>
          <w:sz w:val="24"/>
        </w:rPr>
        <w:t xml:space="preserve"> – Rh Typing, QMPLS ver 1(2013-10-10); 1-7.</w:t>
      </w:r>
    </w:p>
    <w:p w:rsidR="001A4B9C" w:rsidRDefault="001A4B9C" w:rsidP="001A4B9C">
      <w:pPr>
        <w:ind w:left="1440"/>
        <w:rPr>
          <w:rFonts w:ascii="Arial" w:hAnsi="Arial"/>
          <w:sz w:val="24"/>
        </w:rPr>
      </w:pPr>
    </w:p>
    <w:p w:rsidR="00654F89" w:rsidRDefault="00654F89" w:rsidP="00654F89">
      <w:pPr>
        <w:numPr>
          <w:ilvl w:val="1"/>
          <w:numId w:val="1"/>
        </w:numPr>
        <w:rPr>
          <w:rFonts w:ascii="Arial" w:hAnsi="Arial"/>
          <w:sz w:val="24"/>
        </w:rPr>
      </w:pPr>
      <w:r>
        <w:rPr>
          <w:rFonts w:ascii="Arial" w:hAnsi="Arial"/>
          <w:sz w:val="24"/>
        </w:rPr>
        <w:t xml:space="preserve">ROBACK JD, éd. </w:t>
      </w:r>
      <w:r w:rsidRPr="002E6A5B">
        <w:rPr>
          <w:rFonts w:ascii="Arial" w:hAnsi="Arial"/>
          <w:i/>
          <w:sz w:val="24"/>
        </w:rPr>
        <w:t>American Association of Blood Banks Technical Manual</w:t>
      </w:r>
      <w:r>
        <w:rPr>
          <w:rFonts w:ascii="Arial" w:hAnsi="Arial"/>
          <w:sz w:val="24"/>
        </w:rPr>
        <w:t>, 1</w:t>
      </w:r>
      <w:r w:rsidR="005E57BF">
        <w:rPr>
          <w:rFonts w:ascii="Arial" w:hAnsi="Arial"/>
          <w:sz w:val="24"/>
        </w:rPr>
        <w:t>7</w:t>
      </w:r>
      <w:r>
        <w:rPr>
          <w:rFonts w:ascii="Arial" w:hAnsi="Arial"/>
          <w:sz w:val="24"/>
          <w:vertAlign w:val="superscript"/>
        </w:rPr>
        <w:t>e</w:t>
      </w:r>
      <w:r>
        <w:rPr>
          <w:rFonts w:ascii="Arial" w:hAnsi="Arial"/>
          <w:sz w:val="24"/>
        </w:rPr>
        <w:t xml:space="preserve"> éd. Bethesda, MD:  American Association of Blood Banks </w:t>
      </w:r>
      <w:r w:rsidR="002E6A5B">
        <w:rPr>
          <w:rFonts w:ascii="Arial" w:hAnsi="Arial"/>
          <w:sz w:val="24"/>
        </w:rPr>
        <w:t>(</w:t>
      </w:r>
      <w:r>
        <w:rPr>
          <w:rFonts w:ascii="Arial" w:hAnsi="Arial"/>
          <w:sz w:val="24"/>
        </w:rPr>
        <w:t>20</w:t>
      </w:r>
      <w:r w:rsidR="005E57BF">
        <w:rPr>
          <w:rFonts w:ascii="Arial" w:hAnsi="Arial"/>
          <w:sz w:val="24"/>
        </w:rPr>
        <w:t>11</w:t>
      </w:r>
      <w:r w:rsidR="002E6A5B">
        <w:rPr>
          <w:rFonts w:ascii="Arial" w:hAnsi="Arial"/>
          <w:sz w:val="24"/>
        </w:rPr>
        <w:t>)</w:t>
      </w:r>
      <w:r w:rsidR="005E57BF">
        <w:rPr>
          <w:rFonts w:ascii="Arial" w:hAnsi="Arial"/>
          <w:sz w:val="24"/>
        </w:rPr>
        <w:t>;</w:t>
      </w:r>
      <w:r>
        <w:rPr>
          <w:rFonts w:ascii="Arial" w:hAnsi="Arial"/>
          <w:sz w:val="24"/>
        </w:rPr>
        <w:t xml:space="preserve"> </w:t>
      </w:r>
      <w:r w:rsidR="002E6A5B">
        <w:rPr>
          <w:rFonts w:ascii="Arial" w:hAnsi="Arial"/>
          <w:sz w:val="24"/>
        </w:rPr>
        <w:t xml:space="preserve">p. </w:t>
      </w:r>
      <w:r>
        <w:rPr>
          <w:rFonts w:ascii="Arial" w:hAnsi="Arial"/>
          <w:sz w:val="24"/>
        </w:rPr>
        <w:t>44</w:t>
      </w:r>
      <w:r w:rsidR="005E57BF">
        <w:rPr>
          <w:rFonts w:ascii="Arial" w:hAnsi="Arial"/>
          <w:sz w:val="24"/>
        </w:rPr>
        <w:t>5</w:t>
      </w:r>
      <w:r>
        <w:rPr>
          <w:rFonts w:ascii="Arial" w:hAnsi="Arial"/>
          <w:sz w:val="24"/>
        </w:rPr>
        <w:t>-448, 88</w:t>
      </w:r>
      <w:r w:rsidR="005E57BF">
        <w:rPr>
          <w:rFonts w:ascii="Arial" w:hAnsi="Arial"/>
          <w:sz w:val="24"/>
        </w:rPr>
        <w:t>5-886</w:t>
      </w:r>
      <w:r>
        <w:rPr>
          <w:rFonts w:ascii="Arial" w:hAnsi="Arial"/>
          <w:sz w:val="24"/>
        </w:rPr>
        <w:t>.</w:t>
      </w:r>
    </w:p>
    <w:p w:rsidR="001A4B9C" w:rsidRDefault="001A4B9C" w:rsidP="001A4B9C">
      <w:pPr>
        <w:ind w:left="1440"/>
        <w:rPr>
          <w:rFonts w:ascii="Arial" w:hAnsi="Arial"/>
          <w:sz w:val="24"/>
        </w:rPr>
      </w:pPr>
    </w:p>
    <w:p w:rsidR="005E57BF" w:rsidRPr="005E57BF" w:rsidRDefault="00654F89" w:rsidP="005E57BF">
      <w:pPr>
        <w:numPr>
          <w:ilvl w:val="1"/>
          <w:numId w:val="1"/>
        </w:numPr>
        <w:rPr>
          <w:rFonts w:ascii="Arial" w:hAnsi="Arial"/>
          <w:sz w:val="24"/>
        </w:rPr>
      </w:pPr>
      <w:r>
        <w:rPr>
          <w:rFonts w:ascii="Arial" w:hAnsi="Arial"/>
          <w:sz w:val="24"/>
        </w:rPr>
        <w:t xml:space="preserve">JUDD, WJ. </w:t>
      </w:r>
      <w:r w:rsidRPr="002E6A5B">
        <w:rPr>
          <w:rFonts w:ascii="Arial" w:hAnsi="Arial"/>
          <w:i/>
          <w:sz w:val="24"/>
        </w:rPr>
        <w:t>Methods in Immunohematology</w:t>
      </w:r>
      <w:r>
        <w:rPr>
          <w:rFonts w:ascii="Arial" w:hAnsi="Arial"/>
          <w:sz w:val="24"/>
        </w:rPr>
        <w:t>, 3</w:t>
      </w:r>
      <w:r>
        <w:rPr>
          <w:rFonts w:ascii="Arial" w:hAnsi="Arial"/>
          <w:sz w:val="24"/>
          <w:vertAlign w:val="superscript"/>
        </w:rPr>
        <w:t>e</w:t>
      </w:r>
      <w:r>
        <w:rPr>
          <w:rFonts w:ascii="Arial" w:hAnsi="Arial"/>
          <w:sz w:val="24"/>
        </w:rPr>
        <w:t xml:space="preserve"> éd. Bethesda, MD: American Association of Blood Banks</w:t>
      </w:r>
      <w:r w:rsidR="002E6A5B">
        <w:rPr>
          <w:rFonts w:ascii="Arial" w:hAnsi="Arial"/>
          <w:sz w:val="24"/>
        </w:rPr>
        <w:t xml:space="preserve"> (</w:t>
      </w:r>
      <w:r>
        <w:rPr>
          <w:rFonts w:ascii="Arial" w:hAnsi="Arial"/>
          <w:sz w:val="24"/>
        </w:rPr>
        <w:t>2008</w:t>
      </w:r>
      <w:r w:rsidR="002E6A5B">
        <w:rPr>
          <w:rFonts w:ascii="Arial" w:hAnsi="Arial"/>
          <w:sz w:val="24"/>
        </w:rPr>
        <w:t>)</w:t>
      </w:r>
      <w:r>
        <w:rPr>
          <w:rFonts w:ascii="Arial" w:hAnsi="Arial"/>
          <w:sz w:val="24"/>
        </w:rPr>
        <w:t xml:space="preserve">, </w:t>
      </w:r>
      <w:r w:rsidR="002E6A5B">
        <w:rPr>
          <w:rFonts w:ascii="Arial" w:hAnsi="Arial"/>
          <w:sz w:val="24"/>
        </w:rPr>
        <w:t xml:space="preserve">p. </w:t>
      </w:r>
      <w:r>
        <w:rPr>
          <w:rFonts w:ascii="Arial" w:hAnsi="Arial"/>
          <w:sz w:val="24"/>
        </w:rPr>
        <w:t>2-6.</w:t>
      </w:r>
      <w:r w:rsidR="005E57BF" w:rsidRPr="005E57BF">
        <w:rPr>
          <w:rFonts w:ascii="Arial" w:hAnsi="Arial"/>
          <w:i/>
          <w:sz w:val="24"/>
        </w:rPr>
        <w:t xml:space="preserve"> </w:t>
      </w:r>
    </w:p>
    <w:p w:rsidR="001A4B9C" w:rsidRPr="001A4B9C" w:rsidRDefault="001A4B9C" w:rsidP="001A4B9C">
      <w:pPr>
        <w:ind w:left="1440"/>
        <w:rPr>
          <w:rFonts w:ascii="Arial" w:hAnsi="Arial"/>
          <w:sz w:val="24"/>
        </w:rPr>
      </w:pPr>
    </w:p>
    <w:p w:rsidR="005E57BF" w:rsidRDefault="005E57BF" w:rsidP="005E57BF">
      <w:pPr>
        <w:numPr>
          <w:ilvl w:val="1"/>
          <w:numId w:val="1"/>
        </w:numPr>
        <w:rPr>
          <w:rFonts w:ascii="Arial" w:hAnsi="Arial"/>
          <w:sz w:val="24"/>
        </w:rPr>
      </w:pPr>
      <w:r w:rsidRPr="002E6A5B">
        <w:rPr>
          <w:rFonts w:ascii="Arial" w:hAnsi="Arial"/>
          <w:i/>
          <w:sz w:val="24"/>
        </w:rPr>
        <w:t>Standards for Blood Banks and Transfusion Service</w:t>
      </w:r>
      <w:r>
        <w:rPr>
          <w:rFonts w:ascii="Arial" w:hAnsi="Arial"/>
          <w:sz w:val="24"/>
        </w:rPr>
        <w:t>, 28</w:t>
      </w:r>
      <w:r>
        <w:rPr>
          <w:rFonts w:ascii="Arial" w:hAnsi="Arial"/>
          <w:sz w:val="24"/>
          <w:vertAlign w:val="superscript"/>
        </w:rPr>
        <w:t>e</w:t>
      </w:r>
      <w:r>
        <w:rPr>
          <w:rFonts w:ascii="Arial" w:hAnsi="Arial"/>
          <w:sz w:val="24"/>
        </w:rPr>
        <w:t xml:space="preserve"> éd. Bethesda, MD: American Association of Blood Banks (2008); 5.13.2.</w:t>
      </w:r>
    </w:p>
    <w:p w:rsidR="00A20DAA" w:rsidRDefault="00A20DAA" w:rsidP="00654F89">
      <w:pPr>
        <w:ind w:left="1440"/>
        <w:rPr>
          <w:rFonts w:ascii="Arial" w:hAnsi="Arial"/>
          <w:sz w:val="24"/>
          <w:lang w:val="en-CA"/>
        </w:rPr>
      </w:pPr>
    </w:p>
    <w:p w:rsidR="001A4B9C" w:rsidRDefault="001A4B9C" w:rsidP="00654F89">
      <w:pPr>
        <w:ind w:left="1440"/>
        <w:rPr>
          <w:rFonts w:ascii="Arial" w:hAnsi="Arial"/>
          <w:sz w:val="24"/>
          <w:lang w:val="en-CA"/>
        </w:rPr>
      </w:pPr>
    </w:p>
    <w:p w:rsidR="001A4B9C" w:rsidRDefault="001A4B9C" w:rsidP="00654F89">
      <w:pPr>
        <w:ind w:left="1440"/>
        <w:rPr>
          <w:rFonts w:ascii="Arial" w:hAnsi="Arial"/>
          <w:sz w:val="24"/>
          <w:lang w:val="en-CA"/>
        </w:rPr>
      </w:pPr>
    </w:p>
    <w:p w:rsidR="001A4B9C" w:rsidRDefault="001A4B9C" w:rsidP="00654F89">
      <w:pPr>
        <w:ind w:left="1440"/>
        <w:rPr>
          <w:rFonts w:ascii="Arial" w:hAnsi="Arial"/>
          <w:sz w:val="24"/>
          <w:lang w:val="en-CA"/>
        </w:rPr>
      </w:pPr>
    </w:p>
    <w:p w:rsidR="001A4B9C" w:rsidRDefault="001A4B9C" w:rsidP="00654F89">
      <w:pPr>
        <w:ind w:left="1440"/>
        <w:rPr>
          <w:rFonts w:ascii="Arial" w:hAnsi="Arial"/>
          <w:sz w:val="24"/>
          <w:lang w:val="en-CA"/>
        </w:rPr>
      </w:pPr>
    </w:p>
    <w:p w:rsidR="001A4B9C" w:rsidRDefault="001A4B9C" w:rsidP="00654F89">
      <w:pPr>
        <w:ind w:left="1440"/>
        <w:rPr>
          <w:rFonts w:ascii="Arial" w:hAnsi="Arial"/>
          <w:sz w:val="24"/>
          <w:lang w:val="en-CA"/>
        </w:rPr>
      </w:pPr>
    </w:p>
    <w:p w:rsidR="001A4B9C" w:rsidRDefault="001A4B9C" w:rsidP="00654F89">
      <w:pPr>
        <w:ind w:left="1440"/>
        <w:rPr>
          <w:rFonts w:ascii="Arial" w:hAnsi="Arial"/>
          <w:sz w:val="24"/>
          <w:lang w:val="en-CA"/>
        </w:rPr>
      </w:pPr>
    </w:p>
    <w:p w:rsidR="001A4B9C" w:rsidRDefault="001A4B9C" w:rsidP="00654F89">
      <w:pPr>
        <w:ind w:left="1440"/>
        <w:rPr>
          <w:rFonts w:ascii="Arial" w:hAnsi="Arial"/>
          <w:sz w:val="24"/>
          <w:lang w:val="en-CA"/>
        </w:rPr>
      </w:pPr>
    </w:p>
    <w:p w:rsidR="001A4B9C" w:rsidRDefault="001A4B9C" w:rsidP="00654F89">
      <w:pPr>
        <w:ind w:left="1440"/>
        <w:rPr>
          <w:rFonts w:ascii="Arial" w:hAnsi="Arial"/>
          <w:sz w:val="24"/>
          <w:lang w:val="en-CA"/>
        </w:rPr>
      </w:pPr>
    </w:p>
    <w:p w:rsidR="00A33D51" w:rsidRPr="00AA3396" w:rsidRDefault="001A4B9C" w:rsidP="00A33D51">
      <w:pPr>
        <w:pStyle w:val="ListParagraph"/>
        <w:numPr>
          <w:ilvl w:val="0"/>
          <w:numId w:val="7"/>
        </w:numPr>
        <w:contextualSpacing/>
        <w:rPr>
          <w:rFonts w:ascii="Arial" w:hAnsi="Arial"/>
          <w:b/>
          <w:sz w:val="28"/>
          <w:lang w:val="fr-CA"/>
        </w:rPr>
      </w:pPr>
      <w:r>
        <w:rPr>
          <w:rFonts w:ascii="Arial" w:hAnsi="Arial"/>
          <w:b/>
          <w:sz w:val="28"/>
          <w:lang w:val="fr-CA"/>
        </w:rPr>
        <w:t>Su</w:t>
      </w:r>
      <w:r w:rsidR="00A33D51" w:rsidRPr="00AA3396">
        <w:rPr>
          <w:rFonts w:ascii="Arial" w:hAnsi="Arial"/>
          <w:b/>
          <w:sz w:val="28"/>
          <w:lang w:val="fr-CA"/>
        </w:rPr>
        <w:t>ivi des révisions</w:t>
      </w:r>
    </w:p>
    <w:p w:rsidR="00A33D51" w:rsidRPr="00AA3396" w:rsidRDefault="00A33D51" w:rsidP="00A33D51">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87"/>
      </w:tblGrid>
      <w:tr w:rsidR="00A33D51" w:rsidRPr="00AA3396" w:rsidTr="00CC71BD">
        <w:trPr>
          <w:cantSplit/>
        </w:trPr>
        <w:tc>
          <w:tcPr>
            <w:tcW w:w="3369" w:type="dxa"/>
            <w:shd w:val="clear" w:color="auto" w:fill="F2F2F2"/>
          </w:tcPr>
          <w:p w:rsidR="00A33D51" w:rsidRPr="004050E8" w:rsidRDefault="00A33D51" w:rsidP="00CC71BD">
            <w:pPr>
              <w:jc w:val="center"/>
              <w:rPr>
                <w:rFonts w:ascii="Arial" w:hAnsi="Arial" w:cs="Arial"/>
                <w:b/>
                <w:sz w:val="22"/>
                <w:szCs w:val="22"/>
                <w:lang w:val="fr-CA"/>
              </w:rPr>
            </w:pPr>
            <w:r>
              <w:rPr>
                <w:rFonts w:ascii="Arial" w:hAnsi="Arial" w:cs="Arial"/>
                <w:b/>
                <w:sz w:val="22"/>
                <w:szCs w:val="22"/>
                <w:lang w:val="fr-CA"/>
              </w:rPr>
              <w:t>Date de la révision</w:t>
            </w:r>
          </w:p>
        </w:tc>
        <w:tc>
          <w:tcPr>
            <w:tcW w:w="5487" w:type="dxa"/>
            <w:shd w:val="clear" w:color="auto" w:fill="F2F2F2"/>
          </w:tcPr>
          <w:p w:rsidR="00A33D51" w:rsidRPr="004050E8" w:rsidRDefault="00A33D51" w:rsidP="00CC71BD">
            <w:pPr>
              <w:jc w:val="center"/>
              <w:rPr>
                <w:rFonts w:ascii="Arial" w:hAnsi="Arial" w:cs="Arial"/>
                <w:b/>
                <w:sz w:val="22"/>
                <w:szCs w:val="22"/>
                <w:lang w:val="fr-CA"/>
              </w:rPr>
            </w:pPr>
            <w:r>
              <w:rPr>
                <w:rFonts w:ascii="Arial" w:hAnsi="Arial" w:cs="Arial"/>
                <w:b/>
                <w:sz w:val="22"/>
                <w:szCs w:val="22"/>
                <w:lang w:val="fr-CA"/>
              </w:rPr>
              <w:t>Résumé des changements</w:t>
            </w:r>
          </w:p>
        </w:tc>
      </w:tr>
      <w:tr w:rsidR="00A33D51" w:rsidRPr="00AA3396" w:rsidTr="00CC71BD">
        <w:trPr>
          <w:cantSplit/>
          <w:trHeight w:val="3254"/>
        </w:trPr>
        <w:tc>
          <w:tcPr>
            <w:tcW w:w="3369" w:type="dxa"/>
          </w:tcPr>
          <w:p w:rsidR="00A33D51" w:rsidRPr="00AA3396" w:rsidRDefault="00A33D51" w:rsidP="00CC71BD">
            <w:pPr>
              <w:keepLines/>
              <w:widowControl w:val="0"/>
              <w:rPr>
                <w:rFonts w:ascii="Arial" w:hAnsi="Arial"/>
                <w:sz w:val="22"/>
                <w:szCs w:val="22"/>
                <w:lang w:val="fr-CA"/>
              </w:rPr>
            </w:pPr>
            <w:r>
              <w:rPr>
                <w:rFonts w:ascii="Arial" w:hAnsi="Arial"/>
                <w:sz w:val="22"/>
                <w:szCs w:val="22"/>
                <w:lang w:val="fr-CA"/>
              </w:rPr>
              <w:t>31 janvier</w:t>
            </w:r>
            <w:r w:rsidRPr="00AA3396">
              <w:rPr>
                <w:rFonts w:ascii="Arial" w:hAnsi="Arial"/>
                <w:sz w:val="22"/>
                <w:szCs w:val="22"/>
                <w:lang w:val="fr-CA"/>
              </w:rPr>
              <w:t xml:space="preserve"> 2014 </w:t>
            </w:r>
          </w:p>
        </w:tc>
        <w:tc>
          <w:tcPr>
            <w:tcW w:w="5487" w:type="dxa"/>
          </w:tcPr>
          <w:p w:rsidR="00A33D51" w:rsidRPr="001F5D53" w:rsidRDefault="00A33D51" w:rsidP="00A33D51">
            <w:pPr>
              <w:pStyle w:val="ListParagraph"/>
              <w:numPr>
                <w:ilvl w:val="0"/>
                <w:numId w:val="8"/>
              </w:numPr>
              <w:contextualSpacing/>
              <w:rPr>
                <w:rFonts w:ascii="Arial" w:hAnsi="Arial" w:cs="Arial"/>
                <w:sz w:val="22"/>
                <w:szCs w:val="22"/>
                <w:lang w:val="fr-CA"/>
              </w:rPr>
            </w:pPr>
            <w:r w:rsidRPr="001F5D53">
              <w:rPr>
                <w:rFonts w:ascii="Arial" w:hAnsi="Arial" w:cs="Arial"/>
                <w:sz w:val="22"/>
                <w:szCs w:val="22"/>
                <w:lang w:val="fr-CA"/>
              </w:rPr>
              <w:t xml:space="preserve">Changement du nom du manuel </w:t>
            </w:r>
          </w:p>
          <w:p w:rsidR="00A33D51" w:rsidRPr="001A4B9C" w:rsidRDefault="00A33D51" w:rsidP="00A33D51">
            <w:pPr>
              <w:pStyle w:val="ListParagraph"/>
              <w:keepLines/>
              <w:widowControl w:val="0"/>
              <w:numPr>
                <w:ilvl w:val="0"/>
                <w:numId w:val="6"/>
              </w:numPr>
              <w:contextualSpacing/>
              <w:rPr>
                <w:rFonts w:ascii="Arial" w:hAnsi="Arial"/>
                <w:sz w:val="22"/>
                <w:szCs w:val="22"/>
                <w:lang w:val="fr-CA"/>
              </w:rPr>
            </w:pPr>
            <w:r w:rsidRPr="001A4B9C">
              <w:rPr>
                <w:rFonts w:ascii="Arial" w:hAnsi="Arial"/>
                <w:sz w:val="22"/>
                <w:szCs w:val="22"/>
                <w:lang w:val="fr-CA"/>
              </w:rPr>
              <w:t>Changement du numéro du document anciennement AR.002, maintenant AR.005.</w:t>
            </w:r>
          </w:p>
          <w:p w:rsidR="00BC1E34" w:rsidRDefault="00BC1E34" w:rsidP="00A33D51">
            <w:pPr>
              <w:numPr>
                <w:ilvl w:val="0"/>
                <w:numId w:val="6"/>
              </w:numPr>
              <w:rPr>
                <w:rFonts w:ascii="Arial" w:hAnsi="Arial"/>
                <w:sz w:val="22"/>
                <w:szCs w:val="22"/>
                <w:lang w:val="fr-CA"/>
              </w:rPr>
            </w:pPr>
            <w:r w:rsidRPr="00BC1E34">
              <w:rPr>
                <w:rFonts w:ascii="Arial" w:hAnsi="Arial"/>
                <w:sz w:val="22"/>
                <w:szCs w:val="22"/>
                <w:lang w:val="fr-CA"/>
              </w:rPr>
              <w:t xml:space="preserve">Ajout à </w:t>
            </w:r>
            <w:r w:rsidR="00A33D51" w:rsidRPr="00BC1E34">
              <w:rPr>
                <w:rFonts w:ascii="Arial" w:hAnsi="Arial"/>
                <w:sz w:val="22"/>
                <w:szCs w:val="22"/>
                <w:lang w:val="fr-CA"/>
              </w:rPr>
              <w:t>la section </w:t>
            </w:r>
            <w:r w:rsidR="005E57BF" w:rsidRPr="00BC1E34">
              <w:rPr>
                <w:rFonts w:ascii="Arial" w:hAnsi="Arial"/>
                <w:sz w:val="22"/>
                <w:szCs w:val="22"/>
                <w:lang w:val="fr-CA"/>
              </w:rPr>
              <w:t>4</w:t>
            </w:r>
            <w:r w:rsidR="00A33D51" w:rsidRPr="00BC1E34">
              <w:rPr>
                <w:rFonts w:ascii="Arial" w:hAnsi="Arial"/>
                <w:sz w:val="22"/>
                <w:szCs w:val="22"/>
                <w:lang w:val="fr-CA"/>
              </w:rPr>
              <w:t>.</w:t>
            </w:r>
            <w:r w:rsidR="005E57BF" w:rsidRPr="00BC1E34">
              <w:rPr>
                <w:rFonts w:ascii="Arial" w:hAnsi="Arial"/>
                <w:sz w:val="22"/>
                <w:szCs w:val="22"/>
                <w:lang w:val="fr-CA"/>
              </w:rPr>
              <w:t>0</w:t>
            </w:r>
            <w:r w:rsidR="00A33D51" w:rsidRPr="00BC1E34">
              <w:rPr>
                <w:rFonts w:ascii="Arial" w:hAnsi="Arial"/>
                <w:sz w:val="22"/>
                <w:szCs w:val="22"/>
                <w:lang w:val="fr-CA"/>
              </w:rPr>
              <w:t xml:space="preserve"> pour inclure </w:t>
            </w:r>
            <w:r w:rsidRPr="00BC1E34">
              <w:rPr>
                <w:rFonts w:ascii="Arial" w:hAnsi="Arial"/>
                <w:sz w:val="22"/>
                <w:szCs w:val="22"/>
                <w:lang w:val="fr-CA"/>
              </w:rPr>
              <w:t>« </w:t>
            </w:r>
            <w:r w:rsidR="005E57BF" w:rsidRPr="00BC1E34">
              <w:rPr>
                <w:rFonts w:ascii="Arial" w:hAnsi="Arial"/>
                <w:sz w:val="22"/>
                <w:lang w:val="fr-CA"/>
              </w:rPr>
              <w:t>témoin approprié pour la détermination du facteur Rh (conformément aux instructions du fabricant)</w:t>
            </w:r>
            <w:r w:rsidR="005E57BF" w:rsidRPr="00BC1E34">
              <w:rPr>
                <w:rFonts w:ascii="Arial" w:hAnsi="Arial"/>
                <w:sz w:val="22"/>
                <w:vertAlign w:val="superscript"/>
                <w:lang w:val="fr-CA"/>
              </w:rPr>
              <w:t>9.2</w:t>
            </w:r>
            <w:r w:rsidRPr="00BC1E34">
              <w:rPr>
                <w:rFonts w:ascii="Arial" w:hAnsi="Arial"/>
                <w:sz w:val="22"/>
                <w:lang w:val="fr-CA"/>
              </w:rPr>
              <w:t> »</w:t>
            </w:r>
            <w:r w:rsidRPr="00BC1E34">
              <w:rPr>
                <w:rFonts w:ascii="Arial" w:hAnsi="Arial"/>
                <w:sz w:val="22"/>
                <w:szCs w:val="22"/>
                <w:lang w:val="fr-CA"/>
              </w:rPr>
              <w:t xml:space="preserve"> </w:t>
            </w:r>
          </w:p>
          <w:p w:rsidR="00BC1E34" w:rsidRPr="001A4B9C" w:rsidRDefault="00BC1E34" w:rsidP="00A33D51">
            <w:pPr>
              <w:numPr>
                <w:ilvl w:val="0"/>
                <w:numId w:val="6"/>
              </w:numPr>
              <w:rPr>
                <w:rFonts w:ascii="Arial" w:hAnsi="Arial"/>
                <w:sz w:val="22"/>
                <w:szCs w:val="22"/>
                <w:lang w:val="fr-CA"/>
              </w:rPr>
            </w:pPr>
            <w:r w:rsidRPr="001A4B9C">
              <w:rPr>
                <w:rFonts w:ascii="Arial" w:hAnsi="Arial"/>
                <w:sz w:val="22"/>
                <w:szCs w:val="22"/>
                <w:lang w:val="fr-CA"/>
              </w:rPr>
              <w:t>Section 6.0</w:t>
            </w:r>
            <w:r w:rsidR="00C51D82" w:rsidRPr="001A4B9C">
              <w:rPr>
                <w:rFonts w:ascii="Arial" w:hAnsi="Arial"/>
                <w:sz w:val="22"/>
                <w:szCs w:val="22"/>
                <w:lang w:val="fr-CA"/>
              </w:rPr>
              <w:t xml:space="preserve"> - 6.8 Changement de la numérotation du document AR.014 à AR.003; 6.14 : PA.006 devient AR.001.</w:t>
            </w:r>
          </w:p>
          <w:p w:rsidR="00A33D51" w:rsidRPr="001F5D53" w:rsidRDefault="00A33D51" w:rsidP="00A33D51">
            <w:pPr>
              <w:numPr>
                <w:ilvl w:val="0"/>
                <w:numId w:val="6"/>
              </w:numPr>
              <w:rPr>
                <w:rFonts w:ascii="Arial" w:hAnsi="Arial"/>
                <w:sz w:val="22"/>
                <w:szCs w:val="22"/>
                <w:lang w:val="fr-CA"/>
              </w:rPr>
            </w:pPr>
            <w:r w:rsidRPr="001F5D53">
              <w:rPr>
                <w:rFonts w:ascii="Arial" w:hAnsi="Arial"/>
                <w:sz w:val="22"/>
                <w:szCs w:val="22"/>
                <w:lang w:val="fr-CA"/>
              </w:rPr>
              <w:t>Mise à jour des références pour inclure les versions les plus récentes</w:t>
            </w:r>
            <w:r w:rsidR="00064B3E">
              <w:rPr>
                <w:rFonts w:ascii="Arial" w:hAnsi="Arial"/>
                <w:sz w:val="22"/>
                <w:szCs w:val="22"/>
                <w:lang w:val="fr-CA"/>
              </w:rPr>
              <w:t xml:space="preserve"> et ajout d’une nouvelle référence en 9.2</w:t>
            </w:r>
          </w:p>
          <w:p w:rsidR="00A33D51" w:rsidRPr="00AA3396" w:rsidRDefault="00A33D51" w:rsidP="00CC71BD">
            <w:pPr>
              <w:pStyle w:val="ListParagraph"/>
              <w:keepLines/>
              <w:widowControl w:val="0"/>
              <w:ind w:left="0"/>
              <w:rPr>
                <w:rFonts w:ascii="Arial" w:hAnsi="Arial"/>
                <w:sz w:val="22"/>
                <w:szCs w:val="22"/>
                <w:lang w:val="fr-CA"/>
              </w:rPr>
            </w:pPr>
          </w:p>
        </w:tc>
      </w:tr>
    </w:tbl>
    <w:p w:rsidR="00A20DAA" w:rsidRDefault="00A20DAA" w:rsidP="00C51D82">
      <w:pPr>
        <w:ind w:left="720"/>
        <w:rPr>
          <w:rFonts w:ascii="Arial" w:hAnsi="Arial"/>
          <w:sz w:val="24"/>
          <w:lang w:val="fr-CA"/>
        </w:rPr>
      </w:pPr>
    </w:p>
    <w:sectPr w:rsidR="00A20DAA">
      <w:headerReference w:type="default" r:id="rId7"/>
      <w:footerReference w:type="default" r:id="rId8"/>
      <w:headerReference w:type="first" r:id="rId9"/>
      <w:footerReference w:type="first" r:id="rId10"/>
      <w:pgSz w:w="12240" w:h="15840" w:code="1"/>
      <w:pgMar w:top="1267" w:right="1800" w:bottom="245"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0C" w:rsidRDefault="00990A0C">
      <w:r>
        <w:separator/>
      </w:r>
    </w:p>
  </w:endnote>
  <w:endnote w:type="continuationSeparator" w:id="0">
    <w:p w:rsidR="00990A0C" w:rsidRDefault="0099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8B5058">
      <w:trPr>
        <w:trHeight w:val="720"/>
      </w:trPr>
      <w:tc>
        <w:tcPr>
          <w:tcW w:w="1368" w:type="dxa"/>
        </w:tcPr>
        <w:p w:rsidR="008B5058" w:rsidRDefault="008B5058">
          <w:pPr>
            <w:pStyle w:val="Footer"/>
            <w:jc w:val="center"/>
            <w:rPr>
              <w:sz w:val="8"/>
            </w:rPr>
          </w:pPr>
        </w:p>
        <w:p w:rsidR="008B5058" w:rsidRDefault="009051B9">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8B5058" w:rsidRDefault="008B5058">
          <w:pPr>
            <w:pStyle w:val="Footer"/>
            <w:jc w:val="center"/>
            <w:rPr>
              <w:rFonts w:ascii="Arial" w:hAnsi="Arial"/>
              <w:sz w:val="18"/>
            </w:rPr>
          </w:pPr>
        </w:p>
        <w:p w:rsidR="00A33D51" w:rsidRDefault="00A33D51" w:rsidP="00A33D51">
          <w:pPr>
            <w:pStyle w:val="Footer"/>
            <w:jc w:val="center"/>
            <w:rPr>
              <w:rFonts w:ascii="Arial" w:hAnsi="Arial"/>
              <w:sz w:val="18"/>
              <w:lang w:val="fr-CA"/>
            </w:rPr>
          </w:pPr>
          <w:r>
            <w:rPr>
              <w:rFonts w:ascii="Arial" w:hAnsi="Arial"/>
              <w:sz w:val="18"/>
              <w:lang w:val="fr-CA"/>
            </w:rPr>
            <w:t xml:space="preserve">Réseau régional ontarien de coordination du sang </w:t>
          </w:r>
        </w:p>
        <w:p w:rsidR="00A33D51" w:rsidRPr="00FB342D" w:rsidRDefault="00A33D51" w:rsidP="00A33D51">
          <w:pPr>
            <w:pStyle w:val="Footer"/>
            <w:jc w:val="center"/>
            <w:rPr>
              <w:rFonts w:ascii="Arial" w:hAnsi="Arial"/>
              <w:sz w:val="18"/>
              <w:lang w:val="fr-CA"/>
            </w:rPr>
          </w:pPr>
          <w:r>
            <w:rPr>
              <w:rFonts w:ascii="Arial" w:hAnsi="Arial"/>
              <w:sz w:val="18"/>
              <w:lang w:val="fr-CA"/>
            </w:rPr>
            <w:t>Manuel de ressources techniques en transfusion de l’Ontario</w:t>
          </w:r>
          <w:r w:rsidRPr="00FB342D">
            <w:rPr>
              <w:rFonts w:ascii="Arial" w:hAnsi="Arial"/>
              <w:sz w:val="18"/>
              <w:lang w:val="fr-CA"/>
            </w:rPr>
            <w:t xml:space="preserve"> </w:t>
          </w:r>
        </w:p>
        <w:p w:rsidR="00407EE0" w:rsidRPr="00FB342D" w:rsidRDefault="00407EE0" w:rsidP="00407EE0">
          <w:pPr>
            <w:pStyle w:val="Footer"/>
            <w:jc w:val="center"/>
            <w:rPr>
              <w:rFonts w:ascii="Arial" w:hAnsi="Arial"/>
              <w:sz w:val="18"/>
              <w:lang w:val="fr-CA"/>
            </w:rPr>
          </w:pPr>
        </w:p>
        <w:p w:rsidR="008B5058" w:rsidRPr="00FB342D" w:rsidRDefault="008B5058">
          <w:pPr>
            <w:pStyle w:val="Footer"/>
            <w:jc w:val="center"/>
            <w:rPr>
              <w:rFonts w:ascii="Arial" w:hAnsi="Arial"/>
              <w:sz w:val="18"/>
              <w:lang w:val="fr-CA"/>
            </w:rPr>
          </w:pPr>
        </w:p>
      </w:tc>
      <w:tc>
        <w:tcPr>
          <w:tcW w:w="1494" w:type="dxa"/>
        </w:tcPr>
        <w:p w:rsidR="008B5058" w:rsidRPr="00FB342D" w:rsidRDefault="008B5058">
          <w:pPr>
            <w:pStyle w:val="Footer"/>
            <w:jc w:val="right"/>
            <w:rPr>
              <w:rFonts w:ascii="Arial" w:hAnsi="Arial"/>
              <w:sz w:val="18"/>
              <w:lang w:val="fr-CA"/>
            </w:rPr>
          </w:pPr>
        </w:p>
        <w:p w:rsidR="008B5058" w:rsidRDefault="008B5058" w:rsidP="00A33D51">
          <w:pPr>
            <w:pStyle w:val="Footer"/>
            <w:jc w:val="right"/>
            <w:rPr>
              <w:rFonts w:ascii="Arial" w:hAnsi="Arial"/>
              <w:sz w:val="18"/>
            </w:rPr>
          </w:pPr>
          <w:r>
            <w:rPr>
              <w:rFonts w:ascii="Arial" w:hAnsi="Arial"/>
              <w:sz w:val="18"/>
            </w:rPr>
            <w:t>AR.00</w:t>
          </w:r>
          <w:r w:rsidR="00A33D51">
            <w:rPr>
              <w:rFonts w:ascii="Arial" w:hAnsi="Arial"/>
              <w:sz w:val="18"/>
            </w:rPr>
            <w:t>5</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1A4B9C">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1A4B9C">
            <w:rPr>
              <w:rFonts w:ascii="Arial" w:hAnsi="Arial"/>
              <w:noProof/>
              <w:snapToGrid w:val="0"/>
              <w:sz w:val="18"/>
            </w:rPr>
            <w:t>8</w:t>
          </w:r>
          <w:r>
            <w:rPr>
              <w:rFonts w:ascii="Arial" w:hAnsi="Arial"/>
              <w:snapToGrid w:val="0"/>
              <w:sz w:val="18"/>
            </w:rPr>
            <w:fldChar w:fldCharType="end"/>
          </w:r>
        </w:p>
      </w:tc>
    </w:tr>
  </w:tbl>
  <w:p w:rsidR="008B5058" w:rsidRDefault="008B5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8B5058">
      <w:trPr>
        <w:trHeight w:val="720"/>
      </w:trPr>
      <w:tc>
        <w:tcPr>
          <w:tcW w:w="1368" w:type="dxa"/>
        </w:tcPr>
        <w:p w:rsidR="008B5058" w:rsidRDefault="008B5058">
          <w:pPr>
            <w:pStyle w:val="Footer"/>
            <w:jc w:val="center"/>
            <w:rPr>
              <w:rFonts w:ascii="Verdana" w:hAnsi="Verdana"/>
              <w:sz w:val="8"/>
            </w:rPr>
          </w:pPr>
        </w:p>
        <w:p w:rsidR="008B5058" w:rsidRDefault="009051B9">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8B5058" w:rsidRDefault="008B5058">
          <w:pPr>
            <w:pStyle w:val="Footer"/>
            <w:jc w:val="center"/>
            <w:rPr>
              <w:rFonts w:ascii="Arial" w:hAnsi="Arial"/>
              <w:sz w:val="18"/>
            </w:rPr>
          </w:pPr>
        </w:p>
        <w:p w:rsidR="0035418E" w:rsidRDefault="0035418E" w:rsidP="0035418E">
          <w:pPr>
            <w:pStyle w:val="Footer"/>
            <w:jc w:val="center"/>
            <w:rPr>
              <w:rFonts w:ascii="Arial" w:hAnsi="Arial"/>
              <w:sz w:val="18"/>
              <w:lang w:val="fr-CA"/>
            </w:rPr>
          </w:pPr>
          <w:r>
            <w:rPr>
              <w:rFonts w:ascii="Arial" w:hAnsi="Arial"/>
              <w:sz w:val="18"/>
              <w:lang w:val="fr-CA"/>
            </w:rPr>
            <w:t xml:space="preserve">Réseau régional ontarien de coordination du sang </w:t>
          </w:r>
        </w:p>
        <w:p w:rsidR="00407EE0" w:rsidRPr="00FB342D" w:rsidRDefault="0035418E" w:rsidP="0035418E">
          <w:pPr>
            <w:pStyle w:val="Footer"/>
            <w:jc w:val="center"/>
            <w:rPr>
              <w:rFonts w:ascii="Arial" w:hAnsi="Arial"/>
              <w:sz w:val="18"/>
              <w:lang w:val="fr-CA"/>
            </w:rPr>
          </w:pPr>
          <w:r>
            <w:rPr>
              <w:rFonts w:ascii="Arial" w:hAnsi="Arial"/>
              <w:sz w:val="18"/>
              <w:lang w:val="fr-CA"/>
            </w:rPr>
            <w:t>Manuel de ressources techniques en transfusion de l’Ontario</w:t>
          </w:r>
          <w:r w:rsidRPr="00FB342D">
            <w:rPr>
              <w:rFonts w:ascii="Arial" w:hAnsi="Arial"/>
              <w:sz w:val="18"/>
              <w:lang w:val="fr-CA"/>
            </w:rPr>
            <w:t xml:space="preserve"> </w:t>
          </w:r>
        </w:p>
        <w:p w:rsidR="008B5058" w:rsidRPr="00FB342D" w:rsidRDefault="008B5058">
          <w:pPr>
            <w:pStyle w:val="Footer"/>
            <w:jc w:val="center"/>
            <w:rPr>
              <w:rFonts w:ascii="Arial" w:hAnsi="Arial"/>
              <w:sz w:val="18"/>
              <w:lang w:val="fr-CA"/>
            </w:rPr>
          </w:pPr>
        </w:p>
      </w:tc>
      <w:tc>
        <w:tcPr>
          <w:tcW w:w="1494" w:type="dxa"/>
        </w:tcPr>
        <w:p w:rsidR="008B5058" w:rsidRPr="00FB342D" w:rsidRDefault="008B5058">
          <w:pPr>
            <w:pStyle w:val="Footer"/>
            <w:jc w:val="right"/>
            <w:rPr>
              <w:rFonts w:ascii="Arial" w:hAnsi="Arial"/>
              <w:sz w:val="18"/>
              <w:lang w:val="fr-CA"/>
            </w:rPr>
          </w:pPr>
        </w:p>
        <w:p w:rsidR="008B5058" w:rsidRDefault="008B5058" w:rsidP="0035418E">
          <w:pPr>
            <w:pStyle w:val="Footer"/>
            <w:jc w:val="right"/>
            <w:rPr>
              <w:rFonts w:ascii="Arial" w:hAnsi="Arial"/>
              <w:sz w:val="18"/>
            </w:rPr>
          </w:pPr>
          <w:r>
            <w:rPr>
              <w:rFonts w:ascii="Arial" w:hAnsi="Arial"/>
              <w:sz w:val="18"/>
            </w:rPr>
            <w:t>AR.00</w:t>
          </w:r>
          <w:r w:rsidR="0035418E">
            <w:rPr>
              <w:rFonts w:ascii="Arial" w:hAnsi="Arial"/>
              <w:sz w:val="18"/>
            </w:rPr>
            <w:t>5</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43A3B">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43A3B">
            <w:rPr>
              <w:rFonts w:ascii="Arial" w:hAnsi="Arial"/>
              <w:noProof/>
              <w:snapToGrid w:val="0"/>
              <w:sz w:val="18"/>
            </w:rPr>
            <w:t>1</w:t>
          </w:r>
          <w:r>
            <w:rPr>
              <w:rFonts w:ascii="Arial" w:hAnsi="Arial"/>
              <w:snapToGrid w:val="0"/>
              <w:sz w:val="18"/>
            </w:rPr>
            <w:fldChar w:fldCharType="end"/>
          </w:r>
        </w:p>
      </w:tc>
    </w:tr>
  </w:tbl>
  <w:p w:rsidR="008B5058" w:rsidRDefault="008B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0C" w:rsidRDefault="00990A0C">
      <w:r>
        <w:separator/>
      </w:r>
    </w:p>
  </w:footnote>
  <w:footnote w:type="continuationSeparator" w:id="0">
    <w:p w:rsidR="00990A0C" w:rsidRDefault="0099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58" w:rsidRDefault="008B5058">
    <w:pPr>
      <w:pStyle w:val="Header"/>
      <w:jc w:val="center"/>
      <w:rPr>
        <w:rFonts w:ascii="Arial" w:hAnsi="Arial"/>
        <w:b/>
        <w:sz w:val="28"/>
        <w:lang w:val="fr-CA"/>
      </w:rPr>
    </w:pPr>
    <w:r>
      <w:rPr>
        <w:rFonts w:ascii="Arial" w:hAnsi="Arial"/>
        <w:b/>
        <w:sz w:val="28"/>
        <w:lang w:val="fr-CA"/>
      </w:rPr>
      <w:t>Détermination du facteur Rh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58" w:rsidRDefault="008B5058">
    <w:pPr>
      <w:pStyle w:val="Header"/>
      <w:tabs>
        <w:tab w:val="clear" w:pos="8640"/>
        <w:tab w:val="left" w:pos="4783"/>
      </w:tabs>
    </w:pPr>
  </w:p>
  <w:p w:rsidR="00CD3476" w:rsidRDefault="009051B9" w:rsidP="00CD3476">
    <w:pPr>
      <w:pStyle w:val="Header"/>
      <w:rPr>
        <w:rFonts w:ascii="Verdana" w:hAnsi="Verdana"/>
        <w:sz w:val="24"/>
      </w:rPr>
    </w:pPr>
    <w:r>
      <w:rPr>
        <w:rFonts w:ascii="Verdana" w:hAnsi="Verdana"/>
        <w:noProof/>
        <w:sz w:val="8"/>
      </w:rPr>
      <w:drawing>
        <wp:inline distT="0" distB="0" distL="0" distR="0">
          <wp:extent cx="1162050" cy="390525"/>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1A4B9C" w:rsidRPr="001A4B9C" w:rsidRDefault="001A4B9C" w:rsidP="00CD3476">
    <w:pPr>
      <w:pStyle w:val="Header"/>
      <w:rPr>
        <w:sz w:val="24"/>
      </w:rPr>
    </w:pPr>
  </w:p>
  <w:p w:rsidR="0035418E" w:rsidRPr="001A4B9C" w:rsidRDefault="0035418E" w:rsidP="0035418E">
    <w:pPr>
      <w:pStyle w:val="Header"/>
      <w:jc w:val="center"/>
      <w:rPr>
        <w:rFonts w:ascii="Arial" w:hAnsi="Arial" w:cs="Arial"/>
        <w:b/>
        <w:bCs/>
        <w:sz w:val="24"/>
        <w:szCs w:val="28"/>
        <w:lang w:val="fr-CA"/>
      </w:rPr>
    </w:pPr>
    <w:r w:rsidRPr="001A4B9C">
      <w:rPr>
        <w:rFonts w:ascii="Arial" w:hAnsi="Arial" w:cs="Arial"/>
        <w:b/>
        <w:bCs/>
        <w:sz w:val="24"/>
        <w:szCs w:val="28"/>
        <w:lang w:val="fr-CA"/>
      </w:rPr>
      <w:t>Réseau régional ontarien de coordination du sang</w:t>
    </w:r>
  </w:p>
  <w:p w:rsidR="0035418E" w:rsidRPr="001A4B9C" w:rsidRDefault="0035418E" w:rsidP="0035418E">
    <w:pPr>
      <w:pStyle w:val="Header"/>
      <w:jc w:val="center"/>
      <w:rPr>
        <w:rFonts w:ascii="Arial" w:hAnsi="Arial" w:cs="Arial"/>
        <w:b/>
        <w:bCs/>
        <w:sz w:val="24"/>
        <w:szCs w:val="28"/>
        <w:lang w:val="fr-CA"/>
      </w:rPr>
    </w:pPr>
    <w:r w:rsidRPr="001A4B9C">
      <w:rPr>
        <w:rFonts w:ascii="Arial" w:hAnsi="Arial" w:cs="Arial"/>
        <w:b/>
        <w:bCs/>
        <w:sz w:val="24"/>
        <w:szCs w:val="28"/>
        <w:lang w:val="fr-CA"/>
      </w:rPr>
      <w:t>Manuel de ressources techniques en transfusion de l’Ontario</w:t>
    </w:r>
  </w:p>
  <w:p w:rsidR="008B5058" w:rsidRDefault="008B5058">
    <w:pPr>
      <w:pStyle w:val="Header"/>
      <w:jc w:val="center"/>
      <w:rPr>
        <w:rFonts w:ascii="Arial" w:hAnsi="Arial" w:cs="Arial"/>
        <w:b/>
        <w:bCs/>
        <w:sz w:val="22"/>
        <w:lang w:val="fr-CA"/>
      </w:rPr>
    </w:pPr>
  </w:p>
  <w:p w:rsidR="008B5058" w:rsidRDefault="00323FE1">
    <w:pPr>
      <w:pStyle w:val="Header"/>
      <w:jc w:val="center"/>
      <w:rPr>
        <w:rFonts w:ascii="Arial" w:hAnsi="Arial"/>
        <w:b/>
        <w:sz w:val="28"/>
        <w:lang w:val="fr-CA"/>
      </w:rPr>
    </w:pPr>
    <w:r>
      <w:rPr>
        <w:rFonts w:ascii="Arial" w:hAnsi="Arial"/>
        <w:b/>
        <w:sz w:val="28"/>
        <w:lang w:val="fr-CA"/>
      </w:rPr>
      <w:t>Détermination du facteur Rh</w:t>
    </w:r>
  </w:p>
  <w:p w:rsidR="008B5058" w:rsidRDefault="008B5058">
    <w:pPr>
      <w:pStyle w:val="Header"/>
      <w:jc w:val="center"/>
      <w:rPr>
        <w:rFonts w:ascii="Arial" w:hAnsi="Arial"/>
        <w:b/>
        <w:sz w:val="28"/>
        <w:lang w:val="fr-CA"/>
      </w:rPr>
    </w:pPr>
  </w:p>
  <w:p w:rsidR="008B5058" w:rsidRDefault="008B5058">
    <w:pPr>
      <w:pStyle w:val="Header"/>
      <w:jc w:val="center"/>
      <w:rPr>
        <w:rFonts w:ascii="Arial" w:hAnsi="Arial" w:cs="Arial"/>
        <w:b/>
        <w:bCs/>
        <w:lang w:val="fr-CA"/>
      </w:rPr>
    </w:pPr>
    <w:r>
      <w:rPr>
        <w:rFonts w:ascii="Arial" w:hAnsi="Arial" w:cs="Arial"/>
        <w:b/>
        <w:bCs/>
        <w:lang w:val="fr-CA"/>
      </w:rPr>
      <w:tab/>
    </w:r>
    <w:r w:rsidR="009051B9">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84B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4"/>
      <w:gridCol w:w="4316"/>
    </w:tblGrid>
    <w:tr w:rsidR="008B5058">
      <w:tc>
        <w:tcPr>
          <w:tcW w:w="4428" w:type="dxa"/>
        </w:tcPr>
        <w:p w:rsidR="008B5058" w:rsidRDefault="002E6A5B" w:rsidP="006041F2">
          <w:pPr>
            <w:pStyle w:val="Header"/>
            <w:rPr>
              <w:rFonts w:ascii="Arial" w:hAnsi="Arial" w:cs="Arial"/>
              <w:lang w:val="fr-CA"/>
            </w:rPr>
          </w:pPr>
          <w:r>
            <w:rPr>
              <w:rFonts w:ascii="Arial" w:hAnsi="Arial" w:cs="Arial"/>
              <w:lang w:val="fr-CA"/>
            </w:rPr>
            <w:t>Approbation </w:t>
          </w:r>
          <w:r w:rsidR="008B5058">
            <w:rPr>
              <w:rFonts w:ascii="Arial" w:hAnsi="Arial" w:cs="Arial"/>
              <w:lang w:val="fr-CA"/>
            </w:rPr>
            <w:t>:</w:t>
          </w:r>
          <w:r w:rsidR="00CD3476" w:rsidRPr="00A87C02">
            <w:rPr>
              <w:rFonts w:ascii="Arial" w:hAnsi="Arial" w:cs="Arial"/>
              <w:lang w:val="fr-CA"/>
            </w:rPr>
            <w:t xml:space="preserve"> </w:t>
          </w:r>
        </w:p>
      </w:tc>
      <w:tc>
        <w:tcPr>
          <w:tcW w:w="4428" w:type="dxa"/>
        </w:tcPr>
        <w:p w:rsidR="008B5058" w:rsidRDefault="008B5058" w:rsidP="006041F2">
          <w:pPr>
            <w:pStyle w:val="Header"/>
            <w:rPr>
              <w:rFonts w:ascii="Arial" w:hAnsi="Arial" w:cs="Arial"/>
              <w:lang w:val="fr-CA"/>
            </w:rPr>
          </w:pPr>
          <w:r>
            <w:rPr>
              <w:rFonts w:ascii="Arial" w:hAnsi="Arial" w:cs="Arial"/>
              <w:lang w:val="fr-CA"/>
            </w:rPr>
            <w:t>Document n</w:t>
          </w:r>
          <w:r>
            <w:rPr>
              <w:rFonts w:ascii="Arial" w:hAnsi="Arial" w:cs="Arial"/>
              <w:vertAlign w:val="superscript"/>
              <w:lang w:val="fr-CA"/>
            </w:rPr>
            <w:t>o</w:t>
          </w:r>
          <w:r>
            <w:rPr>
              <w:rFonts w:ascii="Arial" w:hAnsi="Arial" w:cs="Arial"/>
              <w:lang w:val="fr-CA"/>
            </w:rPr>
            <w:t xml:space="preserve"> : AR.00</w:t>
          </w:r>
          <w:r w:rsidR="006041F2">
            <w:rPr>
              <w:rFonts w:ascii="Arial" w:hAnsi="Arial" w:cs="Arial"/>
              <w:lang w:val="fr-CA"/>
            </w:rPr>
            <w:t>5</w:t>
          </w:r>
        </w:p>
      </w:tc>
    </w:tr>
    <w:tr w:rsidR="008B5058">
      <w:tc>
        <w:tcPr>
          <w:tcW w:w="4428" w:type="dxa"/>
        </w:tcPr>
        <w:p w:rsidR="008B5058" w:rsidRDefault="008B5058">
          <w:pPr>
            <w:pStyle w:val="Header"/>
            <w:rPr>
              <w:rFonts w:ascii="Arial" w:hAnsi="Arial" w:cs="Arial"/>
              <w:lang w:val="fr-CA"/>
            </w:rPr>
          </w:pPr>
          <w:r>
            <w:rPr>
              <w:rFonts w:ascii="Arial" w:hAnsi="Arial" w:cs="Arial"/>
              <w:lang w:val="fr-CA"/>
            </w:rPr>
            <w:t xml:space="preserve">Date de </w:t>
          </w:r>
          <w:r w:rsidR="002E6A5B">
            <w:rPr>
              <w:rFonts w:ascii="Arial" w:hAnsi="Arial" w:cs="Arial"/>
              <w:lang w:val="fr-CA"/>
            </w:rPr>
            <w:t>publication </w:t>
          </w:r>
          <w:r>
            <w:rPr>
              <w:rFonts w:ascii="Arial" w:hAnsi="Arial" w:cs="Arial"/>
              <w:lang w:val="fr-CA"/>
            </w:rPr>
            <w:t>: 2006/0</w:t>
          </w:r>
          <w:r w:rsidR="00864924">
            <w:rPr>
              <w:rFonts w:ascii="Arial" w:hAnsi="Arial" w:cs="Arial"/>
              <w:lang w:val="fr-CA"/>
            </w:rPr>
            <w:t>8</w:t>
          </w:r>
          <w:r>
            <w:rPr>
              <w:rFonts w:ascii="Arial" w:hAnsi="Arial" w:cs="Arial"/>
              <w:lang w:val="fr-CA"/>
            </w:rPr>
            <w:t>/01</w:t>
          </w:r>
        </w:p>
      </w:tc>
      <w:tc>
        <w:tcPr>
          <w:tcW w:w="4428" w:type="dxa"/>
        </w:tcPr>
        <w:p w:rsidR="008B5058" w:rsidRDefault="002E6A5B">
          <w:pPr>
            <w:pStyle w:val="Header"/>
            <w:rPr>
              <w:rFonts w:ascii="Arial" w:hAnsi="Arial" w:cs="Arial"/>
              <w:lang w:val="fr-CA"/>
            </w:rPr>
          </w:pPr>
          <w:r>
            <w:rPr>
              <w:rFonts w:ascii="Arial" w:hAnsi="Arial" w:cs="Arial"/>
              <w:lang w:val="fr-CA"/>
            </w:rPr>
            <w:t>Catégorie </w:t>
          </w:r>
          <w:r w:rsidR="008B5058">
            <w:rPr>
              <w:rFonts w:ascii="Arial" w:hAnsi="Arial" w:cs="Arial"/>
              <w:lang w:val="fr-CA"/>
            </w:rPr>
            <w:t>: Analyses de routine</w:t>
          </w:r>
        </w:p>
      </w:tc>
    </w:tr>
    <w:tr w:rsidR="008B5058">
      <w:tc>
        <w:tcPr>
          <w:tcW w:w="4428" w:type="dxa"/>
        </w:tcPr>
        <w:p w:rsidR="008B5058" w:rsidRDefault="008B5058">
          <w:pPr>
            <w:pStyle w:val="Header"/>
            <w:rPr>
              <w:rFonts w:ascii="Arial" w:hAnsi="Arial" w:cs="Arial"/>
              <w:lang w:val="fr-CA"/>
            </w:rPr>
          </w:pPr>
          <w:r>
            <w:rPr>
              <w:rFonts w:ascii="Arial" w:hAnsi="Arial" w:cs="Arial"/>
              <w:lang w:val="fr-CA"/>
            </w:rPr>
            <w:t xml:space="preserve">Date de </w:t>
          </w:r>
          <w:r w:rsidR="002E6A5B">
            <w:rPr>
              <w:rFonts w:ascii="Arial" w:hAnsi="Arial" w:cs="Arial"/>
              <w:lang w:val="fr-CA"/>
            </w:rPr>
            <w:t>révision </w:t>
          </w:r>
          <w:r>
            <w:rPr>
              <w:rFonts w:ascii="Arial" w:hAnsi="Arial" w:cs="Arial"/>
              <w:lang w:val="fr-CA"/>
            </w:rPr>
            <w:t xml:space="preserve">: </w:t>
          </w:r>
          <w:r w:rsidR="00407EE0">
            <w:rPr>
              <w:rFonts w:ascii="Arial" w:hAnsi="Arial" w:cs="Arial"/>
              <w:lang w:val="fr-CA"/>
            </w:rPr>
            <w:t>2009/12/31</w:t>
          </w:r>
          <w:r w:rsidR="006041F2">
            <w:rPr>
              <w:rFonts w:ascii="Arial" w:hAnsi="Arial" w:cs="Arial"/>
              <w:lang w:val="fr-CA"/>
            </w:rPr>
            <w:t>; 2014/01/31</w:t>
          </w:r>
        </w:p>
      </w:tc>
      <w:tc>
        <w:tcPr>
          <w:tcW w:w="4428" w:type="dxa"/>
        </w:tcPr>
        <w:p w:rsidR="008B5058" w:rsidRDefault="008B5058">
          <w:pPr>
            <w:pStyle w:val="Header"/>
            <w:rPr>
              <w:rFonts w:ascii="Arial" w:hAnsi="Arial" w:cs="Arial"/>
              <w:lang w:val="fr-CA"/>
            </w:rPr>
          </w:pPr>
          <w:r>
            <w:rPr>
              <w:rFonts w:ascii="Arial" w:hAnsi="Arial" w:cs="Arial"/>
              <w:lang w:val="fr-CA"/>
            </w:rPr>
            <w:t>Page</w:t>
          </w:r>
          <w:r w:rsidR="00323FE1">
            <w:rPr>
              <w:rFonts w:ascii="Arial" w:hAnsi="Arial" w:cs="Arial"/>
              <w:lang w:val="fr-CA"/>
            </w:rPr>
            <w:t>s :</w:t>
          </w:r>
          <w:r>
            <w:rPr>
              <w:rFonts w:ascii="Arial" w:hAnsi="Arial" w:cs="Arial"/>
              <w:lang w:val="fr-CA"/>
            </w:rPr>
            <w:t xml:space="preserve"> </w:t>
          </w:r>
          <w:r>
            <w:rPr>
              <w:rFonts w:ascii="Arial" w:hAnsi="Arial" w:cs="Arial"/>
              <w:lang w:val="fr-CA"/>
            </w:rPr>
            <w:fldChar w:fldCharType="begin"/>
          </w:r>
          <w:r>
            <w:rPr>
              <w:rFonts w:ascii="Arial" w:hAnsi="Arial" w:cs="Arial"/>
              <w:lang w:val="fr-CA"/>
            </w:rPr>
            <w:instrText xml:space="preserve"> NUMPAGES </w:instrText>
          </w:r>
          <w:r>
            <w:rPr>
              <w:rFonts w:ascii="Arial" w:hAnsi="Arial" w:cs="Arial"/>
              <w:lang w:val="fr-CA"/>
            </w:rPr>
            <w:fldChar w:fldCharType="separate"/>
          </w:r>
          <w:r w:rsidR="00F43A3B">
            <w:rPr>
              <w:rFonts w:ascii="Arial" w:hAnsi="Arial" w:cs="Arial"/>
              <w:noProof/>
              <w:lang w:val="fr-CA"/>
            </w:rPr>
            <w:t>1</w:t>
          </w:r>
          <w:r>
            <w:rPr>
              <w:rFonts w:ascii="Arial" w:hAnsi="Arial" w:cs="Arial"/>
              <w:lang w:val="fr-CA"/>
            </w:rPr>
            <w:fldChar w:fldCharType="end"/>
          </w:r>
        </w:p>
      </w:tc>
    </w:tr>
  </w:tbl>
  <w:p w:rsidR="008B5058" w:rsidRDefault="009051B9">
    <w:pPr>
      <w:pStyle w:val="Header"/>
      <w:tabs>
        <w:tab w:val="clear" w:pos="8640"/>
        <w:tab w:val="left" w:pos="4714"/>
      </w:tabs>
      <w:rPr>
        <w:lang w:val="fr-CA"/>
      </w:rPr>
    </w:pPr>
    <w:r>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6D3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8B5058">
      <w:rPr>
        <w:rFonts w:ascii="Arial" w:hAnsi="Arial" w:cs="Arial"/>
        <w:lang w:val="fr-CA"/>
      </w:rPr>
      <w:tab/>
    </w:r>
    <w:r w:rsidR="008B5058">
      <w:rPr>
        <w:rFonts w:ascii="Arial" w:hAnsi="Arial" w:cs="Arial"/>
        <w:lang w:val="fr-CA"/>
      </w:rPr>
      <w:tab/>
    </w:r>
  </w:p>
  <w:p w:rsidR="008B5058" w:rsidRDefault="008B5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1782"/>
    <w:multiLevelType w:val="singleLevel"/>
    <w:tmpl w:val="3AC04112"/>
    <w:lvl w:ilvl="0">
      <w:start w:val="1"/>
      <w:numFmt w:val="bullet"/>
      <w:lvlText w:val=""/>
      <w:lvlJc w:val="left"/>
      <w:pPr>
        <w:tabs>
          <w:tab w:val="num" w:pos="2487"/>
        </w:tabs>
        <w:ind w:left="2487" w:hanging="360"/>
      </w:pPr>
      <w:rPr>
        <w:rFonts w:ascii="Symbol" w:hAnsi="Symbol" w:hint="default"/>
      </w:rPr>
    </w:lvl>
  </w:abstractNum>
  <w:abstractNum w:abstractNumId="1" w15:restartNumberingAfterBreak="0">
    <w:nsid w:val="1E32249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4D09CB"/>
    <w:multiLevelType w:val="multilevel"/>
    <w:tmpl w:val="135AD36A"/>
    <w:lvl w:ilvl="0">
      <w:start w:val="1"/>
      <w:numFmt w:val="decimal"/>
      <w:lvlText w:val="%1.0"/>
      <w:lvlJc w:val="left"/>
      <w:pPr>
        <w:tabs>
          <w:tab w:val="num" w:pos="72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45300BFB"/>
    <w:multiLevelType w:val="hybridMultilevel"/>
    <w:tmpl w:val="CA8E32FC"/>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EE115DE"/>
    <w:multiLevelType w:val="multilevel"/>
    <w:tmpl w:val="17EAAF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240"/>
        </w:tabs>
        <w:ind w:left="3240" w:hanging="1080"/>
      </w:pPr>
      <w:rPr>
        <w:rFonts w:hint="default"/>
      </w:rPr>
    </w:lvl>
    <w:lvl w:ilvl="4">
      <w:start w:val="1"/>
      <w:numFmt w:val="decimal"/>
      <w:pStyle w:val="Heading5"/>
      <w:lvlText w:val="%1.%2.%3.%4.%5"/>
      <w:lvlJc w:val="left"/>
      <w:pPr>
        <w:tabs>
          <w:tab w:val="num" w:pos="3960"/>
        </w:tabs>
        <w:ind w:left="3960" w:hanging="1080"/>
      </w:pPr>
      <w:rPr>
        <w:rFonts w:hint="default"/>
      </w:rPr>
    </w:lvl>
    <w:lvl w:ilvl="5">
      <w:start w:val="1"/>
      <w:numFmt w:val="decimal"/>
      <w:pStyle w:val="Heading6"/>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8665FFD"/>
    <w:multiLevelType w:val="hybridMultilevel"/>
    <w:tmpl w:val="CCFECF54"/>
    <w:lvl w:ilvl="0" w:tplc="ACA60FA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20B734A"/>
    <w:multiLevelType w:val="hybridMultilevel"/>
    <w:tmpl w:val="00C00DBA"/>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8A"/>
    <w:rsid w:val="0001728C"/>
    <w:rsid w:val="00024C84"/>
    <w:rsid w:val="00064B3E"/>
    <w:rsid w:val="000E6520"/>
    <w:rsid w:val="0013633A"/>
    <w:rsid w:val="0013684B"/>
    <w:rsid w:val="00163FAC"/>
    <w:rsid w:val="0019512A"/>
    <w:rsid w:val="00195BD7"/>
    <w:rsid w:val="001A1094"/>
    <w:rsid w:val="001A4B9C"/>
    <w:rsid w:val="00226387"/>
    <w:rsid w:val="00251D48"/>
    <w:rsid w:val="002E6A5B"/>
    <w:rsid w:val="002F1F48"/>
    <w:rsid w:val="00320994"/>
    <w:rsid w:val="00323FE1"/>
    <w:rsid w:val="00344CA2"/>
    <w:rsid w:val="0035418E"/>
    <w:rsid w:val="003559F7"/>
    <w:rsid w:val="00380F8F"/>
    <w:rsid w:val="00391897"/>
    <w:rsid w:val="003C45C6"/>
    <w:rsid w:val="00407EE0"/>
    <w:rsid w:val="00466E9B"/>
    <w:rsid w:val="00490CC5"/>
    <w:rsid w:val="004964C5"/>
    <w:rsid w:val="004B718A"/>
    <w:rsid w:val="004E2E47"/>
    <w:rsid w:val="0055680B"/>
    <w:rsid w:val="005B4244"/>
    <w:rsid w:val="005C405B"/>
    <w:rsid w:val="005E57BF"/>
    <w:rsid w:val="006041F2"/>
    <w:rsid w:val="00654F89"/>
    <w:rsid w:val="00811445"/>
    <w:rsid w:val="00864924"/>
    <w:rsid w:val="008822B2"/>
    <w:rsid w:val="008965B1"/>
    <w:rsid w:val="008B5058"/>
    <w:rsid w:val="008E212C"/>
    <w:rsid w:val="008F44EB"/>
    <w:rsid w:val="009051B9"/>
    <w:rsid w:val="00921EBA"/>
    <w:rsid w:val="00990A0C"/>
    <w:rsid w:val="00A00CCC"/>
    <w:rsid w:val="00A20DAA"/>
    <w:rsid w:val="00A33D51"/>
    <w:rsid w:val="00A40D31"/>
    <w:rsid w:val="00A6521A"/>
    <w:rsid w:val="00A90764"/>
    <w:rsid w:val="00AD475C"/>
    <w:rsid w:val="00AF2839"/>
    <w:rsid w:val="00B32BD0"/>
    <w:rsid w:val="00B80287"/>
    <w:rsid w:val="00BC1E34"/>
    <w:rsid w:val="00C51D82"/>
    <w:rsid w:val="00C92510"/>
    <w:rsid w:val="00CA4A11"/>
    <w:rsid w:val="00CC71BD"/>
    <w:rsid w:val="00CD3476"/>
    <w:rsid w:val="00D33392"/>
    <w:rsid w:val="00D47763"/>
    <w:rsid w:val="00D74FA1"/>
    <w:rsid w:val="00D82A02"/>
    <w:rsid w:val="00D84D07"/>
    <w:rsid w:val="00D8601D"/>
    <w:rsid w:val="00E73F42"/>
    <w:rsid w:val="00EE516C"/>
    <w:rsid w:val="00EF37E6"/>
    <w:rsid w:val="00F263F8"/>
    <w:rsid w:val="00F43A3B"/>
    <w:rsid w:val="00F46898"/>
    <w:rsid w:val="00FB342D"/>
    <w:rsid w:val="00FC1FA2"/>
    <w:rsid w:val="00FF6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042284-048D-42FE-91EB-903B48AF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720"/>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paragraph" w:styleId="Heading4">
    <w:name w:val="heading 4"/>
    <w:basedOn w:val="Normal"/>
    <w:next w:val="Normal"/>
    <w:qFormat/>
    <w:pPr>
      <w:keepNext/>
      <w:numPr>
        <w:ilvl w:val="3"/>
        <w:numId w:val="1"/>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1"/>
      </w:numPr>
      <w:spacing w:after="240"/>
      <w:outlineLvl w:val="4"/>
    </w:pPr>
    <w:rPr>
      <w:rFonts w:ascii="Georgia" w:hAnsi="Georgia"/>
      <w:i/>
      <w:snapToGrid w:val="0"/>
      <w:kern w:val="24"/>
      <w:sz w:val="24"/>
    </w:rPr>
  </w:style>
  <w:style w:type="paragraph" w:styleId="Heading6">
    <w:name w:val="heading 6"/>
    <w:basedOn w:val="Normal"/>
    <w:next w:val="Normal"/>
    <w:qFormat/>
    <w:pPr>
      <w:keepNext/>
      <w:numPr>
        <w:ilvl w:val="5"/>
        <w:numId w:val="1"/>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921EBA"/>
    <w:rPr>
      <w:rFonts w:ascii="Tahoma" w:hAnsi="Tahoma" w:cs="Tahoma"/>
      <w:sz w:val="16"/>
      <w:szCs w:val="16"/>
    </w:rPr>
  </w:style>
  <w:style w:type="character" w:customStyle="1" w:styleId="FooterChar">
    <w:name w:val="Footer Char"/>
    <w:link w:val="Footer"/>
    <w:rsid w:val="0035418E"/>
    <w:rPr>
      <w:lang w:val="en-US" w:eastAsia="en-US"/>
    </w:rPr>
  </w:style>
  <w:style w:type="paragraph" w:styleId="ListParagraph">
    <w:name w:val="List Paragraph"/>
    <w:basedOn w:val="Normal"/>
    <w:uiPriority w:val="34"/>
    <w:qFormat/>
    <w:rsid w:val="00A33D51"/>
    <w:pPr>
      <w:ind w:left="708"/>
    </w:pPr>
  </w:style>
  <w:style w:type="table" w:styleId="TableGrid">
    <w:name w:val="Table Grid"/>
    <w:basedOn w:val="TableNormal"/>
    <w:rsid w:val="0016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7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1699</Words>
  <Characters>9688</Characters>
  <Application>Microsoft Office Word</Application>
  <DocSecurity>0</DocSecurity>
  <Lines>80</Lines>
  <Paragraphs>22</Paragraphs>
  <ScaleCrop>false</ScaleCrop>
  <HeadingPairs>
    <vt:vector size="6" baseType="variant">
      <vt:variant>
        <vt:lpstr>Title</vt:lpstr>
      </vt:variant>
      <vt:variant>
        <vt:i4>1</vt:i4>
      </vt:variant>
      <vt:variant>
        <vt:lpstr>Headings</vt:lpstr>
      </vt:variant>
      <vt:variant>
        <vt:i4>2</vt:i4>
      </vt:variant>
      <vt:variant>
        <vt:lpstr>Titre</vt:lpstr>
      </vt:variant>
      <vt:variant>
        <vt:i4>1</vt:i4>
      </vt:variant>
    </vt:vector>
  </HeadingPairs>
  <TitlesOfParts>
    <vt:vector size="4" baseType="lpstr">
      <vt:lpstr>RT.002 Rh Typing</vt:lpstr>
      <vt:lpstr>Réactifs :	réactifs anti-D : deux types différents de réactifs anti-D, l’un étan</vt:lpstr>
      <vt:lpstr>solution saline normale</vt:lpstr>
      <vt:lpstr>RT.002 Rh Typing</vt:lpstr>
    </vt:vector>
  </TitlesOfParts>
  <Company>Microsoft</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RT.002 Rh Typing</dc:title>
  <dc:subject/>
  <dc:creator>Transfusion Ontario Program Office</dc:creator>
  <cp:keywords/>
  <cp:lastModifiedBy>Nesrallah, Heather</cp:lastModifiedBy>
  <cp:revision>2</cp:revision>
  <cp:lastPrinted>2011-01-10T20:16:00Z</cp:lastPrinted>
  <dcterms:created xsi:type="dcterms:W3CDTF">2020-08-10T18:13:00Z</dcterms:created>
  <dcterms:modified xsi:type="dcterms:W3CDTF">2020-08-10T18:13:00Z</dcterms:modified>
</cp:coreProperties>
</file>