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FF" w:rsidRPr="00FC42A4" w:rsidRDefault="0089196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FC42A4">
        <w:rPr>
          <w:rFonts w:ascii="Arial" w:hAnsi="Arial"/>
          <w:b/>
          <w:sz w:val="28"/>
          <w:lang w:val="fr-CA"/>
        </w:rPr>
        <w:t>Principe</w:t>
      </w:r>
    </w:p>
    <w:p w:rsidR="003245FF" w:rsidRPr="00B1018F" w:rsidRDefault="003245FF">
      <w:pPr>
        <w:rPr>
          <w:rFonts w:ascii="Arial" w:hAnsi="Arial"/>
          <w:b/>
          <w:lang w:val="fr-CA"/>
        </w:rPr>
      </w:pPr>
    </w:p>
    <w:p w:rsidR="003245FF" w:rsidRPr="00FC42A4" w:rsidRDefault="00BA56E1">
      <w:pPr>
        <w:ind w:left="720"/>
        <w:rPr>
          <w:rFonts w:ascii="Arial" w:hAnsi="Arial"/>
          <w:sz w:val="24"/>
          <w:lang w:val="fr-CA"/>
        </w:rPr>
      </w:pPr>
      <w:r w:rsidRPr="00FC42A4">
        <w:rPr>
          <w:rFonts w:ascii="Arial" w:hAnsi="Arial"/>
          <w:spacing w:val="-2"/>
          <w:sz w:val="24"/>
          <w:lang w:val="fr-CA"/>
        </w:rPr>
        <w:t>Une suspension d</w:t>
      </w:r>
      <w:r w:rsidR="00803A23">
        <w:rPr>
          <w:rFonts w:ascii="Arial" w:hAnsi="Arial"/>
          <w:spacing w:val="-2"/>
          <w:sz w:val="24"/>
          <w:lang w:val="fr-CA"/>
        </w:rPr>
        <w:t xml:space="preserve">e globules rouges à </w:t>
      </w:r>
      <w:r w:rsidRPr="00FC42A4">
        <w:rPr>
          <w:rFonts w:ascii="Arial" w:hAnsi="Arial"/>
          <w:spacing w:val="-2"/>
          <w:sz w:val="24"/>
          <w:lang w:val="fr-CA"/>
        </w:rPr>
        <w:t>environ 3 % dans une solution saline normale est utilisée dans de nombreuses épreuves sérologiques courantes.</w:t>
      </w:r>
      <w:r w:rsidR="00714881" w:rsidRPr="00FC42A4">
        <w:rPr>
          <w:rFonts w:ascii="Arial" w:hAnsi="Arial"/>
          <w:spacing w:val="-2"/>
          <w:sz w:val="24"/>
          <w:lang w:val="fr-CA"/>
        </w:rPr>
        <w:t xml:space="preserve"> </w:t>
      </w:r>
      <w:r w:rsidRPr="00FC42A4">
        <w:rPr>
          <w:rFonts w:ascii="Arial" w:hAnsi="Arial"/>
          <w:spacing w:val="-2"/>
          <w:sz w:val="24"/>
          <w:lang w:val="fr-CA"/>
        </w:rPr>
        <w:t xml:space="preserve">Une suspension de globules rouges de cette concentration sérique fournit un rapport approprié et un nombre suffisant de globules rouges pour permettre la </w:t>
      </w:r>
      <w:r w:rsidR="00803A23">
        <w:rPr>
          <w:rFonts w:ascii="Arial" w:hAnsi="Arial"/>
          <w:spacing w:val="-2"/>
          <w:sz w:val="24"/>
          <w:lang w:val="fr-CA"/>
        </w:rPr>
        <w:t>lecture</w:t>
      </w:r>
      <w:r w:rsidRPr="00FC42A4">
        <w:rPr>
          <w:rFonts w:ascii="Arial" w:hAnsi="Arial"/>
          <w:spacing w:val="-2"/>
          <w:sz w:val="24"/>
          <w:lang w:val="fr-CA"/>
        </w:rPr>
        <w:t xml:space="preserve"> et l’interprétation des résultats des épreuves</w:t>
      </w:r>
      <w:r w:rsidR="00714881" w:rsidRPr="00FC42A4">
        <w:rPr>
          <w:rFonts w:ascii="Arial" w:hAnsi="Arial"/>
          <w:spacing w:val="-2"/>
          <w:sz w:val="24"/>
          <w:lang w:val="fr-CA"/>
        </w:rPr>
        <w:t>.</w:t>
      </w:r>
    </w:p>
    <w:p w:rsidR="003245FF" w:rsidRPr="00FC42A4" w:rsidRDefault="003245FF">
      <w:pPr>
        <w:ind w:left="720"/>
        <w:rPr>
          <w:rFonts w:ascii="Arial" w:hAnsi="Arial"/>
          <w:sz w:val="24"/>
          <w:lang w:val="fr-CA"/>
        </w:rPr>
      </w:pPr>
    </w:p>
    <w:p w:rsidR="00891962" w:rsidRPr="00FC42A4" w:rsidRDefault="00891962" w:rsidP="0089196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C42A4">
        <w:rPr>
          <w:rFonts w:ascii="Arial" w:hAnsi="Arial"/>
          <w:b/>
          <w:sz w:val="28"/>
          <w:lang w:val="fr-CA"/>
        </w:rPr>
        <w:t>Portée et politiques connexes</w:t>
      </w:r>
    </w:p>
    <w:p w:rsidR="003245FF" w:rsidRPr="00B1018F" w:rsidRDefault="003245FF">
      <w:pPr>
        <w:rPr>
          <w:rFonts w:ascii="Arial" w:hAnsi="Arial"/>
          <w:b/>
          <w:lang w:val="fr-CA"/>
        </w:rPr>
      </w:pPr>
    </w:p>
    <w:p w:rsidR="003245FF" w:rsidRPr="00FC42A4" w:rsidRDefault="00BA56E1">
      <w:pPr>
        <w:numPr>
          <w:ilvl w:val="1"/>
          <w:numId w:val="1"/>
        </w:numPr>
        <w:suppressAutoHyphens/>
        <w:ind w:right="720"/>
        <w:rPr>
          <w:rFonts w:ascii="Arial" w:hAnsi="Arial"/>
          <w:spacing w:val="-2"/>
          <w:sz w:val="24"/>
          <w:lang w:val="fr-CA"/>
        </w:rPr>
      </w:pPr>
      <w:r w:rsidRPr="00FC42A4">
        <w:rPr>
          <w:rFonts w:ascii="Arial" w:hAnsi="Arial"/>
          <w:spacing w:val="-2"/>
          <w:sz w:val="24"/>
          <w:lang w:val="fr-CA"/>
        </w:rPr>
        <w:t>Une suspension de globules rouges à 3 % peut servir dans les procédures suivantes </w:t>
      </w:r>
      <w:r w:rsidR="00714881" w:rsidRPr="00FC42A4">
        <w:rPr>
          <w:rFonts w:ascii="Arial" w:hAnsi="Arial"/>
          <w:spacing w:val="-2"/>
          <w:sz w:val="24"/>
          <w:lang w:val="fr-CA"/>
        </w:rPr>
        <w:t>:</w:t>
      </w:r>
    </w:p>
    <w:p w:rsidR="00A26689" w:rsidRPr="00FC42A4" w:rsidRDefault="00A26689" w:rsidP="00A26689">
      <w:pPr>
        <w:suppressAutoHyphens/>
        <w:ind w:left="720" w:right="720"/>
        <w:rPr>
          <w:rFonts w:ascii="Arial" w:hAnsi="Arial"/>
          <w:spacing w:val="-2"/>
          <w:sz w:val="24"/>
          <w:lang w:val="fr-CA"/>
        </w:rPr>
      </w:pPr>
    </w:p>
    <w:p w:rsidR="00714881" w:rsidRPr="00FC42A4" w:rsidRDefault="008C062D" w:rsidP="00A26689">
      <w:pPr>
        <w:numPr>
          <w:ilvl w:val="0"/>
          <w:numId w:val="15"/>
        </w:numPr>
        <w:tabs>
          <w:tab w:val="left" w:pos="1800"/>
        </w:tabs>
        <w:suppressAutoHyphens/>
        <w:ind w:right="720" w:hanging="720"/>
        <w:rPr>
          <w:rFonts w:ascii="Arial" w:hAnsi="Arial"/>
          <w:spacing w:val="-2"/>
          <w:sz w:val="24"/>
          <w:lang w:val="fr-CA"/>
        </w:rPr>
      </w:pPr>
      <w:proofErr w:type="gramStart"/>
      <w:r w:rsidRPr="00FC42A4">
        <w:rPr>
          <w:rFonts w:ascii="Arial" w:hAnsi="Arial"/>
          <w:spacing w:val="-2"/>
          <w:sz w:val="24"/>
          <w:lang w:val="fr-CA"/>
        </w:rPr>
        <w:t>g</w:t>
      </w:r>
      <w:r w:rsidR="00BA56E1" w:rsidRPr="00FC42A4">
        <w:rPr>
          <w:rFonts w:ascii="Arial" w:hAnsi="Arial"/>
          <w:spacing w:val="-2"/>
          <w:sz w:val="24"/>
          <w:lang w:val="fr-CA"/>
        </w:rPr>
        <w:t>roupage</w:t>
      </w:r>
      <w:proofErr w:type="gramEnd"/>
      <w:r w:rsidR="00BA56E1" w:rsidRPr="00FC42A4">
        <w:rPr>
          <w:rFonts w:ascii="Arial" w:hAnsi="Arial"/>
          <w:spacing w:val="-2"/>
          <w:sz w:val="24"/>
          <w:lang w:val="fr-CA"/>
        </w:rPr>
        <w:t xml:space="preserve"> ABO et facteur Rh</w:t>
      </w:r>
    </w:p>
    <w:p w:rsidR="00A26689" w:rsidRPr="00FC42A4" w:rsidRDefault="00A26689" w:rsidP="00A26689">
      <w:pPr>
        <w:tabs>
          <w:tab w:val="left" w:pos="1800"/>
        </w:tabs>
        <w:suppressAutoHyphens/>
        <w:ind w:left="1440" w:right="720"/>
        <w:rPr>
          <w:rFonts w:ascii="Arial" w:hAnsi="Arial"/>
          <w:spacing w:val="-2"/>
          <w:sz w:val="24"/>
          <w:lang w:val="fr-CA"/>
        </w:rPr>
      </w:pPr>
    </w:p>
    <w:p w:rsidR="00714881" w:rsidRPr="00FC42A4" w:rsidRDefault="00BA56E1" w:rsidP="00A26689">
      <w:pPr>
        <w:numPr>
          <w:ilvl w:val="0"/>
          <w:numId w:val="15"/>
        </w:numPr>
        <w:tabs>
          <w:tab w:val="left" w:pos="1800"/>
        </w:tabs>
        <w:suppressAutoHyphens/>
        <w:ind w:right="720" w:hanging="720"/>
        <w:rPr>
          <w:rFonts w:ascii="Arial" w:hAnsi="Arial"/>
          <w:spacing w:val="-2"/>
          <w:sz w:val="24"/>
          <w:lang w:val="fr-CA"/>
        </w:rPr>
      </w:pPr>
      <w:proofErr w:type="gramStart"/>
      <w:r w:rsidRPr="00FC42A4">
        <w:rPr>
          <w:rFonts w:ascii="Arial" w:hAnsi="Arial"/>
          <w:spacing w:val="-2"/>
          <w:sz w:val="24"/>
          <w:lang w:val="fr-CA"/>
        </w:rPr>
        <w:t>test</w:t>
      </w:r>
      <w:proofErr w:type="gramEnd"/>
      <w:r w:rsidRPr="00FC42A4">
        <w:rPr>
          <w:rFonts w:ascii="Arial" w:hAnsi="Arial"/>
          <w:spacing w:val="-2"/>
          <w:sz w:val="24"/>
          <w:lang w:val="fr-CA"/>
        </w:rPr>
        <w:t xml:space="preserve"> direct à l’antiglobuline</w:t>
      </w:r>
      <w:r w:rsidR="008C062D" w:rsidRPr="00FC42A4">
        <w:rPr>
          <w:rFonts w:ascii="Arial" w:hAnsi="Arial"/>
          <w:spacing w:val="-2"/>
          <w:sz w:val="24"/>
          <w:lang w:val="fr-CA"/>
        </w:rPr>
        <w:t xml:space="preserve">  et </w:t>
      </w:r>
      <w:r w:rsidR="00FC42A4">
        <w:rPr>
          <w:rFonts w:ascii="Arial" w:hAnsi="Arial"/>
          <w:spacing w:val="-2"/>
          <w:sz w:val="24"/>
          <w:lang w:val="fr-CA"/>
        </w:rPr>
        <w:t>test témoin</w:t>
      </w:r>
    </w:p>
    <w:p w:rsidR="00A26689" w:rsidRPr="00FC42A4" w:rsidRDefault="00A26689" w:rsidP="00A26689">
      <w:pPr>
        <w:tabs>
          <w:tab w:val="left" w:pos="1800"/>
        </w:tabs>
        <w:suppressAutoHyphens/>
        <w:ind w:right="720"/>
        <w:rPr>
          <w:rFonts w:ascii="Arial" w:hAnsi="Arial"/>
          <w:spacing w:val="-2"/>
          <w:sz w:val="24"/>
          <w:lang w:val="fr-CA"/>
        </w:rPr>
      </w:pPr>
    </w:p>
    <w:p w:rsidR="00714881" w:rsidRPr="00FC42A4" w:rsidRDefault="008C062D" w:rsidP="00A26689">
      <w:pPr>
        <w:numPr>
          <w:ilvl w:val="0"/>
          <w:numId w:val="15"/>
        </w:numPr>
        <w:tabs>
          <w:tab w:val="left" w:pos="1800"/>
        </w:tabs>
        <w:suppressAutoHyphens/>
        <w:ind w:right="720" w:hanging="720"/>
        <w:rPr>
          <w:rFonts w:ascii="Arial" w:hAnsi="Arial"/>
          <w:spacing w:val="-2"/>
          <w:sz w:val="24"/>
          <w:lang w:val="fr-CA"/>
        </w:rPr>
      </w:pPr>
      <w:proofErr w:type="gramStart"/>
      <w:r w:rsidRPr="00FC42A4">
        <w:rPr>
          <w:rFonts w:ascii="Arial" w:hAnsi="Arial"/>
          <w:spacing w:val="-2"/>
          <w:sz w:val="24"/>
          <w:lang w:val="fr-CA"/>
        </w:rPr>
        <w:t>compatibilité</w:t>
      </w:r>
      <w:proofErr w:type="gramEnd"/>
      <w:r w:rsidRPr="00FC42A4">
        <w:rPr>
          <w:rFonts w:ascii="Arial" w:hAnsi="Arial"/>
          <w:spacing w:val="-2"/>
          <w:sz w:val="24"/>
          <w:lang w:val="fr-CA"/>
        </w:rPr>
        <w:t xml:space="preserve"> (croisée) des unités de donneurs</w:t>
      </w:r>
    </w:p>
    <w:p w:rsidR="00A26689" w:rsidRPr="00FC42A4" w:rsidRDefault="00A26689" w:rsidP="00A26689">
      <w:pPr>
        <w:tabs>
          <w:tab w:val="left" w:pos="1800"/>
        </w:tabs>
        <w:suppressAutoHyphens/>
        <w:ind w:right="720"/>
        <w:rPr>
          <w:rFonts w:ascii="Arial" w:hAnsi="Arial"/>
          <w:spacing w:val="-2"/>
          <w:sz w:val="24"/>
          <w:lang w:val="fr-CA"/>
        </w:rPr>
      </w:pPr>
    </w:p>
    <w:p w:rsidR="00714881" w:rsidRPr="00FC42A4" w:rsidRDefault="008C062D" w:rsidP="00A26689">
      <w:pPr>
        <w:numPr>
          <w:ilvl w:val="0"/>
          <w:numId w:val="15"/>
        </w:numPr>
        <w:tabs>
          <w:tab w:val="left" w:pos="1800"/>
        </w:tabs>
        <w:suppressAutoHyphens/>
        <w:ind w:right="720" w:hanging="720"/>
        <w:rPr>
          <w:rFonts w:ascii="Arial" w:hAnsi="Arial"/>
          <w:spacing w:val="-2"/>
          <w:sz w:val="24"/>
          <w:lang w:val="fr-CA"/>
        </w:rPr>
      </w:pPr>
      <w:proofErr w:type="gramStart"/>
      <w:r w:rsidRPr="00FC42A4">
        <w:rPr>
          <w:rFonts w:ascii="Arial" w:hAnsi="Arial"/>
          <w:spacing w:val="-2"/>
          <w:sz w:val="24"/>
          <w:lang w:val="fr-CA"/>
        </w:rPr>
        <w:t>phénotypage</w:t>
      </w:r>
      <w:proofErr w:type="gramEnd"/>
      <w:r w:rsidRPr="00FC42A4">
        <w:rPr>
          <w:rFonts w:ascii="Arial" w:hAnsi="Arial"/>
          <w:spacing w:val="-2"/>
          <w:sz w:val="24"/>
          <w:lang w:val="fr-CA"/>
        </w:rPr>
        <w:t xml:space="preserve"> de globules rouges</w:t>
      </w:r>
    </w:p>
    <w:p w:rsidR="003245FF" w:rsidRPr="00FC42A4" w:rsidRDefault="003245FF">
      <w:pPr>
        <w:suppressAutoHyphens/>
        <w:ind w:left="1440"/>
        <w:rPr>
          <w:rFonts w:ascii="Arial" w:hAnsi="Arial"/>
          <w:spacing w:val="-2"/>
          <w:sz w:val="24"/>
          <w:lang w:val="fr-CA"/>
        </w:rPr>
      </w:pPr>
    </w:p>
    <w:p w:rsidR="003245FF" w:rsidRPr="00FC42A4" w:rsidRDefault="008C062D">
      <w:pPr>
        <w:numPr>
          <w:ilvl w:val="1"/>
          <w:numId w:val="1"/>
        </w:numPr>
        <w:suppressAutoHyphens/>
        <w:ind w:right="720"/>
        <w:rPr>
          <w:rFonts w:ascii="Arial" w:hAnsi="Arial"/>
          <w:spacing w:val="-2"/>
          <w:sz w:val="24"/>
          <w:lang w:val="fr-CA"/>
        </w:rPr>
      </w:pPr>
      <w:r w:rsidRPr="00FC42A4">
        <w:rPr>
          <w:rFonts w:ascii="Arial" w:hAnsi="Arial"/>
          <w:spacing w:val="-2"/>
          <w:sz w:val="24"/>
          <w:lang w:val="fr-CA"/>
        </w:rPr>
        <w:t>Utiliser la suspension de globules rouges le jour de sa préparation pour obtenir des résultats optimaux.</w:t>
      </w:r>
    </w:p>
    <w:p w:rsidR="00714881" w:rsidRPr="00FC42A4" w:rsidRDefault="00714881" w:rsidP="00714881">
      <w:pPr>
        <w:suppressAutoHyphens/>
        <w:ind w:left="720" w:right="720"/>
        <w:rPr>
          <w:rFonts w:ascii="Arial" w:hAnsi="Arial"/>
          <w:spacing w:val="-2"/>
          <w:sz w:val="24"/>
          <w:lang w:val="fr-CA"/>
        </w:rPr>
      </w:pPr>
    </w:p>
    <w:p w:rsidR="00714881" w:rsidRPr="00FC42A4" w:rsidRDefault="008C062D">
      <w:pPr>
        <w:numPr>
          <w:ilvl w:val="1"/>
          <w:numId w:val="1"/>
        </w:numPr>
        <w:suppressAutoHyphens/>
        <w:ind w:right="720"/>
        <w:rPr>
          <w:rFonts w:ascii="Arial" w:hAnsi="Arial"/>
          <w:spacing w:val="-2"/>
          <w:sz w:val="24"/>
          <w:lang w:val="fr-CA"/>
        </w:rPr>
      </w:pPr>
      <w:r w:rsidRPr="00FC42A4">
        <w:rPr>
          <w:rFonts w:ascii="Arial" w:hAnsi="Arial"/>
          <w:spacing w:val="-2"/>
          <w:sz w:val="24"/>
          <w:lang w:val="fr-CA"/>
        </w:rPr>
        <w:t>Procéder à une vérification pour s’assurer que l’identification du patient sur l’échantillon utilisé pour l’épreuve est identique à l’information sur la demande</w:t>
      </w:r>
      <w:r w:rsidR="00714881" w:rsidRPr="00FC42A4">
        <w:rPr>
          <w:rFonts w:ascii="Arial" w:hAnsi="Arial"/>
          <w:spacing w:val="-2"/>
          <w:sz w:val="24"/>
          <w:lang w:val="fr-CA"/>
        </w:rPr>
        <w:t xml:space="preserve">. </w:t>
      </w:r>
    </w:p>
    <w:p w:rsidR="003245FF" w:rsidRPr="00FC42A4" w:rsidRDefault="00B8356D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br w:type="page"/>
      </w:r>
    </w:p>
    <w:p w:rsidR="003245FF" w:rsidRPr="00FC42A4" w:rsidRDefault="0089196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C42A4">
        <w:rPr>
          <w:rFonts w:ascii="Arial" w:hAnsi="Arial"/>
          <w:b/>
          <w:sz w:val="28"/>
          <w:lang w:val="fr-CA"/>
        </w:rPr>
        <w:lastRenderedPageBreak/>
        <w:t>Échantillon</w:t>
      </w:r>
    </w:p>
    <w:p w:rsidR="003245FF" w:rsidRPr="00B1018F" w:rsidRDefault="003245FF">
      <w:pPr>
        <w:rPr>
          <w:rFonts w:ascii="Arial" w:hAnsi="Arial"/>
          <w:lang w:val="fr-CA"/>
        </w:rPr>
      </w:pPr>
    </w:p>
    <w:p w:rsidR="008C062D" w:rsidRDefault="008C062D" w:rsidP="008C062D">
      <w:pPr>
        <w:ind w:left="720"/>
        <w:rPr>
          <w:rFonts w:ascii="Arial" w:hAnsi="Arial"/>
          <w:sz w:val="24"/>
          <w:lang w:val="fr-CA"/>
        </w:rPr>
      </w:pPr>
      <w:r w:rsidRPr="00FC42A4">
        <w:rPr>
          <w:rFonts w:ascii="Arial" w:hAnsi="Arial"/>
          <w:sz w:val="24"/>
          <w:lang w:val="fr-CA"/>
        </w:rPr>
        <w:t>Sang total anticoagulé - tube EDTA</w:t>
      </w:r>
    </w:p>
    <w:p w:rsidR="00B8356D" w:rsidRPr="00FC42A4" w:rsidRDefault="00B8356D" w:rsidP="008C062D">
      <w:pPr>
        <w:ind w:left="720"/>
        <w:rPr>
          <w:rFonts w:ascii="Arial" w:hAnsi="Arial"/>
          <w:sz w:val="24"/>
          <w:lang w:val="fr-CA"/>
        </w:rPr>
      </w:pPr>
    </w:p>
    <w:p w:rsidR="003245FF" w:rsidRPr="00FC42A4" w:rsidRDefault="003245FF" w:rsidP="008C062D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C42A4">
        <w:rPr>
          <w:rFonts w:ascii="Arial" w:hAnsi="Arial"/>
          <w:b/>
          <w:sz w:val="28"/>
          <w:lang w:val="fr-CA"/>
        </w:rPr>
        <w:t>Mat</w:t>
      </w:r>
      <w:r w:rsidR="00891962" w:rsidRPr="00FC42A4">
        <w:rPr>
          <w:rFonts w:ascii="Arial" w:hAnsi="Arial"/>
          <w:b/>
          <w:sz w:val="28"/>
          <w:lang w:val="fr-CA"/>
        </w:rPr>
        <w:t>é</w:t>
      </w:r>
      <w:r w:rsidRPr="00FC42A4">
        <w:rPr>
          <w:rFonts w:ascii="Arial" w:hAnsi="Arial"/>
          <w:b/>
          <w:sz w:val="28"/>
          <w:lang w:val="fr-CA"/>
        </w:rPr>
        <w:t>ri</w:t>
      </w:r>
      <w:r w:rsidR="00891962" w:rsidRPr="00FC42A4">
        <w:rPr>
          <w:rFonts w:ascii="Arial" w:hAnsi="Arial"/>
          <w:b/>
          <w:sz w:val="28"/>
          <w:lang w:val="fr-CA"/>
        </w:rPr>
        <w:t>e</w:t>
      </w:r>
      <w:r w:rsidRPr="00FC42A4">
        <w:rPr>
          <w:rFonts w:ascii="Arial" w:hAnsi="Arial"/>
          <w:b/>
          <w:sz w:val="28"/>
          <w:lang w:val="fr-CA"/>
        </w:rPr>
        <w:t>l</w:t>
      </w:r>
    </w:p>
    <w:p w:rsidR="003245FF" w:rsidRPr="00B1018F" w:rsidRDefault="003245FF">
      <w:pPr>
        <w:rPr>
          <w:rFonts w:ascii="Arial" w:hAnsi="Arial"/>
          <w:lang w:val="fr-CA"/>
        </w:rPr>
      </w:pPr>
    </w:p>
    <w:p w:rsidR="003245FF" w:rsidRPr="00FC42A4" w:rsidRDefault="00891962">
      <w:pPr>
        <w:ind w:left="720"/>
        <w:rPr>
          <w:rFonts w:ascii="Arial" w:hAnsi="Arial"/>
          <w:sz w:val="24"/>
          <w:lang w:val="fr-CA"/>
        </w:rPr>
      </w:pPr>
      <w:r w:rsidRPr="00FC42A4">
        <w:rPr>
          <w:rFonts w:ascii="Arial" w:hAnsi="Arial"/>
          <w:b/>
          <w:sz w:val="24"/>
          <w:lang w:val="fr-CA"/>
        </w:rPr>
        <w:t>É</w:t>
      </w:r>
      <w:r w:rsidR="003245FF" w:rsidRPr="00FC42A4">
        <w:rPr>
          <w:rFonts w:ascii="Arial" w:hAnsi="Arial"/>
          <w:b/>
          <w:sz w:val="24"/>
          <w:lang w:val="fr-CA"/>
        </w:rPr>
        <w:t>quip</w:t>
      </w:r>
      <w:r w:rsidRPr="00FC42A4">
        <w:rPr>
          <w:rFonts w:ascii="Arial" w:hAnsi="Arial"/>
          <w:b/>
          <w:sz w:val="24"/>
          <w:lang w:val="fr-CA"/>
        </w:rPr>
        <w:t>e</w:t>
      </w:r>
      <w:r w:rsidR="003245FF" w:rsidRPr="00FC42A4">
        <w:rPr>
          <w:rFonts w:ascii="Arial" w:hAnsi="Arial"/>
          <w:b/>
          <w:sz w:val="24"/>
          <w:lang w:val="fr-CA"/>
        </w:rPr>
        <w:t>ment</w:t>
      </w:r>
      <w:r w:rsidRPr="00FC42A4">
        <w:rPr>
          <w:rFonts w:ascii="Arial" w:hAnsi="Arial"/>
          <w:b/>
          <w:sz w:val="24"/>
          <w:lang w:val="fr-CA"/>
        </w:rPr>
        <w:t> </w:t>
      </w:r>
      <w:r w:rsidR="003245FF" w:rsidRPr="00FC42A4">
        <w:rPr>
          <w:rFonts w:ascii="Arial" w:hAnsi="Arial"/>
          <w:b/>
          <w:sz w:val="24"/>
          <w:lang w:val="fr-CA"/>
        </w:rPr>
        <w:t>:</w:t>
      </w:r>
      <w:r w:rsidR="003245FF" w:rsidRPr="00FC42A4">
        <w:rPr>
          <w:rFonts w:ascii="Arial" w:hAnsi="Arial"/>
          <w:sz w:val="24"/>
          <w:lang w:val="fr-CA"/>
        </w:rPr>
        <w:tab/>
      </w:r>
      <w:r w:rsidR="004C708C" w:rsidRPr="00FC42A4">
        <w:rPr>
          <w:rFonts w:ascii="Arial" w:hAnsi="Arial"/>
          <w:sz w:val="24"/>
          <w:lang w:val="fr-CA"/>
        </w:rPr>
        <w:t>support à tubes</w:t>
      </w:r>
    </w:p>
    <w:p w:rsidR="003245FF" w:rsidRPr="00FC42A4" w:rsidRDefault="003245FF">
      <w:pPr>
        <w:ind w:left="720"/>
        <w:rPr>
          <w:rFonts w:ascii="Arial" w:hAnsi="Arial"/>
          <w:sz w:val="24"/>
          <w:lang w:val="fr-CA"/>
        </w:rPr>
      </w:pPr>
      <w:r w:rsidRPr="00FC42A4">
        <w:rPr>
          <w:rFonts w:ascii="Arial" w:hAnsi="Arial"/>
          <w:sz w:val="24"/>
          <w:lang w:val="fr-CA"/>
        </w:rPr>
        <w:tab/>
      </w:r>
      <w:r w:rsidRPr="00FC42A4">
        <w:rPr>
          <w:rFonts w:ascii="Arial" w:hAnsi="Arial"/>
          <w:sz w:val="24"/>
          <w:lang w:val="fr-CA"/>
        </w:rPr>
        <w:tab/>
      </w:r>
      <w:r w:rsidRPr="00FC42A4">
        <w:rPr>
          <w:rFonts w:ascii="Arial" w:hAnsi="Arial"/>
          <w:sz w:val="24"/>
          <w:lang w:val="fr-CA"/>
        </w:rPr>
        <w:tab/>
      </w:r>
    </w:p>
    <w:p w:rsidR="003245FF" w:rsidRPr="00FC42A4" w:rsidRDefault="00891962">
      <w:pPr>
        <w:ind w:left="720"/>
        <w:rPr>
          <w:rFonts w:ascii="Arial" w:hAnsi="Arial"/>
          <w:sz w:val="24"/>
          <w:lang w:val="fr-CA"/>
        </w:rPr>
      </w:pPr>
      <w:r w:rsidRPr="00FC42A4">
        <w:rPr>
          <w:rFonts w:ascii="Arial" w:hAnsi="Arial"/>
          <w:b/>
          <w:sz w:val="24"/>
          <w:lang w:val="fr-CA"/>
        </w:rPr>
        <w:t>Fournitures </w:t>
      </w:r>
      <w:r w:rsidR="003245FF" w:rsidRPr="00FC42A4">
        <w:rPr>
          <w:rFonts w:ascii="Arial" w:hAnsi="Arial"/>
          <w:b/>
          <w:sz w:val="24"/>
          <w:lang w:val="fr-CA"/>
        </w:rPr>
        <w:t>:</w:t>
      </w:r>
      <w:r w:rsidR="003245FF" w:rsidRPr="00FC42A4">
        <w:rPr>
          <w:rFonts w:ascii="Arial" w:hAnsi="Arial"/>
          <w:sz w:val="24"/>
          <w:lang w:val="fr-CA"/>
        </w:rPr>
        <w:tab/>
      </w:r>
      <w:r w:rsidR="004C708C" w:rsidRPr="00FC42A4">
        <w:rPr>
          <w:rFonts w:ascii="Arial" w:hAnsi="Arial"/>
          <w:sz w:val="24"/>
          <w:lang w:val="fr-CA"/>
        </w:rPr>
        <w:t>tubes 10 x 75 mm</w:t>
      </w:r>
    </w:p>
    <w:p w:rsidR="003245FF" w:rsidRPr="00FC42A4" w:rsidRDefault="003245FF">
      <w:pPr>
        <w:ind w:left="720"/>
        <w:rPr>
          <w:rFonts w:ascii="Arial" w:hAnsi="Arial"/>
          <w:sz w:val="24"/>
          <w:highlight w:val="green"/>
          <w:lang w:val="fr-CA"/>
        </w:rPr>
      </w:pPr>
      <w:r w:rsidRPr="00FC42A4">
        <w:rPr>
          <w:rFonts w:ascii="Arial" w:hAnsi="Arial"/>
          <w:sz w:val="24"/>
          <w:lang w:val="fr-CA"/>
        </w:rPr>
        <w:tab/>
      </w:r>
      <w:r w:rsidRPr="00FC42A4">
        <w:rPr>
          <w:rFonts w:ascii="Arial" w:hAnsi="Arial"/>
          <w:sz w:val="24"/>
          <w:lang w:val="fr-CA"/>
        </w:rPr>
        <w:tab/>
      </w:r>
      <w:r w:rsidRPr="00FC42A4">
        <w:rPr>
          <w:rFonts w:ascii="Arial" w:hAnsi="Arial"/>
          <w:sz w:val="24"/>
          <w:lang w:val="fr-CA"/>
        </w:rPr>
        <w:tab/>
      </w:r>
      <w:proofErr w:type="gramStart"/>
      <w:r w:rsidR="004C708C" w:rsidRPr="00FC42A4">
        <w:rPr>
          <w:rFonts w:ascii="Arial" w:hAnsi="Arial"/>
          <w:sz w:val="24"/>
          <w:lang w:val="fr-CA"/>
        </w:rPr>
        <w:t>pipettes</w:t>
      </w:r>
      <w:proofErr w:type="gramEnd"/>
      <w:r w:rsidR="004C708C" w:rsidRPr="00FC42A4">
        <w:rPr>
          <w:rFonts w:ascii="Arial" w:hAnsi="Arial"/>
          <w:sz w:val="24"/>
          <w:lang w:val="fr-CA"/>
        </w:rPr>
        <w:t xml:space="preserve"> sérologiques</w:t>
      </w:r>
    </w:p>
    <w:p w:rsidR="003245FF" w:rsidRPr="00FC42A4" w:rsidRDefault="003245FF">
      <w:pPr>
        <w:ind w:left="720"/>
        <w:rPr>
          <w:rFonts w:ascii="Arial" w:hAnsi="Arial"/>
          <w:sz w:val="24"/>
          <w:lang w:val="fr-CA"/>
        </w:rPr>
      </w:pPr>
      <w:r w:rsidRPr="00FC42A4">
        <w:rPr>
          <w:rFonts w:ascii="Arial" w:hAnsi="Arial"/>
          <w:sz w:val="24"/>
          <w:lang w:val="fr-CA"/>
        </w:rPr>
        <w:tab/>
      </w:r>
      <w:r w:rsidRPr="00FC42A4">
        <w:rPr>
          <w:rFonts w:ascii="Arial" w:hAnsi="Arial"/>
          <w:sz w:val="24"/>
          <w:lang w:val="fr-CA"/>
        </w:rPr>
        <w:tab/>
      </w:r>
      <w:r w:rsidRPr="00FC42A4">
        <w:rPr>
          <w:rFonts w:ascii="Arial" w:hAnsi="Arial"/>
          <w:sz w:val="24"/>
          <w:lang w:val="fr-CA"/>
        </w:rPr>
        <w:tab/>
      </w:r>
    </w:p>
    <w:p w:rsidR="003245FF" w:rsidRPr="00FC42A4" w:rsidRDefault="003245FF">
      <w:pPr>
        <w:ind w:left="720"/>
        <w:rPr>
          <w:rFonts w:ascii="Arial" w:hAnsi="Arial"/>
          <w:sz w:val="24"/>
          <w:lang w:val="fr-CA"/>
        </w:rPr>
      </w:pPr>
      <w:r w:rsidRPr="00FC42A4">
        <w:rPr>
          <w:rFonts w:ascii="Arial" w:hAnsi="Arial"/>
          <w:b/>
          <w:sz w:val="24"/>
          <w:lang w:val="fr-CA"/>
        </w:rPr>
        <w:t>R</w:t>
      </w:r>
      <w:r w:rsidR="00891962" w:rsidRPr="00FC42A4">
        <w:rPr>
          <w:rFonts w:ascii="Arial" w:hAnsi="Arial"/>
          <w:b/>
          <w:sz w:val="24"/>
          <w:lang w:val="fr-CA"/>
        </w:rPr>
        <w:t>é</w:t>
      </w:r>
      <w:r w:rsidRPr="00FC42A4">
        <w:rPr>
          <w:rFonts w:ascii="Arial" w:hAnsi="Arial"/>
          <w:b/>
          <w:sz w:val="24"/>
          <w:lang w:val="fr-CA"/>
        </w:rPr>
        <w:t>a</w:t>
      </w:r>
      <w:r w:rsidR="00891962" w:rsidRPr="00FC42A4">
        <w:rPr>
          <w:rFonts w:ascii="Arial" w:hAnsi="Arial"/>
          <w:b/>
          <w:sz w:val="24"/>
          <w:lang w:val="fr-CA"/>
        </w:rPr>
        <w:t>ctifs </w:t>
      </w:r>
      <w:r w:rsidRPr="00FC42A4">
        <w:rPr>
          <w:rFonts w:ascii="Arial" w:hAnsi="Arial"/>
          <w:b/>
          <w:sz w:val="24"/>
          <w:lang w:val="fr-CA"/>
        </w:rPr>
        <w:t>:</w:t>
      </w:r>
      <w:r w:rsidRPr="00FC42A4">
        <w:rPr>
          <w:rFonts w:ascii="Arial" w:hAnsi="Arial"/>
          <w:sz w:val="24"/>
          <w:lang w:val="fr-CA"/>
        </w:rPr>
        <w:tab/>
      </w:r>
      <w:r w:rsidRPr="00FC42A4">
        <w:rPr>
          <w:rFonts w:ascii="Arial" w:hAnsi="Arial"/>
          <w:sz w:val="24"/>
          <w:lang w:val="fr-CA"/>
        </w:rPr>
        <w:tab/>
      </w:r>
      <w:r w:rsidR="004C708C" w:rsidRPr="00FC42A4">
        <w:rPr>
          <w:rFonts w:ascii="Arial" w:hAnsi="Arial"/>
          <w:sz w:val="24"/>
          <w:lang w:val="fr-CA"/>
        </w:rPr>
        <w:t>solution saline normale</w:t>
      </w:r>
    </w:p>
    <w:p w:rsidR="003245FF" w:rsidRPr="00FC42A4" w:rsidRDefault="003245FF" w:rsidP="00714881">
      <w:pPr>
        <w:suppressAutoHyphens/>
        <w:ind w:left="2880"/>
        <w:rPr>
          <w:rFonts w:ascii="Arial" w:hAnsi="Arial"/>
          <w:sz w:val="24"/>
          <w:lang w:val="fr-CA"/>
        </w:rPr>
      </w:pPr>
      <w:r w:rsidRPr="00FC42A4">
        <w:rPr>
          <w:rFonts w:ascii="Arial" w:hAnsi="Arial"/>
          <w:sz w:val="24"/>
          <w:lang w:val="fr-CA"/>
        </w:rPr>
        <w:tab/>
      </w:r>
      <w:r w:rsidRPr="00FC42A4">
        <w:rPr>
          <w:rFonts w:ascii="Arial" w:hAnsi="Arial"/>
          <w:sz w:val="24"/>
          <w:lang w:val="fr-CA"/>
        </w:rPr>
        <w:tab/>
      </w:r>
    </w:p>
    <w:p w:rsidR="003245FF" w:rsidRPr="00FC42A4" w:rsidRDefault="0071488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C42A4">
        <w:rPr>
          <w:rFonts w:ascii="Arial" w:hAnsi="Arial"/>
          <w:b/>
          <w:sz w:val="28"/>
          <w:lang w:val="fr-CA"/>
        </w:rPr>
        <w:t>Contr</w:t>
      </w:r>
      <w:r w:rsidR="00891962" w:rsidRPr="00FC42A4">
        <w:rPr>
          <w:rFonts w:ascii="Arial" w:hAnsi="Arial"/>
          <w:b/>
          <w:sz w:val="28"/>
          <w:lang w:val="fr-CA"/>
        </w:rPr>
        <w:t>ôle de la qualité</w:t>
      </w:r>
    </w:p>
    <w:p w:rsidR="00714881" w:rsidRPr="00B1018F" w:rsidRDefault="00714881" w:rsidP="00714881">
      <w:pPr>
        <w:rPr>
          <w:rFonts w:ascii="Arial" w:hAnsi="Arial"/>
          <w:szCs w:val="24"/>
          <w:lang w:val="fr-CA"/>
        </w:rPr>
      </w:pPr>
    </w:p>
    <w:p w:rsidR="00714881" w:rsidRPr="00FC42A4" w:rsidRDefault="004C708C" w:rsidP="00714881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 w:rsidRPr="00FC42A4">
        <w:rPr>
          <w:rFonts w:ascii="Arial" w:hAnsi="Arial"/>
          <w:sz w:val="24"/>
          <w:szCs w:val="24"/>
          <w:lang w:val="fr-CA"/>
        </w:rPr>
        <w:t xml:space="preserve">On peut comparer les globules rouges préparés </w:t>
      </w:r>
      <w:proofErr w:type="gramStart"/>
      <w:r w:rsidRPr="00FC42A4">
        <w:rPr>
          <w:rFonts w:ascii="Arial" w:hAnsi="Arial"/>
          <w:sz w:val="24"/>
          <w:szCs w:val="24"/>
          <w:lang w:val="fr-CA"/>
        </w:rPr>
        <w:t xml:space="preserve">à </w:t>
      </w:r>
      <w:r w:rsidR="00714881" w:rsidRPr="00FC42A4">
        <w:rPr>
          <w:rFonts w:ascii="Arial" w:hAnsi="Arial"/>
          <w:sz w:val="24"/>
          <w:szCs w:val="24"/>
          <w:lang w:val="fr-CA"/>
        </w:rPr>
        <w:t xml:space="preserve"> 3</w:t>
      </w:r>
      <w:proofErr w:type="gramEnd"/>
      <w:r w:rsidR="00714881" w:rsidRPr="00FC42A4">
        <w:rPr>
          <w:rFonts w:ascii="Arial" w:hAnsi="Arial"/>
          <w:sz w:val="24"/>
          <w:szCs w:val="24"/>
          <w:lang w:val="fr-CA"/>
        </w:rPr>
        <w:t xml:space="preserve">% </w:t>
      </w:r>
      <w:r w:rsidRPr="00FC42A4">
        <w:rPr>
          <w:rFonts w:ascii="Arial" w:hAnsi="Arial"/>
          <w:sz w:val="24"/>
          <w:szCs w:val="24"/>
          <w:lang w:val="fr-CA"/>
        </w:rPr>
        <w:t>avec une suspension commerciale de globules rouges à 3 % pour s’assurer d’avoir une concentration appropriée</w:t>
      </w:r>
    </w:p>
    <w:p w:rsidR="00714881" w:rsidRPr="00FC42A4" w:rsidRDefault="00714881" w:rsidP="00714881">
      <w:pPr>
        <w:ind w:left="720"/>
        <w:rPr>
          <w:rFonts w:ascii="Arial" w:hAnsi="Arial"/>
          <w:sz w:val="24"/>
          <w:szCs w:val="24"/>
          <w:lang w:val="fr-CA"/>
        </w:rPr>
      </w:pPr>
    </w:p>
    <w:p w:rsidR="00714881" w:rsidRPr="00FC42A4" w:rsidRDefault="00CC5D34" w:rsidP="00714881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 w:rsidRPr="00FC42A4">
        <w:rPr>
          <w:rFonts w:ascii="Arial" w:hAnsi="Arial"/>
          <w:sz w:val="24"/>
          <w:szCs w:val="24"/>
          <w:lang w:val="fr-CA"/>
        </w:rPr>
        <w:t xml:space="preserve">La suspension de globules rouges à 3 % doit être bien mélangée avant de servir dans des épreuves. </w:t>
      </w:r>
    </w:p>
    <w:p w:rsidR="003245FF" w:rsidRPr="00FC42A4" w:rsidRDefault="003245FF">
      <w:pPr>
        <w:ind w:left="720"/>
        <w:rPr>
          <w:rFonts w:ascii="Arial" w:hAnsi="Arial"/>
          <w:sz w:val="24"/>
          <w:lang w:val="fr-CA"/>
        </w:rPr>
      </w:pPr>
    </w:p>
    <w:p w:rsidR="003245FF" w:rsidRPr="00FC42A4" w:rsidRDefault="003245F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C42A4">
        <w:rPr>
          <w:rFonts w:ascii="Arial" w:hAnsi="Arial"/>
          <w:b/>
          <w:sz w:val="28"/>
          <w:lang w:val="fr-CA"/>
        </w:rPr>
        <w:t>Proc</w:t>
      </w:r>
      <w:r w:rsidR="00891962" w:rsidRPr="00FC42A4">
        <w:rPr>
          <w:rFonts w:ascii="Arial" w:hAnsi="Arial"/>
          <w:b/>
          <w:sz w:val="28"/>
          <w:lang w:val="fr-CA"/>
        </w:rPr>
        <w:t>é</w:t>
      </w:r>
      <w:r w:rsidRPr="00FC42A4">
        <w:rPr>
          <w:rFonts w:ascii="Arial" w:hAnsi="Arial"/>
          <w:b/>
          <w:sz w:val="28"/>
          <w:lang w:val="fr-CA"/>
        </w:rPr>
        <w:t>dure</w:t>
      </w:r>
    </w:p>
    <w:p w:rsidR="003A0FDD" w:rsidRPr="00B1018F" w:rsidRDefault="003A0FDD">
      <w:pPr>
        <w:ind w:left="720"/>
        <w:rPr>
          <w:rFonts w:ascii="Arial" w:hAnsi="Arial"/>
          <w:szCs w:val="24"/>
          <w:lang w:val="fr-CA"/>
        </w:rPr>
      </w:pPr>
    </w:p>
    <w:p w:rsidR="00B8356D" w:rsidRDefault="00B8356D">
      <w:pPr>
        <w:numPr>
          <w:ilvl w:val="1"/>
          <w:numId w:val="1"/>
        </w:numPr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Étiquetage des tubes :</w:t>
      </w:r>
    </w:p>
    <w:p w:rsidR="00B8356D" w:rsidRDefault="00B8356D" w:rsidP="00B8356D">
      <w:pPr>
        <w:ind w:left="1440"/>
        <w:rPr>
          <w:rFonts w:ascii="Arial" w:hAnsi="Arial"/>
          <w:spacing w:val="-2"/>
          <w:sz w:val="24"/>
          <w:lang w:val="fr-CA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4772"/>
      </w:tblGrid>
      <w:tr w:rsidR="00B8356D" w:rsidRPr="000F03B1" w:rsidTr="000F03B1">
        <w:tc>
          <w:tcPr>
            <w:tcW w:w="2496" w:type="dxa"/>
            <w:shd w:val="clear" w:color="auto" w:fill="DDD9C3"/>
          </w:tcPr>
          <w:p w:rsidR="00B8356D" w:rsidRPr="000F03B1" w:rsidRDefault="00B8356D" w:rsidP="00B8356D">
            <w:pPr>
              <w:rPr>
                <w:rFonts w:ascii="Arial" w:hAnsi="Arial"/>
                <w:i/>
                <w:spacing w:val="-2"/>
                <w:sz w:val="24"/>
                <w:lang w:val="fr-CA"/>
              </w:rPr>
            </w:pPr>
            <w:r w:rsidRPr="000F03B1">
              <w:rPr>
                <w:rFonts w:ascii="Arial" w:hAnsi="Arial"/>
                <w:i/>
                <w:spacing w:val="-2"/>
                <w:sz w:val="24"/>
                <w:lang w:val="fr-CA"/>
              </w:rPr>
              <w:t>Si</w:t>
            </w:r>
          </w:p>
        </w:tc>
        <w:tc>
          <w:tcPr>
            <w:tcW w:w="4920" w:type="dxa"/>
            <w:shd w:val="clear" w:color="auto" w:fill="DDD9C3"/>
          </w:tcPr>
          <w:p w:rsidR="00B8356D" w:rsidRPr="000F03B1" w:rsidRDefault="00B8356D" w:rsidP="00B8356D">
            <w:pPr>
              <w:rPr>
                <w:rFonts w:ascii="Arial" w:hAnsi="Arial"/>
                <w:i/>
                <w:spacing w:val="-2"/>
                <w:sz w:val="24"/>
                <w:lang w:val="fr-CA"/>
              </w:rPr>
            </w:pPr>
            <w:r w:rsidRPr="000F03B1">
              <w:rPr>
                <w:rFonts w:ascii="Arial" w:hAnsi="Arial"/>
                <w:i/>
                <w:spacing w:val="-2"/>
                <w:sz w:val="24"/>
                <w:lang w:val="fr-CA"/>
              </w:rPr>
              <w:t>Vous devez…</w:t>
            </w:r>
          </w:p>
        </w:tc>
      </w:tr>
      <w:tr w:rsidR="00B8356D" w:rsidRPr="000F03B1" w:rsidTr="000F03B1">
        <w:tc>
          <w:tcPr>
            <w:tcW w:w="2496" w:type="dxa"/>
          </w:tcPr>
          <w:p w:rsidR="00B8356D" w:rsidRPr="000F03B1" w:rsidRDefault="00B8356D" w:rsidP="00B8356D">
            <w:pPr>
              <w:rPr>
                <w:rFonts w:ascii="Arial" w:hAnsi="Arial"/>
                <w:spacing w:val="-2"/>
                <w:sz w:val="24"/>
                <w:lang w:val="fr-CA"/>
              </w:rPr>
            </w:pPr>
            <w:r w:rsidRPr="000F03B1">
              <w:rPr>
                <w:rFonts w:ascii="Arial" w:hAnsi="Arial"/>
                <w:spacing w:val="-2"/>
                <w:sz w:val="24"/>
                <w:lang w:val="fr-CA"/>
              </w:rPr>
              <w:t xml:space="preserve">Ce sont des cellules de patients </w:t>
            </w:r>
          </w:p>
        </w:tc>
        <w:tc>
          <w:tcPr>
            <w:tcW w:w="4920" w:type="dxa"/>
          </w:tcPr>
          <w:p w:rsidR="00B8356D" w:rsidRPr="000F03B1" w:rsidRDefault="00B8356D" w:rsidP="000F03B1">
            <w:pPr>
              <w:ind w:left="317"/>
              <w:rPr>
                <w:rFonts w:ascii="Arial" w:hAnsi="Arial"/>
                <w:spacing w:val="-2"/>
                <w:sz w:val="24"/>
                <w:lang w:val="fr-CA"/>
              </w:rPr>
            </w:pPr>
            <w:r w:rsidRPr="000F03B1">
              <w:rPr>
                <w:rFonts w:ascii="Arial" w:hAnsi="Arial"/>
                <w:sz w:val="24"/>
                <w:lang w:val="fr-CA"/>
              </w:rPr>
              <w:t>Inscrire les trois premières lettres du nom de famille du patient sur un tube; copier les renseignements à partir de l’échantillon et non du formulaire de demande</w:t>
            </w:r>
            <w:r w:rsidRPr="000F03B1">
              <w:rPr>
                <w:rFonts w:ascii="Arial" w:hAnsi="Arial"/>
                <w:spacing w:val="-2"/>
                <w:sz w:val="24"/>
                <w:lang w:val="fr-CA"/>
              </w:rPr>
              <w:t>.</w:t>
            </w:r>
          </w:p>
          <w:p w:rsidR="00B8356D" w:rsidRPr="000F03B1" w:rsidRDefault="00B8356D" w:rsidP="00B8356D">
            <w:pPr>
              <w:rPr>
                <w:rFonts w:ascii="Arial" w:hAnsi="Arial"/>
                <w:spacing w:val="-2"/>
                <w:sz w:val="24"/>
                <w:lang w:val="fr-CA"/>
              </w:rPr>
            </w:pPr>
          </w:p>
        </w:tc>
      </w:tr>
      <w:tr w:rsidR="00B8356D" w:rsidRPr="000F03B1" w:rsidTr="000F03B1">
        <w:tc>
          <w:tcPr>
            <w:tcW w:w="2496" w:type="dxa"/>
          </w:tcPr>
          <w:p w:rsidR="00B8356D" w:rsidRPr="000F03B1" w:rsidRDefault="00B8356D" w:rsidP="000F03B1">
            <w:pPr>
              <w:ind w:left="720"/>
              <w:rPr>
                <w:rFonts w:ascii="Arial" w:hAnsi="Arial"/>
                <w:spacing w:val="-2"/>
                <w:sz w:val="24"/>
                <w:lang w:val="fr-CA"/>
              </w:rPr>
            </w:pPr>
          </w:p>
          <w:p w:rsidR="00B8356D" w:rsidRPr="000F03B1" w:rsidRDefault="00B8356D" w:rsidP="00B8356D">
            <w:pPr>
              <w:rPr>
                <w:rFonts w:ascii="Arial" w:hAnsi="Arial"/>
                <w:spacing w:val="-2"/>
                <w:sz w:val="24"/>
                <w:lang w:val="fr-CA"/>
              </w:rPr>
            </w:pPr>
            <w:r w:rsidRPr="000F03B1">
              <w:rPr>
                <w:rFonts w:ascii="Arial" w:hAnsi="Arial"/>
                <w:spacing w:val="-2"/>
                <w:sz w:val="24"/>
                <w:lang w:val="fr-CA"/>
              </w:rPr>
              <w:t>Ce sont des cellules d’unités de donneur :</w:t>
            </w:r>
          </w:p>
          <w:p w:rsidR="00B8356D" w:rsidRPr="000F03B1" w:rsidRDefault="00B8356D" w:rsidP="00B8356D">
            <w:pPr>
              <w:rPr>
                <w:rFonts w:ascii="Arial" w:hAnsi="Arial"/>
                <w:spacing w:val="-2"/>
                <w:sz w:val="24"/>
                <w:lang w:val="fr-CA"/>
              </w:rPr>
            </w:pPr>
          </w:p>
        </w:tc>
        <w:tc>
          <w:tcPr>
            <w:tcW w:w="4920" w:type="dxa"/>
          </w:tcPr>
          <w:p w:rsidR="00B8356D" w:rsidRPr="000F03B1" w:rsidRDefault="00B8356D" w:rsidP="000F03B1">
            <w:pPr>
              <w:ind w:left="317"/>
              <w:rPr>
                <w:rFonts w:ascii="Arial" w:hAnsi="Arial"/>
                <w:spacing w:val="-2"/>
                <w:sz w:val="24"/>
                <w:lang w:val="fr-CA"/>
              </w:rPr>
            </w:pPr>
            <w:r w:rsidRPr="000F03B1">
              <w:rPr>
                <w:rFonts w:ascii="Arial" w:hAnsi="Arial"/>
                <w:spacing w:val="-2"/>
                <w:sz w:val="24"/>
                <w:lang w:val="fr-CA"/>
              </w:rPr>
              <w:t>Inscrire sur un tube le numéro de l’unité de donneur.</w:t>
            </w:r>
          </w:p>
          <w:p w:rsidR="00B8356D" w:rsidRPr="000F03B1" w:rsidRDefault="00B8356D" w:rsidP="00B8356D">
            <w:pPr>
              <w:rPr>
                <w:rFonts w:ascii="Arial" w:hAnsi="Arial"/>
                <w:spacing w:val="-2"/>
                <w:sz w:val="24"/>
                <w:lang w:val="fr-CA"/>
              </w:rPr>
            </w:pPr>
          </w:p>
        </w:tc>
      </w:tr>
    </w:tbl>
    <w:p w:rsidR="00B8356D" w:rsidRDefault="00B8356D" w:rsidP="00B8356D">
      <w:pPr>
        <w:ind w:left="1440"/>
        <w:rPr>
          <w:rFonts w:ascii="Arial" w:hAnsi="Arial"/>
          <w:spacing w:val="-2"/>
          <w:sz w:val="24"/>
          <w:lang w:val="fr-CA"/>
        </w:rPr>
      </w:pPr>
    </w:p>
    <w:p w:rsidR="003A0FDD" w:rsidRPr="00FC42A4" w:rsidRDefault="00B8356D">
      <w:pPr>
        <w:numPr>
          <w:ilvl w:val="1"/>
          <w:numId w:val="1"/>
        </w:numPr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Préparation de la suspension à 3 %</w:t>
      </w:r>
      <w:r w:rsidR="00B1018F">
        <w:rPr>
          <w:rFonts w:ascii="Arial" w:hAnsi="Arial"/>
          <w:spacing w:val="-2"/>
          <w:sz w:val="24"/>
          <w:lang w:val="fr-CA"/>
        </w:rPr>
        <w:br/>
      </w:r>
    </w:p>
    <w:p w:rsidR="003245FF" w:rsidRPr="00FC42A4" w:rsidRDefault="00CC5D34" w:rsidP="00B1018F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FC42A4">
        <w:rPr>
          <w:rFonts w:ascii="Arial" w:hAnsi="Arial"/>
          <w:spacing w:val="-2"/>
          <w:sz w:val="24"/>
          <w:lang w:val="fr-CA"/>
        </w:rPr>
        <w:t>Mettre</w:t>
      </w:r>
      <w:r w:rsidR="00714881" w:rsidRPr="00FC42A4">
        <w:rPr>
          <w:rFonts w:ascii="Arial" w:hAnsi="Arial"/>
          <w:spacing w:val="-2"/>
          <w:sz w:val="24"/>
          <w:lang w:val="fr-CA"/>
        </w:rPr>
        <w:t xml:space="preserve"> 2 </w:t>
      </w:r>
      <w:r w:rsidRPr="00FC42A4">
        <w:rPr>
          <w:rFonts w:ascii="Arial" w:hAnsi="Arial"/>
          <w:spacing w:val="-2"/>
          <w:sz w:val="24"/>
          <w:lang w:val="fr-CA"/>
        </w:rPr>
        <w:t xml:space="preserve">gouttes de sang total </w:t>
      </w:r>
      <w:r w:rsidR="00714881" w:rsidRPr="00FC42A4">
        <w:rPr>
          <w:rFonts w:ascii="Arial" w:hAnsi="Arial"/>
          <w:spacing w:val="-2"/>
          <w:sz w:val="24"/>
          <w:lang w:val="fr-CA"/>
        </w:rPr>
        <w:t>(o</w:t>
      </w:r>
      <w:r w:rsidRPr="00FC42A4">
        <w:rPr>
          <w:rFonts w:ascii="Arial" w:hAnsi="Arial"/>
          <w:spacing w:val="-2"/>
          <w:sz w:val="24"/>
          <w:lang w:val="fr-CA"/>
        </w:rPr>
        <w:t xml:space="preserve">u l’équivalent, soit </w:t>
      </w:r>
      <w:r w:rsidR="00714881" w:rsidRPr="00FC42A4">
        <w:rPr>
          <w:rFonts w:ascii="Arial" w:hAnsi="Arial"/>
          <w:spacing w:val="-2"/>
          <w:sz w:val="24"/>
          <w:lang w:val="fr-CA"/>
        </w:rPr>
        <w:t xml:space="preserve">1 </w:t>
      </w:r>
      <w:r w:rsidRPr="00FC42A4">
        <w:rPr>
          <w:rFonts w:ascii="Arial" w:hAnsi="Arial"/>
          <w:spacing w:val="-2"/>
          <w:sz w:val="24"/>
          <w:lang w:val="fr-CA"/>
        </w:rPr>
        <w:t>goutte de sang concentré</w:t>
      </w:r>
      <w:r w:rsidR="00714881" w:rsidRPr="00FC42A4">
        <w:rPr>
          <w:rFonts w:ascii="Arial" w:hAnsi="Arial"/>
          <w:spacing w:val="-2"/>
          <w:sz w:val="24"/>
          <w:lang w:val="fr-CA"/>
        </w:rPr>
        <w:t xml:space="preserve">) </w:t>
      </w:r>
      <w:r w:rsidRPr="00FC42A4">
        <w:rPr>
          <w:rFonts w:ascii="Arial" w:hAnsi="Arial"/>
          <w:spacing w:val="-2"/>
          <w:sz w:val="24"/>
          <w:lang w:val="fr-CA"/>
        </w:rPr>
        <w:t>dans le tube étiqueté</w:t>
      </w:r>
      <w:r w:rsidR="00714881" w:rsidRPr="00FC42A4">
        <w:rPr>
          <w:rFonts w:ascii="Arial" w:hAnsi="Arial"/>
          <w:spacing w:val="-2"/>
          <w:sz w:val="24"/>
          <w:lang w:val="fr-CA"/>
        </w:rPr>
        <w:t>.</w:t>
      </w:r>
    </w:p>
    <w:p w:rsidR="00714881" w:rsidRPr="00FC42A4" w:rsidRDefault="00714881" w:rsidP="00B8356D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714881" w:rsidRPr="00FC42A4" w:rsidRDefault="00CC5D34" w:rsidP="00B1018F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FC42A4">
        <w:rPr>
          <w:rFonts w:ascii="Arial" w:hAnsi="Arial"/>
          <w:spacing w:val="-2"/>
          <w:sz w:val="24"/>
          <w:lang w:val="fr-CA"/>
        </w:rPr>
        <w:t>Ajouter 0,5 à 1,0 mL de solution saline normale et mélanger pour remettre en suspension à 3 %</w:t>
      </w:r>
      <w:r w:rsidR="00714881" w:rsidRPr="00FC42A4">
        <w:rPr>
          <w:rFonts w:ascii="Arial" w:hAnsi="Arial"/>
          <w:spacing w:val="-2"/>
          <w:sz w:val="24"/>
          <w:lang w:val="fr-CA"/>
        </w:rPr>
        <w:t>.</w:t>
      </w:r>
    </w:p>
    <w:p w:rsidR="00714881" w:rsidRPr="00FC42A4" w:rsidRDefault="00714881" w:rsidP="00B8356D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714881" w:rsidRPr="00FC42A4" w:rsidRDefault="00CC5D34" w:rsidP="00B1018F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FC42A4">
        <w:rPr>
          <w:rFonts w:ascii="Arial" w:hAnsi="Arial"/>
          <w:spacing w:val="-2"/>
          <w:sz w:val="24"/>
          <w:lang w:val="fr-CA"/>
        </w:rPr>
        <w:t>Comparer visuellement la couleur à celle de la suspension commercial</w:t>
      </w:r>
      <w:r w:rsidR="00803A23">
        <w:rPr>
          <w:rFonts w:ascii="Arial" w:hAnsi="Arial"/>
          <w:spacing w:val="-2"/>
          <w:sz w:val="24"/>
          <w:lang w:val="fr-CA"/>
        </w:rPr>
        <w:t>e</w:t>
      </w:r>
      <w:r w:rsidRPr="00FC42A4">
        <w:rPr>
          <w:rFonts w:ascii="Arial" w:hAnsi="Arial"/>
          <w:spacing w:val="-2"/>
          <w:sz w:val="24"/>
          <w:lang w:val="fr-CA"/>
        </w:rPr>
        <w:t xml:space="preserve"> de globules rouges à </w:t>
      </w:r>
      <w:r w:rsidR="00923F8E" w:rsidRPr="00FC42A4">
        <w:rPr>
          <w:rFonts w:ascii="Arial" w:hAnsi="Arial"/>
          <w:spacing w:val="-2"/>
          <w:sz w:val="24"/>
          <w:lang w:val="fr-CA"/>
        </w:rPr>
        <w:t>3</w:t>
      </w:r>
      <w:r w:rsidRPr="00FC42A4">
        <w:rPr>
          <w:rFonts w:ascii="Arial" w:hAnsi="Arial"/>
          <w:spacing w:val="-2"/>
          <w:sz w:val="24"/>
          <w:lang w:val="fr-CA"/>
        </w:rPr>
        <w:t xml:space="preserve"> </w:t>
      </w:r>
      <w:r w:rsidR="00923F8E" w:rsidRPr="00FC42A4">
        <w:rPr>
          <w:rFonts w:ascii="Arial" w:hAnsi="Arial"/>
          <w:spacing w:val="-2"/>
          <w:sz w:val="24"/>
          <w:lang w:val="fr-CA"/>
        </w:rPr>
        <w:t>%</w:t>
      </w:r>
      <w:r w:rsidRPr="00FC42A4">
        <w:rPr>
          <w:rFonts w:ascii="Arial" w:hAnsi="Arial"/>
          <w:spacing w:val="-2"/>
          <w:sz w:val="24"/>
          <w:lang w:val="fr-CA"/>
        </w:rPr>
        <w:t xml:space="preserve"> et ajuster la concentration de la suspension au besoin. Comme autre </w:t>
      </w:r>
      <w:r w:rsidR="00803A23">
        <w:rPr>
          <w:rFonts w:ascii="Arial" w:hAnsi="Arial"/>
          <w:spacing w:val="-2"/>
          <w:sz w:val="24"/>
          <w:lang w:val="fr-CA"/>
        </w:rPr>
        <w:t>technique</w:t>
      </w:r>
      <w:r w:rsidRPr="00FC42A4">
        <w:rPr>
          <w:rFonts w:ascii="Arial" w:hAnsi="Arial"/>
          <w:spacing w:val="-2"/>
          <w:sz w:val="24"/>
          <w:lang w:val="fr-CA"/>
        </w:rPr>
        <w:t>, on peut placer une goutte de suspension de globules rouges préparée et une goutte de suspension commercial</w:t>
      </w:r>
      <w:r w:rsidR="00F722FB">
        <w:rPr>
          <w:rFonts w:ascii="Arial" w:hAnsi="Arial"/>
          <w:spacing w:val="-2"/>
          <w:sz w:val="24"/>
          <w:lang w:val="fr-CA"/>
        </w:rPr>
        <w:t>e</w:t>
      </w:r>
      <w:r w:rsidRPr="00FC42A4">
        <w:rPr>
          <w:rFonts w:ascii="Arial" w:hAnsi="Arial"/>
          <w:spacing w:val="-2"/>
          <w:sz w:val="24"/>
          <w:lang w:val="fr-CA"/>
        </w:rPr>
        <w:t xml:space="preserve"> dans des tubes, les centrifuger et comparer la taille des culots globul</w:t>
      </w:r>
      <w:r w:rsidR="00803A23">
        <w:rPr>
          <w:rFonts w:ascii="Arial" w:hAnsi="Arial"/>
          <w:spacing w:val="-2"/>
          <w:sz w:val="24"/>
          <w:lang w:val="fr-CA"/>
        </w:rPr>
        <w:t>aires</w:t>
      </w:r>
      <w:r w:rsidRPr="00FC42A4">
        <w:rPr>
          <w:rFonts w:ascii="Arial" w:hAnsi="Arial"/>
          <w:spacing w:val="-2"/>
          <w:sz w:val="24"/>
          <w:lang w:val="fr-CA"/>
        </w:rPr>
        <w:t xml:space="preserve"> dans les deux tubes</w:t>
      </w:r>
      <w:r w:rsidR="00923F8E" w:rsidRPr="00FC42A4">
        <w:rPr>
          <w:rFonts w:ascii="Arial" w:hAnsi="Arial"/>
          <w:spacing w:val="-2"/>
          <w:sz w:val="24"/>
          <w:lang w:val="fr-CA"/>
        </w:rPr>
        <w:t>.</w:t>
      </w:r>
    </w:p>
    <w:p w:rsidR="00923F8E" w:rsidRPr="00FC42A4" w:rsidRDefault="00923F8E" w:rsidP="00B8356D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923F8E" w:rsidRPr="00FC42A4" w:rsidRDefault="00DF1176" w:rsidP="00B1018F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FC42A4">
        <w:rPr>
          <w:rFonts w:ascii="Arial" w:hAnsi="Arial"/>
          <w:spacing w:val="-2"/>
          <w:sz w:val="24"/>
          <w:lang w:val="fr-CA"/>
        </w:rPr>
        <w:t>Bien m</w:t>
      </w:r>
      <w:r w:rsidR="00CC5D34" w:rsidRPr="00FC42A4">
        <w:rPr>
          <w:rFonts w:ascii="Arial" w:hAnsi="Arial"/>
          <w:spacing w:val="-2"/>
          <w:sz w:val="24"/>
          <w:lang w:val="fr-CA"/>
        </w:rPr>
        <w:t xml:space="preserve">élanger la suspension de globules rouges à 3 % </w:t>
      </w:r>
      <w:r w:rsidR="00F722FB">
        <w:rPr>
          <w:rFonts w:ascii="Arial" w:hAnsi="Arial"/>
          <w:spacing w:val="-2"/>
          <w:sz w:val="24"/>
          <w:lang w:val="fr-CA"/>
        </w:rPr>
        <w:t>juste</w:t>
      </w:r>
      <w:r w:rsidR="00CC5D34" w:rsidRPr="00FC42A4">
        <w:rPr>
          <w:rFonts w:ascii="Arial" w:hAnsi="Arial"/>
          <w:spacing w:val="-2"/>
          <w:sz w:val="24"/>
          <w:lang w:val="fr-CA"/>
        </w:rPr>
        <w:t xml:space="preserve"> avant de s’en servir</w:t>
      </w:r>
      <w:r w:rsidR="00923F8E" w:rsidRPr="00FC42A4">
        <w:rPr>
          <w:rFonts w:ascii="Arial" w:hAnsi="Arial"/>
          <w:spacing w:val="-2"/>
          <w:sz w:val="24"/>
          <w:lang w:val="fr-CA"/>
        </w:rPr>
        <w:t>.</w:t>
      </w:r>
    </w:p>
    <w:p w:rsidR="003245FF" w:rsidRPr="00FC42A4" w:rsidRDefault="003245FF" w:rsidP="00B8356D">
      <w:pPr>
        <w:ind w:left="720"/>
        <w:rPr>
          <w:rFonts w:ascii="Arial" w:hAnsi="Arial"/>
          <w:sz w:val="24"/>
          <w:lang w:val="fr-CA"/>
        </w:rPr>
      </w:pPr>
    </w:p>
    <w:p w:rsidR="003245FF" w:rsidRPr="00FC42A4" w:rsidRDefault="0089196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C42A4">
        <w:rPr>
          <w:rFonts w:ascii="Arial" w:hAnsi="Arial"/>
          <w:b/>
          <w:sz w:val="28"/>
          <w:lang w:val="fr-CA"/>
        </w:rPr>
        <w:t>Documentation</w:t>
      </w:r>
      <w:r w:rsidR="00923F8E" w:rsidRPr="00FC42A4">
        <w:rPr>
          <w:rFonts w:ascii="Arial" w:hAnsi="Arial"/>
          <w:b/>
          <w:sz w:val="28"/>
          <w:lang w:val="fr-CA"/>
        </w:rPr>
        <w:t xml:space="preserve"> – </w:t>
      </w:r>
      <w:r w:rsidRPr="00FC42A4">
        <w:rPr>
          <w:rFonts w:ascii="Arial" w:hAnsi="Arial"/>
          <w:sz w:val="28"/>
          <w:lang w:val="fr-CA"/>
        </w:rPr>
        <w:t>S.O</w:t>
      </w:r>
      <w:r w:rsidRPr="00FC42A4">
        <w:rPr>
          <w:rFonts w:ascii="Arial" w:hAnsi="Arial"/>
          <w:b/>
          <w:sz w:val="28"/>
          <w:lang w:val="fr-CA"/>
        </w:rPr>
        <w:t>.</w:t>
      </w:r>
    </w:p>
    <w:p w:rsidR="003245FF" w:rsidRPr="00B1018F" w:rsidRDefault="003245FF">
      <w:pPr>
        <w:rPr>
          <w:rFonts w:ascii="Arial" w:hAnsi="Arial"/>
          <w:lang w:val="fr-CA"/>
        </w:rPr>
      </w:pPr>
    </w:p>
    <w:p w:rsidR="003245FF" w:rsidRPr="00FC42A4" w:rsidRDefault="0089196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C42A4">
        <w:rPr>
          <w:rFonts w:ascii="Arial" w:hAnsi="Arial"/>
          <w:b/>
          <w:sz w:val="28"/>
          <w:lang w:val="fr-CA"/>
        </w:rPr>
        <w:t>Remarques</w:t>
      </w:r>
    </w:p>
    <w:p w:rsidR="00923F8E" w:rsidRPr="00B1018F" w:rsidRDefault="00923F8E" w:rsidP="00923F8E">
      <w:pPr>
        <w:rPr>
          <w:rFonts w:ascii="Arial" w:hAnsi="Arial"/>
          <w:b/>
          <w:sz w:val="22"/>
          <w:lang w:val="fr-CA"/>
        </w:rPr>
      </w:pPr>
    </w:p>
    <w:p w:rsidR="00923F8E" w:rsidRPr="00FC42A4" w:rsidRDefault="00950ADA" w:rsidP="00923F8E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 w:rsidRPr="00FC42A4">
        <w:rPr>
          <w:rFonts w:ascii="Arial" w:hAnsi="Arial"/>
          <w:sz w:val="24"/>
          <w:szCs w:val="24"/>
          <w:lang w:val="fr-CA"/>
        </w:rPr>
        <w:t xml:space="preserve">Si on le désire, ou en présence </w:t>
      </w:r>
      <w:r w:rsidR="00F722FB">
        <w:rPr>
          <w:rFonts w:ascii="Arial" w:hAnsi="Arial"/>
          <w:sz w:val="24"/>
          <w:szCs w:val="24"/>
          <w:lang w:val="fr-CA"/>
        </w:rPr>
        <w:t>de résultats</w:t>
      </w:r>
      <w:r w:rsidRPr="00FC42A4">
        <w:rPr>
          <w:rFonts w:ascii="Arial" w:hAnsi="Arial"/>
          <w:sz w:val="24"/>
          <w:szCs w:val="24"/>
          <w:lang w:val="fr-CA"/>
        </w:rPr>
        <w:t xml:space="preserve"> divergents</w:t>
      </w:r>
      <w:r w:rsidR="00923F8E" w:rsidRPr="00FC42A4">
        <w:rPr>
          <w:rFonts w:ascii="Arial" w:hAnsi="Arial"/>
          <w:sz w:val="24"/>
          <w:szCs w:val="24"/>
          <w:lang w:val="fr-CA"/>
        </w:rPr>
        <w:t xml:space="preserve">, </w:t>
      </w:r>
      <w:r w:rsidR="004C30D1" w:rsidRPr="00FC42A4">
        <w:rPr>
          <w:rFonts w:ascii="Arial" w:hAnsi="Arial"/>
          <w:sz w:val="24"/>
          <w:szCs w:val="24"/>
          <w:lang w:val="fr-CA"/>
        </w:rPr>
        <w:t xml:space="preserve">on peut procéder au lavage des globules rouges dans une solution saline normale avant de </w:t>
      </w:r>
      <w:r w:rsidRPr="00FC42A4">
        <w:rPr>
          <w:rFonts w:ascii="Arial" w:hAnsi="Arial"/>
          <w:sz w:val="24"/>
          <w:szCs w:val="24"/>
          <w:lang w:val="fr-CA"/>
        </w:rPr>
        <w:t xml:space="preserve">procéder à la préparation d’une suspension de globules rouges à </w:t>
      </w:r>
      <w:r w:rsidR="00923F8E" w:rsidRPr="00FC42A4">
        <w:rPr>
          <w:rFonts w:ascii="Arial" w:hAnsi="Arial"/>
          <w:sz w:val="24"/>
          <w:szCs w:val="24"/>
          <w:lang w:val="fr-CA"/>
        </w:rPr>
        <w:t>3</w:t>
      </w:r>
      <w:r w:rsidRPr="00FC42A4">
        <w:rPr>
          <w:rFonts w:ascii="Arial" w:hAnsi="Arial"/>
          <w:sz w:val="24"/>
          <w:szCs w:val="24"/>
          <w:lang w:val="fr-CA"/>
        </w:rPr>
        <w:t xml:space="preserve"> </w:t>
      </w:r>
      <w:r w:rsidR="00923F8E" w:rsidRPr="00FC42A4">
        <w:rPr>
          <w:rFonts w:ascii="Arial" w:hAnsi="Arial"/>
          <w:sz w:val="24"/>
          <w:szCs w:val="24"/>
          <w:lang w:val="fr-CA"/>
        </w:rPr>
        <w:t>%</w:t>
      </w:r>
      <w:r w:rsidRPr="00FC42A4">
        <w:rPr>
          <w:rFonts w:ascii="Arial" w:hAnsi="Arial"/>
          <w:sz w:val="24"/>
          <w:szCs w:val="24"/>
          <w:lang w:val="fr-CA"/>
        </w:rPr>
        <w:t>. Mettre les globules rouges dans un tube et le remplir de solution saline normale. Centrifuger le tube (pour obtenir un surnageant limpide et un culot globulaire bien défini).</w:t>
      </w:r>
      <w:r w:rsidR="00923F8E" w:rsidRPr="00FC42A4">
        <w:rPr>
          <w:rFonts w:ascii="Arial" w:hAnsi="Arial"/>
          <w:sz w:val="24"/>
          <w:szCs w:val="24"/>
          <w:lang w:val="fr-CA"/>
        </w:rPr>
        <w:t xml:space="preserve"> </w:t>
      </w:r>
      <w:r w:rsidRPr="00FC42A4">
        <w:rPr>
          <w:rFonts w:ascii="Arial" w:hAnsi="Arial"/>
          <w:sz w:val="24"/>
          <w:szCs w:val="24"/>
          <w:lang w:val="fr-CA"/>
        </w:rPr>
        <w:t xml:space="preserve">Retirer le surnageant et répéter. Après le dernier retrait de surnageant, remettre les globules rouges en suspension dans une solution saline normale jusqu’à l’obtention d’une suspension de globules rouges à </w:t>
      </w:r>
      <w:r w:rsidR="00923F8E" w:rsidRPr="00FC42A4">
        <w:rPr>
          <w:rFonts w:ascii="Arial" w:hAnsi="Arial"/>
          <w:sz w:val="24"/>
          <w:szCs w:val="24"/>
          <w:lang w:val="fr-CA"/>
        </w:rPr>
        <w:t>3</w:t>
      </w:r>
      <w:r w:rsidRPr="00FC42A4">
        <w:rPr>
          <w:rFonts w:ascii="Arial" w:hAnsi="Arial"/>
          <w:sz w:val="24"/>
          <w:szCs w:val="24"/>
          <w:lang w:val="fr-CA"/>
        </w:rPr>
        <w:t> </w:t>
      </w:r>
      <w:r w:rsidR="00923F8E" w:rsidRPr="00FC42A4">
        <w:rPr>
          <w:rFonts w:ascii="Arial" w:hAnsi="Arial"/>
          <w:sz w:val="24"/>
          <w:szCs w:val="24"/>
          <w:lang w:val="fr-CA"/>
        </w:rPr>
        <w:t>%.</w:t>
      </w:r>
    </w:p>
    <w:p w:rsidR="003245FF" w:rsidRPr="00FC42A4" w:rsidRDefault="003245FF">
      <w:pPr>
        <w:rPr>
          <w:rFonts w:ascii="Arial" w:hAnsi="Arial"/>
          <w:sz w:val="24"/>
          <w:lang w:val="fr-CA"/>
        </w:rPr>
      </w:pPr>
    </w:p>
    <w:p w:rsidR="003245FF" w:rsidRPr="00FC42A4" w:rsidRDefault="003245F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C42A4">
        <w:rPr>
          <w:rFonts w:ascii="Arial" w:hAnsi="Arial"/>
          <w:b/>
          <w:sz w:val="28"/>
          <w:lang w:val="fr-CA"/>
        </w:rPr>
        <w:t>R</w:t>
      </w:r>
      <w:r w:rsidR="00891962" w:rsidRPr="00FC42A4">
        <w:rPr>
          <w:rFonts w:ascii="Arial" w:hAnsi="Arial"/>
          <w:b/>
          <w:sz w:val="28"/>
          <w:lang w:val="fr-CA"/>
        </w:rPr>
        <w:t>éférences</w:t>
      </w:r>
    </w:p>
    <w:p w:rsidR="003245FF" w:rsidRPr="00B1018F" w:rsidRDefault="003245FF">
      <w:pPr>
        <w:rPr>
          <w:rFonts w:ascii="Arial" w:hAnsi="Arial"/>
          <w:lang w:val="fr-CA"/>
        </w:rPr>
      </w:pPr>
    </w:p>
    <w:p w:rsidR="003245FF" w:rsidRPr="00FC42A4" w:rsidRDefault="00891962" w:rsidP="00F722F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F722FB">
        <w:rPr>
          <w:rFonts w:ascii="Arial" w:hAnsi="Arial"/>
          <w:sz w:val="24"/>
          <w:lang w:val="fr-CA"/>
        </w:rPr>
        <w:t>ROBACK JD, é</w:t>
      </w:r>
      <w:r w:rsidR="004D4A5E" w:rsidRPr="00F722FB">
        <w:rPr>
          <w:rFonts w:ascii="Arial" w:hAnsi="Arial"/>
          <w:sz w:val="24"/>
          <w:lang w:val="fr-CA"/>
        </w:rPr>
        <w:t xml:space="preserve">d. </w:t>
      </w:r>
      <w:r w:rsidR="004D4A5E" w:rsidRPr="00F722FB">
        <w:rPr>
          <w:rFonts w:ascii="Arial" w:hAnsi="Arial"/>
          <w:i/>
          <w:sz w:val="24"/>
          <w:lang w:val="fr-CA"/>
        </w:rPr>
        <w:t>American Association of Blood Banks Technical Manual</w:t>
      </w:r>
      <w:r w:rsidR="004D4A5E" w:rsidRPr="00F722FB">
        <w:rPr>
          <w:rFonts w:ascii="Arial" w:hAnsi="Arial"/>
          <w:sz w:val="24"/>
          <w:lang w:val="fr-CA"/>
        </w:rPr>
        <w:t>, 1</w:t>
      </w:r>
      <w:r w:rsidR="00B1018F">
        <w:rPr>
          <w:rFonts w:ascii="Arial" w:hAnsi="Arial"/>
          <w:sz w:val="24"/>
          <w:lang w:val="fr-CA"/>
        </w:rPr>
        <w:t>7</w:t>
      </w:r>
      <w:r w:rsidRPr="00F722FB">
        <w:rPr>
          <w:rFonts w:ascii="Arial" w:hAnsi="Arial"/>
          <w:sz w:val="24"/>
          <w:vertAlign w:val="superscript"/>
          <w:lang w:val="fr-CA"/>
        </w:rPr>
        <w:t>e</w:t>
      </w:r>
      <w:r w:rsidR="004D4A5E" w:rsidRPr="00F722FB">
        <w:rPr>
          <w:rFonts w:ascii="Arial" w:hAnsi="Arial"/>
          <w:sz w:val="24"/>
          <w:lang w:val="fr-CA"/>
        </w:rPr>
        <w:t xml:space="preserve"> </w:t>
      </w:r>
      <w:r w:rsidRPr="00F722FB">
        <w:rPr>
          <w:rFonts w:ascii="Arial" w:hAnsi="Arial"/>
          <w:sz w:val="24"/>
          <w:lang w:val="fr-CA"/>
        </w:rPr>
        <w:t>é</w:t>
      </w:r>
      <w:r w:rsidR="004D4A5E" w:rsidRPr="00F722FB">
        <w:rPr>
          <w:rFonts w:ascii="Arial" w:hAnsi="Arial"/>
          <w:sz w:val="24"/>
          <w:lang w:val="fr-CA"/>
        </w:rPr>
        <w:t>d. Bethesda, MD</w:t>
      </w:r>
      <w:r w:rsidR="00F722FB">
        <w:rPr>
          <w:rFonts w:ascii="Arial" w:hAnsi="Arial"/>
          <w:sz w:val="24"/>
          <w:lang w:val="fr-CA"/>
        </w:rPr>
        <w:t>,</w:t>
      </w:r>
      <w:r w:rsidR="004D4A5E" w:rsidRPr="00F722FB">
        <w:rPr>
          <w:rFonts w:ascii="Arial" w:hAnsi="Arial"/>
          <w:sz w:val="24"/>
          <w:lang w:val="fr-CA"/>
        </w:rPr>
        <w:t xml:space="preserve"> American As</w:t>
      </w:r>
      <w:r w:rsidR="00923F8E" w:rsidRPr="00F722FB">
        <w:rPr>
          <w:rFonts w:ascii="Arial" w:hAnsi="Arial"/>
          <w:sz w:val="24"/>
          <w:lang w:val="fr-CA"/>
        </w:rPr>
        <w:t>sociation of Blood Banks</w:t>
      </w:r>
      <w:r w:rsidRPr="00F722FB">
        <w:rPr>
          <w:rFonts w:ascii="Arial" w:hAnsi="Arial"/>
          <w:sz w:val="24"/>
          <w:lang w:val="fr-CA"/>
        </w:rPr>
        <w:t xml:space="preserve"> (</w:t>
      </w:r>
      <w:r w:rsidR="00923F8E" w:rsidRPr="00F722FB">
        <w:rPr>
          <w:rFonts w:ascii="Arial" w:hAnsi="Arial"/>
          <w:sz w:val="24"/>
          <w:lang w:val="fr-CA"/>
        </w:rPr>
        <w:t>20</w:t>
      </w:r>
      <w:r w:rsidR="00B1018F">
        <w:rPr>
          <w:rFonts w:ascii="Arial" w:hAnsi="Arial"/>
          <w:sz w:val="24"/>
          <w:lang w:val="fr-CA"/>
        </w:rPr>
        <w:t>11</w:t>
      </w:r>
      <w:r w:rsidRPr="00F722FB">
        <w:rPr>
          <w:rFonts w:ascii="Arial" w:hAnsi="Arial"/>
          <w:sz w:val="24"/>
          <w:lang w:val="fr-CA"/>
        </w:rPr>
        <w:t>)</w:t>
      </w:r>
      <w:r w:rsidR="00F722FB" w:rsidRPr="00F722FB">
        <w:rPr>
          <w:rFonts w:ascii="Arial" w:hAnsi="Arial"/>
          <w:sz w:val="24"/>
          <w:lang w:val="fr-CA"/>
        </w:rPr>
        <w:t xml:space="preserve">. </w:t>
      </w:r>
    </w:p>
    <w:p w:rsidR="003245FF" w:rsidRPr="00FC42A4" w:rsidRDefault="003245FF">
      <w:pPr>
        <w:ind w:left="720"/>
        <w:rPr>
          <w:rFonts w:ascii="Arial" w:hAnsi="Arial"/>
          <w:sz w:val="24"/>
          <w:lang w:val="fr-CA"/>
        </w:rPr>
      </w:pPr>
    </w:p>
    <w:p w:rsidR="00B8356D" w:rsidRDefault="00B8356D" w:rsidP="00B8356D">
      <w:pPr>
        <w:pStyle w:val="ListParagraph"/>
        <w:numPr>
          <w:ilvl w:val="0"/>
          <w:numId w:val="19"/>
        </w:numPr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B1018F" w:rsidRPr="00B1018F" w:rsidRDefault="00B1018F" w:rsidP="00B1018F">
      <w:pPr>
        <w:pStyle w:val="ListParagraph"/>
        <w:rPr>
          <w:rFonts w:ascii="Arial" w:hAnsi="Arial"/>
          <w:b/>
          <w:sz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4328"/>
      </w:tblGrid>
      <w:tr w:rsidR="00B8356D" w:rsidRPr="00AA3396" w:rsidTr="000F03B1">
        <w:trPr>
          <w:cantSplit/>
        </w:trPr>
        <w:tc>
          <w:tcPr>
            <w:tcW w:w="4428" w:type="dxa"/>
            <w:shd w:val="clear" w:color="auto" w:fill="F2F2F2"/>
          </w:tcPr>
          <w:p w:rsidR="00B8356D" w:rsidRPr="004050E8" w:rsidRDefault="00B8356D" w:rsidP="000F03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4428" w:type="dxa"/>
            <w:shd w:val="clear" w:color="auto" w:fill="F2F2F2"/>
          </w:tcPr>
          <w:p w:rsidR="00B8356D" w:rsidRPr="004050E8" w:rsidRDefault="00B8356D" w:rsidP="000F03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B8356D" w:rsidRPr="00AA3396" w:rsidTr="00B1018F">
        <w:trPr>
          <w:cantSplit/>
          <w:trHeight w:val="1923"/>
        </w:trPr>
        <w:tc>
          <w:tcPr>
            <w:tcW w:w="4428" w:type="dxa"/>
          </w:tcPr>
          <w:p w:rsidR="00B8356D" w:rsidRPr="00AA3396" w:rsidRDefault="00B8356D" w:rsidP="000F03B1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31 janvier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4428" w:type="dxa"/>
          </w:tcPr>
          <w:p w:rsidR="00B8356D" w:rsidRPr="00AA3396" w:rsidRDefault="00B8356D" w:rsidP="00B8356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B8356D" w:rsidRPr="00AA3396" w:rsidRDefault="00B8356D" w:rsidP="00B8356D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Changement du numéro du document anciennement AR.014., maintenant AR.003.</w:t>
            </w:r>
          </w:p>
          <w:p w:rsidR="00B8356D" w:rsidRPr="00AA3396" w:rsidRDefault="00B8356D" w:rsidP="00B8356D">
            <w:pPr>
              <w:numPr>
                <w:ilvl w:val="0"/>
                <w:numId w:val="18"/>
              </w:num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>Mise à jour des références pour inclure les versions les plus récentes</w:t>
            </w:r>
          </w:p>
          <w:p w:rsidR="00B8356D" w:rsidRPr="00AA3396" w:rsidRDefault="00B8356D" w:rsidP="000F03B1">
            <w:pPr>
              <w:pStyle w:val="ListParagraph"/>
              <w:keepLines/>
              <w:widowControl w:val="0"/>
              <w:ind w:left="0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</w:tbl>
    <w:p w:rsidR="003245FF" w:rsidRPr="00B1018F" w:rsidRDefault="003245FF" w:rsidP="00B1018F">
      <w:pPr>
        <w:rPr>
          <w:rFonts w:ascii="Arial" w:hAnsi="Arial"/>
          <w:sz w:val="18"/>
          <w:lang w:val="fr-CA"/>
        </w:rPr>
      </w:pPr>
    </w:p>
    <w:sectPr w:rsidR="003245FF" w:rsidRPr="00B1018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C2" w:rsidRDefault="000158C2">
      <w:r>
        <w:separator/>
      </w:r>
    </w:p>
  </w:endnote>
  <w:endnote w:type="continuationSeparator" w:id="0">
    <w:p w:rsidR="000158C2" w:rsidRDefault="000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470DAB">
      <w:trPr>
        <w:trHeight w:val="720"/>
      </w:trPr>
      <w:tc>
        <w:tcPr>
          <w:tcW w:w="1368" w:type="dxa"/>
        </w:tcPr>
        <w:p w:rsidR="00470DAB" w:rsidRDefault="00470DAB">
          <w:pPr>
            <w:pStyle w:val="Footer"/>
            <w:jc w:val="center"/>
            <w:rPr>
              <w:sz w:val="8"/>
            </w:rPr>
          </w:pPr>
        </w:p>
        <w:p w:rsidR="00470DAB" w:rsidRDefault="006E1C01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470DAB" w:rsidRDefault="00470DAB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B8356D" w:rsidRDefault="00B8356D" w:rsidP="00B8356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70DAB" w:rsidRDefault="00B8356D" w:rsidP="00B8356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494" w:type="dxa"/>
        </w:tcPr>
        <w:p w:rsidR="00470DAB" w:rsidRDefault="00470DAB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70DAB" w:rsidRDefault="00891962" w:rsidP="00B8356D">
          <w:pPr>
            <w:pStyle w:val="Footer"/>
            <w:jc w:val="right"/>
            <w:rPr>
              <w:rFonts w:ascii="Arial" w:hAnsi="Arial"/>
              <w:sz w:val="18"/>
            </w:rPr>
          </w:pPr>
          <w:r w:rsidRPr="00F722FB">
            <w:rPr>
              <w:rFonts w:ascii="Arial" w:hAnsi="Arial"/>
              <w:sz w:val="18"/>
            </w:rPr>
            <w:t>A</w:t>
          </w:r>
          <w:r w:rsidR="00470DAB" w:rsidRPr="00F722FB">
            <w:rPr>
              <w:rFonts w:ascii="Arial" w:hAnsi="Arial"/>
              <w:sz w:val="18"/>
            </w:rPr>
            <w:t>R.0</w:t>
          </w:r>
          <w:r w:rsidR="00B8356D">
            <w:rPr>
              <w:rFonts w:ascii="Arial" w:hAnsi="Arial"/>
              <w:sz w:val="18"/>
            </w:rPr>
            <w:t>03</w:t>
          </w:r>
          <w:r w:rsidR="00470DAB">
            <w:rPr>
              <w:rFonts w:ascii="Arial" w:hAnsi="Arial"/>
              <w:sz w:val="18"/>
            </w:rPr>
            <w:t xml:space="preserve"> </w:t>
          </w:r>
          <w:r w:rsidR="00470DAB">
            <w:rPr>
              <w:rFonts w:ascii="Arial" w:hAnsi="Arial"/>
              <w:sz w:val="18"/>
            </w:rPr>
            <w:br/>
          </w:r>
          <w:r w:rsidR="00470DAB">
            <w:rPr>
              <w:rFonts w:ascii="Arial" w:hAnsi="Arial"/>
              <w:snapToGrid w:val="0"/>
              <w:sz w:val="18"/>
            </w:rPr>
            <w:t xml:space="preserve">Page </w:t>
          </w:r>
          <w:r w:rsidR="00470DAB">
            <w:rPr>
              <w:rFonts w:ascii="Arial" w:hAnsi="Arial"/>
              <w:snapToGrid w:val="0"/>
              <w:sz w:val="18"/>
            </w:rPr>
            <w:fldChar w:fldCharType="begin"/>
          </w:r>
          <w:r w:rsidR="00470DAB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470DAB">
            <w:rPr>
              <w:rFonts w:ascii="Arial" w:hAnsi="Arial"/>
              <w:snapToGrid w:val="0"/>
              <w:sz w:val="18"/>
            </w:rPr>
            <w:fldChar w:fldCharType="separate"/>
          </w:r>
          <w:r w:rsidR="007D01F9">
            <w:rPr>
              <w:rFonts w:ascii="Arial" w:hAnsi="Arial"/>
              <w:noProof/>
              <w:snapToGrid w:val="0"/>
              <w:sz w:val="18"/>
            </w:rPr>
            <w:t>2</w:t>
          </w:r>
          <w:r w:rsidR="00470DAB">
            <w:rPr>
              <w:rFonts w:ascii="Arial" w:hAnsi="Arial"/>
              <w:snapToGrid w:val="0"/>
              <w:sz w:val="18"/>
            </w:rPr>
            <w:fldChar w:fldCharType="end"/>
          </w:r>
          <w:r w:rsidR="00470DAB"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t>de</w:t>
          </w:r>
          <w:r w:rsidR="00470DAB">
            <w:rPr>
              <w:rFonts w:ascii="Arial" w:hAnsi="Arial"/>
              <w:snapToGrid w:val="0"/>
              <w:sz w:val="18"/>
            </w:rPr>
            <w:t xml:space="preserve"> </w:t>
          </w:r>
          <w:r w:rsidR="00470DAB">
            <w:rPr>
              <w:rFonts w:ascii="Arial" w:hAnsi="Arial"/>
              <w:snapToGrid w:val="0"/>
              <w:sz w:val="18"/>
            </w:rPr>
            <w:fldChar w:fldCharType="begin"/>
          </w:r>
          <w:r w:rsidR="00470DAB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470DAB">
            <w:rPr>
              <w:rFonts w:ascii="Arial" w:hAnsi="Arial"/>
              <w:snapToGrid w:val="0"/>
              <w:sz w:val="18"/>
            </w:rPr>
            <w:fldChar w:fldCharType="separate"/>
          </w:r>
          <w:r w:rsidR="007D01F9">
            <w:rPr>
              <w:rFonts w:ascii="Arial" w:hAnsi="Arial"/>
              <w:noProof/>
              <w:snapToGrid w:val="0"/>
              <w:sz w:val="18"/>
            </w:rPr>
            <w:t>3</w:t>
          </w:r>
          <w:r w:rsidR="00470DAB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70DAB" w:rsidRDefault="0047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470DAB">
      <w:trPr>
        <w:trHeight w:val="720"/>
      </w:trPr>
      <w:tc>
        <w:tcPr>
          <w:tcW w:w="1368" w:type="dxa"/>
        </w:tcPr>
        <w:p w:rsidR="00470DAB" w:rsidRDefault="00470DAB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470DAB" w:rsidRDefault="006E1C01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470DAB" w:rsidRDefault="00470DAB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B8356D" w:rsidRDefault="00B8356D" w:rsidP="00B8356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70DAB" w:rsidRDefault="00B8356D" w:rsidP="00B8356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494" w:type="dxa"/>
        </w:tcPr>
        <w:p w:rsidR="00470DAB" w:rsidRDefault="00470DAB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70DAB" w:rsidRDefault="00891962" w:rsidP="00DE1C6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470DAB">
            <w:rPr>
              <w:rFonts w:ascii="Arial" w:hAnsi="Arial"/>
              <w:sz w:val="18"/>
            </w:rPr>
            <w:t>R.0</w:t>
          </w:r>
          <w:r w:rsidR="00DE1C62">
            <w:rPr>
              <w:rFonts w:ascii="Arial" w:hAnsi="Arial"/>
              <w:sz w:val="18"/>
            </w:rPr>
            <w:t>03</w:t>
          </w:r>
          <w:r w:rsidR="00470DAB">
            <w:rPr>
              <w:rFonts w:ascii="Arial" w:hAnsi="Arial"/>
              <w:sz w:val="18"/>
            </w:rPr>
            <w:t xml:space="preserve"> </w:t>
          </w:r>
          <w:r w:rsidR="00470DAB">
            <w:rPr>
              <w:rFonts w:ascii="Arial" w:hAnsi="Arial"/>
              <w:sz w:val="18"/>
            </w:rPr>
            <w:br/>
          </w:r>
          <w:r w:rsidR="00470DAB">
            <w:rPr>
              <w:rFonts w:ascii="Arial" w:hAnsi="Arial"/>
              <w:snapToGrid w:val="0"/>
              <w:sz w:val="18"/>
            </w:rPr>
            <w:t xml:space="preserve">Page </w:t>
          </w:r>
          <w:r w:rsidR="00470DAB">
            <w:rPr>
              <w:rFonts w:ascii="Arial" w:hAnsi="Arial"/>
              <w:snapToGrid w:val="0"/>
              <w:sz w:val="18"/>
            </w:rPr>
            <w:fldChar w:fldCharType="begin"/>
          </w:r>
          <w:r w:rsidR="00470DAB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470DAB">
            <w:rPr>
              <w:rFonts w:ascii="Arial" w:hAnsi="Arial"/>
              <w:snapToGrid w:val="0"/>
              <w:sz w:val="18"/>
            </w:rPr>
            <w:fldChar w:fldCharType="separate"/>
          </w:r>
          <w:r w:rsidR="007D01F9">
            <w:rPr>
              <w:rFonts w:ascii="Arial" w:hAnsi="Arial"/>
              <w:noProof/>
              <w:snapToGrid w:val="0"/>
              <w:sz w:val="18"/>
            </w:rPr>
            <w:t>1</w:t>
          </w:r>
          <w:r w:rsidR="00470DAB">
            <w:rPr>
              <w:rFonts w:ascii="Arial" w:hAnsi="Arial"/>
              <w:snapToGrid w:val="0"/>
              <w:sz w:val="18"/>
            </w:rPr>
            <w:fldChar w:fldCharType="end"/>
          </w:r>
          <w:r w:rsidR="00470DAB"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t>de</w:t>
          </w:r>
          <w:r w:rsidR="00470DAB">
            <w:rPr>
              <w:rFonts w:ascii="Arial" w:hAnsi="Arial"/>
              <w:snapToGrid w:val="0"/>
              <w:sz w:val="18"/>
            </w:rPr>
            <w:t xml:space="preserve"> </w:t>
          </w:r>
          <w:r w:rsidR="00470DAB">
            <w:rPr>
              <w:rFonts w:ascii="Arial" w:hAnsi="Arial"/>
              <w:snapToGrid w:val="0"/>
              <w:sz w:val="18"/>
            </w:rPr>
            <w:fldChar w:fldCharType="begin"/>
          </w:r>
          <w:r w:rsidR="00470DAB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470DAB">
            <w:rPr>
              <w:rFonts w:ascii="Arial" w:hAnsi="Arial"/>
              <w:snapToGrid w:val="0"/>
              <w:sz w:val="18"/>
            </w:rPr>
            <w:fldChar w:fldCharType="separate"/>
          </w:r>
          <w:r w:rsidR="007D01F9">
            <w:rPr>
              <w:rFonts w:ascii="Arial" w:hAnsi="Arial"/>
              <w:noProof/>
              <w:snapToGrid w:val="0"/>
              <w:sz w:val="18"/>
            </w:rPr>
            <w:t>3</w:t>
          </w:r>
          <w:r w:rsidR="00470DAB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70DAB" w:rsidRDefault="0047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C2" w:rsidRDefault="000158C2">
      <w:r>
        <w:separator/>
      </w:r>
    </w:p>
  </w:footnote>
  <w:footnote w:type="continuationSeparator" w:id="0">
    <w:p w:rsidR="000158C2" w:rsidRDefault="0001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62" w:rsidRPr="00891962" w:rsidRDefault="00891962" w:rsidP="00891962">
    <w:pPr>
      <w:pStyle w:val="Header"/>
      <w:jc w:val="center"/>
      <w:rPr>
        <w:rFonts w:ascii="Arial" w:hAnsi="Arial"/>
        <w:b/>
        <w:spacing w:val="-2"/>
        <w:sz w:val="28"/>
        <w:lang w:val="fr-CA"/>
      </w:rPr>
    </w:pPr>
    <w:r w:rsidRPr="004C708C">
      <w:rPr>
        <w:rFonts w:ascii="Arial" w:hAnsi="Arial"/>
        <w:b/>
        <w:spacing w:val="-2"/>
        <w:sz w:val="28"/>
        <w:lang w:val="fr-CA"/>
      </w:rPr>
      <w:t>Préparation d’une suspension de globules rouges à 3 %</w:t>
    </w:r>
  </w:p>
  <w:p w:rsidR="00470DAB" w:rsidRDefault="00470DAB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DAB" w:rsidRPr="00FC42A4" w:rsidRDefault="006E1C01">
    <w:pPr>
      <w:pStyle w:val="Header"/>
      <w:rPr>
        <w:lang w:val="fr-CA"/>
      </w:rPr>
    </w:pPr>
    <w:r w:rsidRPr="003A3736">
      <w:rPr>
        <w:rFonts w:ascii="Verdana" w:hAnsi="Verdana"/>
        <w:noProof/>
        <w:sz w:val="8"/>
      </w:rPr>
      <w:drawing>
        <wp:inline distT="0" distB="0" distL="0" distR="0">
          <wp:extent cx="1133475" cy="885825"/>
          <wp:effectExtent l="0" t="0" r="0" b="0"/>
          <wp:docPr id="2" name="Picture 2" descr="RR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DAB" w:rsidRPr="00FC42A4" w:rsidRDefault="00470DAB">
    <w:pPr>
      <w:pStyle w:val="Header"/>
      <w:rPr>
        <w:rFonts w:ascii="Arial" w:hAnsi="Arial" w:cs="Arial"/>
        <w:b/>
        <w:bCs/>
        <w:sz w:val="22"/>
        <w:lang w:val="fr-CA"/>
      </w:rPr>
    </w:pPr>
  </w:p>
  <w:p w:rsidR="00B8356D" w:rsidRPr="000C64D0" w:rsidRDefault="00B8356D" w:rsidP="00B8356D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B8356D" w:rsidRPr="000C64D0" w:rsidRDefault="00B8356D" w:rsidP="00B8356D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470DAB" w:rsidRPr="00FC42A4" w:rsidRDefault="00470DAB">
    <w:pPr>
      <w:pStyle w:val="Header"/>
      <w:jc w:val="center"/>
      <w:rPr>
        <w:rFonts w:ascii="Arial" w:hAnsi="Arial"/>
        <w:b/>
        <w:spacing w:val="-2"/>
        <w:sz w:val="28"/>
        <w:lang w:val="fr-CA"/>
      </w:rPr>
    </w:pPr>
  </w:p>
  <w:p w:rsidR="00470DAB" w:rsidRPr="00FC42A4" w:rsidRDefault="00470DAB">
    <w:pPr>
      <w:pStyle w:val="Header"/>
      <w:jc w:val="center"/>
      <w:rPr>
        <w:rFonts w:ascii="Arial" w:hAnsi="Arial"/>
        <w:b/>
        <w:spacing w:val="-2"/>
        <w:sz w:val="28"/>
        <w:lang w:val="fr-CA"/>
      </w:rPr>
    </w:pPr>
    <w:r w:rsidRPr="00FC42A4">
      <w:rPr>
        <w:rFonts w:ascii="Arial" w:hAnsi="Arial"/>
        <w:b/>
        <w:spacing w:val="-2"/>
        <w:sz w:val="28"/>
        <w:lang w:val="fr-CA"/>
      </w:rPr>
      <w:t>Pr</w:t>
    </w:r>
    <w:r w:rsidR="00891962" w:rsidRPr="00FC42A4">
      <w:rPr>
        <w:rFonts w:ascii="Arial" w:hAnsi="Arial"/>
        <w:b/>
        <w:spacing w:val="-2"/>
        <w:sz w:val="28"/>
        <w:lang w:val="fr-CA"/>
      </w:rPr>
      <w:t xml:space="preserve">éparation d’une suspension de globules rouges à </w:t>
    </w:r>
    <w:r w:rsidRPr="00FC42A4">
      <w:rPr>
        <w:rFonts w:ascii="Arial" w:hAnsi="Arial"/>
        <w:b/>
        <w:spacing w:val="-2"/>
        <w:sz w:val="28"/>
        <w:lang w:val="fr-CA"/>
      </w:rPr>
      <w:t>3</w:t>
    </w:r>
    <w:r w:rsidR="00891962" w:rsidRPr="00FC42A4">
      <w:rPr>
        <w:rFonts w:ascii="Arial" w:hAnsi="Arial"/>
        <w:b/>
        <w:spacing w:val="-2"/>
        <w:sz w:val="28"/>
        <w:lang w:val="fr-CA"/>
      </w:rPr>
      <w:t> </w:t>
    </w:r>
    <w:r w:rsidRPr="00FC42A4">
      <w:rPr>
        <w:rFonts w:ascii="Arial" w:hAnsi="Arial"/>
        <w:b/>
        <w:spacing w:val="-2"/>
        <w:sz w:val="28"/>
        <w:lang w:val="fr-CA"/>
      </w:rPr>
      <w:t>%</w:t>
    </w:r>
  </w:p>
  <w:p w:rsidR="00470DAB" w:rsidRPr="00FC42A4" w:rsidRDefault="00470DAB">
    <w:pPr>
      <w:pStyle w:val="Header"/>
      <w:jc w:val="center"/>
      <w:rPr>
        <w:rFonts w:ascii="Arial" w:hAnsi="Arial"/>
        <w:b/>
        <w:sz w:val="28"/>
        <w:lang w:val="fr-CA"/>
      </w:rPr>
    </w:pPr>
  </w:p>
  <w:p w:rsidR="00470DAB" w:rsidRPr="00FC42A4" w:rsidRDefault="00470DAB">
    <w:pPr>
      <w:pStyle w:val="Header"/>
      <w:jc w:val="center"/>
      <w:rPr>
        <w:rFonts w:ascii="Arial" w:hAnsi="Arial" w:cs="Arial"/>
        <w:b/>
        <w:bCs/>
        <w:lang w:val="fr-CA"/>
      </w:rPr>
    </w:pPr>
    <w:r w:rsidRPr="00FC42A4">
      <w:rPr>
        <w:rFonts w:ascii="Arial" w:hAnsi="Arial" w:cs="Arial"/>
        <w:b/>
        <w:bCs/>
        <w:lang w:val="fr-CA"/>
      </w:rPr>
      <w:tab/>
    </w:r>
    <w:r w:rsidR="006E1C01" w:rsidRPr="00FC42A4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8A3E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470DAB" w:rsidRPr="00FC42A4">
      <w:tc>
        <w:tcPr>
          <w:tcW w:w="4428" w:type="dxa"/>
        </w:tcPr>
        <w:p w:rsidR="00470DAB" w:rsidRPr="00FC42A4" w:rsidRDefault="00891962" w:rsidP="00B8356D">
          <w:pPr>
            <w:pStyle w:val="Header"/>
            <w:rPr>
              <w:rFonts w:ascii="Arial" w:hAnsi="Arial" w:cs="Arial"/>
              <w:lang w:val="fr-CA"/>
            </w:rPr>
          </w:pPr>
          <w:r w:rsidRPr="00FC42A4">
            <w:rPr>
              <w:rFonts w:ascii="Arial" w:hAnsi="Arial" w:cs="Arial"/>
              <w:lang w:val="fr-CA"/>
            </w:rPr>
            <w:t xml:space="preserve">Approbation : </w:t>
          </w:r>
        </w:p>
      </w:tc>
      <w:tc>
        <w:tcPr>
          <w:tcW w:w="4428" w:type="dxa"/>
        </w:tcPr>
        <w:p w:rsidR="00470DAB" w:rsidRPr="00FC42A4" w:rsidRDefault="00891962" w:rsidP="00B8356D">
          <w:pPr>
            <w:pStyle w:val="Header"/>
            <w:rPr>
              <w:rFonts w:ascii="Arial" w:hAnsi="Arial" w:cs="Arial"/>
              <w:lang w:val="fr-CA"/>
            </w:rPr>
          </w:pPr>
          <w:r w:rsidRPr="00FC42A4">
            <w:rPr>
              <w:rFonts w:ascii="Arial" w:hAnsi="Arial" w:cs="Arial"/>
              <w:lang w:val="fr-CA"/>
            </w:rPr>
            <w:t>Document n</w:t>
          </w:r>
          <w:r w:rsidRPr="00FC42A4">
            <w:rPr>
              <w:rFonts w:ascii="Arial" w:hAnsi="Arial" w:cs="Arial"/>
              <w:vertAlign w:val="superscript"/>
              <w:lang w:val="fr-CA"/>
            </w:rPr>
            <w:t>o</w:t>
          </w:r>
          <w:r w:rsidRPr="00FC42A4">
            <w:rPr>
              <w:rFonts w:ascii="Arial" w:hAnsi="Arial" w:cs="Arial"/>
              <w:lang w:val="fr-CA"/>
            </w:rPr>
            <w:t xml:space="preserve"> :</w:t>
          </w:r>
          <w:r w:rsidR="00470DAB" w:rsidRPr="00FC42A4">
            <w:rPr>
              <w:rFonts w:ascii="Arial" w:hAnsi="Arial" w:cs="Arial"/>
              <w:lang w:val="fr-CA"/>
            </w:rPr>
            <w:t xml:space="preserve"> </w:t>
          </w:r>
          <w:r w:rsidRPr="00FC42A4">
            <w:rPr>
              <w:rFonts w:ascii="Arial" w:hAnsi="Arial" w:cs="Arial"/>
              <w:lang w:val="fr-CA"/>
            </w:rPr>
            <w:t>AR</w:t>
          </w:r>
          <w:r w:rsidR="00470DAB" w:rsidRPr="00FC42A4">
            <w:rPr>
              <w:rFonts w:ascii="Arial" w:hAnsi="Arial" w:cs="Arial"/>
              <w:lang w:val="fr-CA"/>
            </w:rPr>
            <w:t>.0</w:t>
          </w:r>
          <w:r w:rsidR="00B8356D">
            <w:rPr>
              <w:rFonts w:ascii="Arial" w:hAnsi="Arial" w:cs="Arial"/>
              <w:lang w:val="fr-CA"/>
            </w:rPr>
            <w:t>03</w:t>
          </w:r>
        </w:p>
      </w:tc>
    </w:tr>
    <w:tr w:rsidR="00470DAB" w:rsidRPr="00FC42A4">
      <w:tc>
        <w:tcPr>
          <w:tcW w:w="4428" w:type="dxa"/>
        </w:tcPr>
        <w:p w:rsidR="00470DAB" w:rsidRPr="00FC42A4" w:rsidRDefault="00470DAB" w:rsidP="00891962">
          <w:pPr>
            <w:pStyle w:val="Header"/>
            <w:rPr>
              <w:rFonts w:ascii="Arial" w:hAnsi="Arial" w:cs="Arial"/>
              <w:lang w:val="fr-CA"/>
            </w:rPr>
          </w:pPr>
          <w:r w:rsidRPr="00FC42A4">
            <w:rPr>
              <w:rFonts w:ascii="Arial" w:hAnsi="Arial" w:cs="Arial"/>
              <w:lang w:val="fr-CA"/>
            </w:rPr>
            <w:t>Date</w:t>
          </w:r>
          <w:r w:rsidR="00891962" w:rsidRPr="00FC42A4">
            <w:rPr>
              <w:rFonts w:ascii="Arial" w:hAnsi="Arial" w:cs="Arial"/>
              <w:lang w:val="fr-CA"/>
            </w:rPr>
            <w:t xml:space="preserve"> de publication </w:t>
          </w:r>
          <w:r w:rsidRPr="00FC42A4">
            <w:rPr>
              <w:rFonts w:ascii="Arial" w:hAnsi="Arial" w:cs="Arial"/>
              <w:lang w:val="fr-CA"/>
            </w:rPr>
            <w:t>: 2009/</w:t>
          </w:r>
          <w:r w:rsidR="00891962" w:rsidRPr="00FC42A4">
            <w:rPr>
              <w:rFonts w:ascii="Arial" w:hAnsi="Arial" w:cs="Arial"/>
              <w:lang w:val="fr-CA"/>
            </w:rPr>
            <w:t>12</w:t>
          </w:r>
          <w:r w:rsidRPr="00FC42A4">
            <w:rPr>
              <w:rFonts w:ascii="Arial" w:hAnsi="Arial" w:cs="Arial"/>
              <w:lang w:val="fr-CA"/>
            </w:rPr>
            <w:t>/</w:t>
          </w:r>
          <w:r w:rsidR="00891962" w:rsidRPr="00FC42A4">
            <w:rPr>
              <w:rFonts w:ascii="Arial" w:hAnsi="Arial" w:cs="Arial"/>
              <w:lang w:val="fr-CA"/>
            </w:rPr>
            <w:t>3</w:t>
          </w:r>
          <w:r w:rsidRPr="00FC42A4">
            <w:rPr>
              <w:rFonts w:ascii="Arial" w:hAnsi="Arial" w:cs="Arial"/>
              <w:lang w:val="fr-CA"/>
            </w:rPr>
            <w:t>1</w:t>
          </w:r>
        </w:p>
      </w:tc>
      <w:tc>
        <w:tcPr>
          <w:tcW w:w="4428" w:type="dxa"/>
        </w:tcPr>
        <w:p w:rsidR="00470DAB" w:rsidRPr="00FC42A4" w:rsidRDefault="00470DAB" w:rsidP="00891962">
          <w:pPr>
            <w:pStyle w:val="Header"/>
            <w:rPr>
              <w:rFonts w:ascii="Arial" w:hAnsi="Arial" w:cs="Arial"/>
              <w:lang w:val="fr-CA"/>
            </w:rPr>
          </w:pPr>
          <w:r w:rsidRPr="00FC42A4">
            <w:rPr>
              <w:rFonts w:ascii="Arial" w:hAnsi="Arial" w:cs="Arial"/>
              <w:lang w:val="fr-CA"/>
            </w:rPr>
            <w:t>Cat</w:t>
          </w:r>
          <w:r w:rsidR="00891962" w:rsidRPr="00FC42A4">
            <w:rPr>
              <w:rFonts w:ascii="Arial" w:hAnsi="Arial" w:cs="Arial"/>
              <w:lang w:val="fr-CA"/>
            </w:rPr>
            <w:t>égorie : Analyses de routine</w:t>
          </w:r>
        </w:p>
      </w:tc>
    </w:tr>
    <w:tr w:rsidR="00470DAB" w:rsidRPr="00FC42A4">
      <w:tc>
        <w:tcPr>
          <w:tcW w:w="4428" w:type="dxa"/>
        </w:tcPr>
        <w:p w:rsidR="00470DAB" w:rsidRPr="00FC42A4" w:rsidRDefault="00470DAB" w:rsidP="00B8356D">
          <w:pPr>
            <w:pStyle w:val="Header"/>
            <w:rPr>
              <w:rFonts w:ascii="Arial" w:hAnsi="Arial" w:cs="Arial"/>
              <w:lang w:val="fr-CA"/>
            </w:rPr>
          </w:pPr>
          <w:r w:rsidRPr="00FC42A4">
            <w:rPr>
              <w:rFonts w:ascii="Arial" w:hAnsi="Arial" w:cs="Arial"/>
              <w:lang w:val="fr-CA"/>
            </w:rPr>
            <w:t xml:space="preserve">Date </w:t>
          </w:r>
          <w:r w:rsidR="00891962" w:rsidRPr="00FC42A4">
            <w:rPr>
              <w:rFonts w:ascii="Arial" w:hAnsi="Arial" w:cs="Arial"/>
              <w:lang w:val="fr-CA"/>
            </w:rPr>
            <w:t>de révision :</w:t>
          </w:r>
          <w:r w:rsidRPr="00FC42A4">
            <w:rPr>
              <w:rFonts w:ascii="Arial" w:hAnsi="Arial" w:cs="Arial"/>
              <w:lang w:val="fr-CA"/>
            </w:rPr>
            <w:t xml:space="preserve"> </w:t>
          </w:r>
          <w:r w:rsidR="00B8356D">
            <w:rPr>
              <w:rFonts w:ascii="Arial" w:hAnsi="Arial" w:cs="Arial"/>
              <w:lang w:val="fr-CA"/>
            </w:rPr>
            <w:t>2014/01/31</w:t>
          </w:r>
          <w:r w:rsidRPr="00FC42A4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470DAB" w:rsidRPr="00FC42A4" w:rsidRDefault="00470DAB" w:rsidP="00891962">
          <w:pPr>
            <w:pStyle w:val="Header"/>
            <w:rPr>
              <w:rFonts w:ascii="Arial" w:hAnsi="Arial" w:cs="Arial"/>
              <w:lang w:val="fr-CA"/>
            </w:rPr>
          </w:pPr>
          <w:r w:rsidRPr="00FC42A4">
            <w:rPr>
              <w:rFonts w:ascii="Arial" w:hAnsi="Arial" w:cs="Arial"/>
              <w:lang w:val="fr-CA"/>
            </w:rPr>
            <w:t>Page</w:t>
          </w:r>
          <w:r w:rsidR="00891962" w:rsidRPr="00FC42A4">
            <w:rPr>
              <w:rFonts w:ascii="Arial" w:hAnsi="Arial" w:cs="Arial"/>
              <w:lang w:val="fr-CA"/>
            </w:rPr>
            <w:t xml:space="preserve">s : </w:t>
          </w:r>
          <w:r w:rsidRPr="00FC42A4">
            <w:rPr>
              <w:rFonts w:ascii="Arial" w:hAnsi="Arial" w:cs="Arial"/>
              <w:lang w:val="fr-CA"/>
            </w:rPr>
            <w:fldChar w:fldCharType="begin"/>
          </w:r>
          <w:r w:rsidRPr="00FC42A4">
            <w:rPr>
              <w:rFonts w:ascii="Arial" w:hAnsi="Arial" w:cs="Arial"/>
              <w:lang w:val="fr-CA"/>
            </w:rPr>
            <w:instrText xml:space="preserve"> NUMPAGES </w:instrText>
          </w:r>
          <w:r w:rsidRPr="00FC42A4">
            <w:rPr>
              <w:rFonts w:ascii="Arial" w:hAnsi="Arial" w:cs="Arial"/>
              <w:lang w:val="fr-CA"/>
            </w:rPr>
            <w:fldChar w:fldCharType="separate"/>
          </w:r>
          <w:r w:rsidR="007D01F9">
            <w:rPr>
              <w:rFonts w:ascii="Arial" w:hAnsi="Arial" w:cs="Arial"/>
              <w:noProof/>
              <w:lang w:val="fr-CA"/>
            </w:rPr>
            <w:t>3</w:t>
          </w:r>
          <w:r w:rsidRPr="00FC42A4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470DAB" w:rsidRPr="00FC42A4" w:rsidRDefault="006E1C01">
    <w:pPr>
      <w:pStyle w:val="Header"/>
      <w:tabs>
        <w:tab w:val="clear" w:pos="8640"/>
        <w:tab w:val="left" w:pos="4714"/>
      </w:tabs>
      <w:rPr>
        <w:lang w:val="fr-CA"/>
      </w:rPr>
    </w:pPr>
    <w:r w:rsidRPr="00FC42A4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4332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470DAB" w:rsidRPr="00FC42A4">
      <w:rPr>
        <w:rFonts w:ascii="Arial" w:hAnsi="Arial" w:cs="Arial"/>
        <w:lang w:val="fr-CA"/>
      </w:rPr>
      <w:tab/>
    </w:r>
    <w:r w:rsidR="00470DAB" w:rsidRPr="00FC42A4">
      <w:rPr>
        <w:rFonts w:ascii="Arial" w:hAnsi="Arial" w:cs="Arial"/>
        <w:lang w:val="fr-CA"/>
      </w:rPr>
      <w:tab/>
    </w:r>
  </w:p>
  <w:p w:rsidR="00470DAB" w:rsidRPr="00FC42A4" w:rsidRDefault="00470DAB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951CE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E8917CD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E9D7A92"/>
    <w:multiLevelType w:val="hybridMultilevel"/>
    <w:tmpl w:val="0DFE4E0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51921"/>
    <w:multiLevelType w:val="hybridMultilevel"/>
    <w:tmpl w:val="8FC4C3F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626A59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8C65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4D44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A64A42"/>
    <w:multiLevelType w:val="hybridMultilevel"/>
    <w:tmpl w:val="2BC69C7C"/>
    <w:lvl w:ilvl="0" w:tplc="A162B3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19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15"/>
  </w:num>
  <w:num w:numId="16">
    <w:abstractNumId w:val="4"/>
  </w:num>
  <w:num w:numId="17">
    <w:abstractNumId w:val="10"/>
  </w:num>
  <w:num w:numId="18">
    <w:abstractNumId w:val="17"/>
  </w:num>
  <w:num w:numId="19">
    <w:abstractNumId w:val="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sang"/>
    <w:docVar w:name="TermBaseURL" w:val="empty"/>
    <w:docVar w:name="TextBases" w:val="swim 2010|orbcon"/>
    <w:docVar w:name="TextBaseURL" w:val="empty"/>
    <w:docVar w:name="UILng" w:val="fr"/>
  </w:docVars>
  <w:rsids>
    <w:rsidRoot w:val="003245FF"/>
    <w:rsid w:val="000158C2"/>
    <w:rsid w:val="00070C00"/>
    <w:rsid w:val="000F03B1"/>
    <w:rsid w:val="00310290"/>
    <w:rsid w:val="003245FF"/>
    <w:rsid w:val="003A0FDD"/>
    <w:rsid w:val="00470DAB"/>
    <w:rsid w:val="004C30D1"/>
    <w:rsid w:val="004C708C"/>
    <w:rsid w:val="004D4A5E"/>
    <w:rsid w:val="00640417"/>
    <w:rsid w:val="006E1C01"/>
    <w:rsid w:val="00714881"/>
    <w:rsid w:val="00771F30"/>
    <w:rsid w:val="007D01F9"/>
    <w:rsid w:val="00803A23"/>
    <w:rsid w:val="00891962"/>
    <w:rsid w:val="008B76F2"/>
    <w:rsid w:val="008C062D"/>
    <w:rsid w:val="008E3D58"/>
    <w:rsid w:val="00916269"/>
    <w:rsid w:val="00923F8E"/>
    <w:rsid w:val="00950ADA"/>
    <w:rsid w:val="00970C1D"/>
    <w:rsid w:val="009C7F7B"/>
    <w:rsid w:val="009E2C9E"/>
    <w:rsid w:val="00A26689"/>
    <w:rsid w:val="00AB3485"/>
    <w:rsid w:val="00AC4F92"/>
    <w:rsid w:val="00B1018F"/>
    <w:rsid w:val="00B55ECA"/>
    <w:rsid w:val="00B8356D"/>
    <w:rsid w:val="00B967D2"/>
    <w:rsid w:val="00BA56E1"/>
    <w:rsid w:val="00C323F0"/>
    <w:rsid w:val="00C56872"/>
    <w:rsid w:val="00CC5D34"/>
    <w:rsid w:val="00D436EF"/>
    <w:rsid w:val="00DE1C62"/>
    <w:rsid w:val="00DF1176"/>
    <w:rsid w:val="00F722FB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8FE89-57F3-4EFC-906D-20FB2F7F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uppressAutoHyphens/>
      <w:spacing w:after="54"/>
      <w:jc w:val="center"/>
    </w:pPr>
    <w:rPr>
      <w:spacing w:val="-2"/>
      <w:lang w:val="en-GB"/>
    </w:rPr>
  </w:style>
  <w:style w:type="paragraph" w:styleId="BalloonText">
    <w:name w:val="Balloon Text"/>
    <w:basedOn w:val="Normal"/>
    <w:semiHidden/>
    <w:rsid w:val="00AC4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6D"/>
    <w:pPr>
      <w:ind w:left="720"/>
      <w:contextualSpacing/>
    </w:pPr>
  </w:style>
  <w:style w:type="table" w:styleId="TableGrid">
    <w:name w:val="Table Grid"/>
    <w:basedOn w:val="TableNormal"/>
    <w:rsid w:val="00B8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RT.013 Anti-A1 Lectin or Anti-H</vt:lpstr>
      <vt:lpstr>RT.013 Anti-A1 Lectin or Anti-H</vt:lpstr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RT.013 Anti-A1 Lectin or Anti-H</dc:title>
  <dc:subject/>
  <dc:creator>Transfusion Ontario Program Office</dc:creator>
  <cp:keywords/>
  <cp:lastModifiedBy>Nesrallah, Heather</cp:lastModifiedBy>
  <cp:revision>2</cp:revision>
  <cp:lastPrinted>2011-01-12T01:12:00Z</cp:lastPrinted>
  <dcterms:created xsi:type="dcterms:W3CDTF">2020-08-10T18:14:00Z</dcterms:created>
  <dcterms:modified xsi:type="dcterms:W3CDTF">2020-08-10T18:14:00Z</dcterms:modified>
</cp:coreProperties>
</file>