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6D4" w:rsidRPr="00A26B19" w:rsidRDefault="00392813">
      <w:pPr>
        <w:pStyle w:val="Heading1"/>
        <w:numPr>
          <w:ilvl w:val="0"/>
          <w:numId w:val="2"/>
        </w:numPr>
        <w:rPr>
          <w:b/>
          <w:sz w:val="28"/>
          <w:lang w:val="fr-CA"/>
        </w:rPr>
      </w:pPr>
      <w:bookmarkStart w:id="0" w:name="_GoBack"/>
      <w:bookmarkEnd w:id="0"/>
      <w:r w:rsidRPr="00A26B19">
        <w:rPr>
          <w:b/>
          <w:sz w:val="28"/>
          <w:lang w:val="fr-CA"/>
        </w:rPr>
        <w:t>Principe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2C129C">
      <w:pPr>
        <w:pStyle w:val="BodyTextIndent"/>
        <w:rPr>
          <w:lang w:val="fr-CA"/>
        </w:rPr>
      </w:pPr>
      <w:r w:rsidRPr="00A26B19">
        <w:rPr>
          <w:lang w:val="fr-CA"/>
        </w:rPr>
        <w:t xml:space="preserve">Pour </w:t>
      </w:r>
      <w:r w:rsidR="00164F21" w:rsidRPr="00A26B19">
        <w:rPr>
          <w:lang w:val="fr-CA"/>
        </w:rPr>
        <w:t xml:space="preserve">enlever </w:t>
      </w:r>
      <w:r w:rsidRPr="00A26B19">
        <w:rPr>
          <w:lang w:val="fr-CA"/>
        </w:rPr>
        <w:t xml:space="preserve">les protéines </w:t>
      </w:r>
      <w:r w:rsidR="003541D8" w:rsidRPr="00A26B19">
        <w:rPr>
          <w:lang w:val="fr-CA"/>
        </w:rPr>
        <w:t xml:space="preserve">plasmatiques </w:t>
      </w:r>
      <w:r w:rsidRPr="00A26B19">
        <w:rPr>
          <w:lang w:val="fr-CA"/>
        </w:rPr>
        <w:t>humaines non fixé</w:t>
      </w:r>
      <w:r w:rsidR="00B661FB" w:rsidRPr="00A26B19">
        <w:rPr>
          <w:lang w:val="fr-CA"/>
        </w:rPr>
        <w:t>e</w:t>
      </w:r>
      <w:r w:rsidRPr="00A26B19">
        <w:rPr>
          <w:lang w:val="fr-CA"/>
        </w:rPr>
        <w:t xml:space="preserve">s avant l’addition des réactifs d’antiglobuline ou pour </w:t>
      </w:r>
      <w:r w:rsidR="00190334" w:rsidRPr="00A26B19">
        <w:rPr>
          <w:lang w:val="fr-CA"/>
        </w:rPr>
        <w:t>éliminer</w:t>
      </w:r>
      <w:r w:rsidR="003541D8" w:rsidRPr="00A26B19">
        <w:rPr>
          <w:lang w:val="fr-CA"/>
        </w:rPr>
        <w:t xml:space="preserve"> </w:t>
      </w:r>
      <w:r w:rsidRPr="00A26B19">
        <w:rPr>
          <w:lang w:val="fr-CA"/>
        </w:rPr>
        <w:t>toute divergence</w:t>
      </w:r>
      <w:r w:rsidR="00D55112" w:rsidRPr="00A26B19">
        <w:rPr>
          <w:lang w:val="fr-CA"/>
        </w:rPr>
        <w:t xml:space="preserve"> quant aux </w:t>
      </w:r>
      <w:r w:rsidRPr="00A26B19">
        <w:rPr>
          <w:lang w:val="fr-CA"/>
        </w:rPr>
        <w:t>épreuves</w:t>
      </w:r>
      <w:r w:rsidR="008C76D4" w:rsidRPr="00A26B19">
        <w:rPr>
          <w:lang w:val="fr-CA"/>
        </w:rPr>
        <w:t>.</w:t>
      </w:r>
    </w:p>
    <w:p w:rsidR="008C76D4" w:rsidRPr="00A26B19" w:rsidRDefault="008C76D4">
      <w:pPr>
        <w:ind w:left="390"/>
        <w:rPr>
          <w:rFonts w:ascii="Arial" w:hAnsi="Arial"/>
          <w:sz w:val="24"/>
          <w:lang w:val="fr-CA"/>
        </w:rPr>
      </w:pPr>
    </w:p>
    <w:p w:rsidR="008C76D4" w:rsidRPr="00A26B19" w:rsidRDefault="002C129C">
      <w:pPr>
        <w:ind w:left="720"/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Un lavage i</w:t>
      </w:r>
      <w:r w:rsidR="008C76D4" w:rsidRPr="00A26B19">
        <w:rPr>
          <w:rFonts w:ascii="Arial" w:hAnsi="Arial"/>
          <w:sz w:val="24"/>
          <w:lang w:val="fr-CA"/>
        </w:rPr>
        <w:t>ncomplet</w:t>
      </w:r>
      <w:r w:rsidRPr="00A26B19">
        <w:rPr>
          <w:rFonts w:ascii="Arial" w:hAnsi="Arial"/>
          <w:sz w:val="24"/>
          <w:lang w:val="fr-CA"/>
        </w:rPr>
        <w:t xml:space="preserve"> peut laisser des protéines résiduelles qui pourraient neutraliser la globuline anti-humaine utilisée dans le test indirect à l’antiglobuline. Cette neutralisation se manifestera par une absence d’agglutination des cellules recouvertes</w:t>
      </w:r>
      <w:r w:rsidR="003541D8" w:rsidRPr="00A26B19">
        <w:rPr>
          <w:rFonts w:ascii="Arial" w:hAnsi="Arial"/>
          <w:sz w:val="24"/>
          <w:lang w:val="fr-CA"/>
        </w:rPr>
        <w:t xml:space="preserve"> d’IgG</w:t>
      </w:r>
      <w:r w:rsidRPr="00A26B19">
        <w:rPr>
          <w:rFonts w:ascii="Arial" w:hAnsi="Arial"/>
          <w:sz w:val="24"/>
          <w:lang w:val="fr-CA"/>
        </w:rPr>
        <w:t xml:space="preserve">, ce qui rendra les résultats du test non valides. 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392813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sz w:val="28"/>
          <w:lang w:val="fr-CA"/>
        </w:rPr>
        <w:t>Portée et politiques connexes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2C129C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Les globules rouges sont lavés lorsque l’on veut faire un test direct à l’antiglobuline (TDA) ou un test indirect à l’antiglobuline (TIA)</w:t>
      </w:r>
      <w:r w:rsidR="008C76D4"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2C129C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Le lavage des cellules du patient et/ou du donneur avant la préparation d’une suspension de </w:t>
      </w:r>
      <w:r w:rsidR="004D183B" w:rsidRPr="00A26B19">
        <w:rPr>
          <w:rFonts w:ascii="Arial" w:hAnsi="Arial"/>
          <w:sz w:val="24"/>
          <w:lang w:val="fr-CA"/>
        </w:rPr>
        <w:t xml:space="preserve">globules rouges </w:t>
      </w:r>
      <w:r w:rsidRPr="00A26B19">
        <w:rPr>
          <w:rFonts w:ascii="Arial" w:hAnsi="Arial"/>
          <w:sz w:val="24"/>
          <w:lang w:val="fr-CA"/>
        </w:rPr>
        <w:t xml:space="preserve">à </w:t>
      </w:r>
      <w:r w:rsidR="008C76D4" w:rsidRPr="00A26B19">
        <w:rPr>
          <w:rFonts w:ascii="Arial" w:hAnsi="Arial"/>
          <w:sz w:val="24"/>
          <w:lang w:val="fr-CA"/>
        </w:rPr>
        <w:t>3</w:t>
      </w:r>
      <w:r w:rsidRPr="00A26B19">
        <w:rPr>
          <w:rFonts w:ascii="Arial" w:hAnsi="Arial"/>
          <w:sz w:val="24"/>
          <w:lang w:val="fr-CA"/>
        </w:rPr>
        <w:t> </w:t>
      </w:r>
      <w:r w:rsidR="008C76D4" w:rsidRPr="00A26B19">
        <w:rPr>
          <w:rFonts w:ascii="Arial" w:hAnsi="Arial"/>
          <w:sz w:val="24"/>
          <w:lang w:val="fr-CA"/>
        </w:rPr>
        <w:t xml:space="preserve">% </w:t>
      </w:r>
      <w:r w:rsidRPr="00A26B19">
        <w:rPr>
          <w:rFonts w:ascii="Arial" w:hAnsi="Arial"/>
          <w:sz w:val="24"/>
          <w:lang w:val="fr-CA"/>
        </w:rPr>
        <w:t>peut être fait dans le cadre de la résolution de problèmes soulevés par les épreuves de compatibilité</w:t>
      </w:r>
      <w:r w:rsidR="008C76D4"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392813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sz w:val="28"/>
          <w:lang w:val="fr-CA"/>
        </w:rPr>
        <w:t>Échantillons - S.O.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392813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sz w:val="28"/>
          <w:lang w:val="fr-CA"/>
        </w:rPr>
        <w:t>Matériel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392813">
      <w:pPr>
        <w:ind w:left="720"/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b/>
          <w:bCs/>
          <w:sz w:val="24"/>
          <w:lang w:val="fr-CA"/>
        </w:rPr>
        <w:t>Équipement</w:t>
      </w:r>
      <w:r w:rsidRPr="00A26B19">
        <w:rPr>
          <w:rFonts w:ascii="Arial" w:hAnsi="Arial"/>
          <w:bCs/>
          <w:sz w:val="24"/>
          <w:lang w:val="fr-CA"/>
        </w:rPr>
        <w:t xml:space="preserve"> : laveur de cellules automati</w:t>
      </w:r>
      <w:r w:rsidR="00EF6109" w:rsidRPr="00A26B19">
        <w:rPr>
          <w:rFonts w:ascii="Arial" w:hAnsi="Arial"/>
          <w:bCs/>
          <w:sz w:val="24"/>
          <w:lang w:val="fr-CA"/>
        </w:rPr>
        <w:t>que</w:t>
      </w:r>
    </w:p>
    <w:p w:rsidR="004D183B" w:rsidRPr="00A26B19" w:rsidRDefault="008C76D4" w:rsidP="004D183B">
      <w:pPr>
        <w:pStyle w:val="Heading2"/>
        <w:rPr>
          <w:lang w:val="fr-CA"/>
        </w:rPr>
      </w:pPr>
      <w:r w:rsidRPr="00A26B19">
        <w:rPr>
          <w:lang w:val="fr-CA"/>
        </w:rPr>
        <w:tab/>
      </w:r>
      <w:r w:rsidRPr="00A26B19">
        <w:rPr>
          <w:lang w:val="fr-CA"/>
        </w:rPr>
        <w:tab/>
      </w:r>
      <w:r w:rsidR="003C7995" w:rsidRPr="00A26B19">
        <w:rPr>
          <w:lang w:val="fr-CA"/>
        </w:rPr>
        <w:t xml:space="preserve">  </w:t>
      </w:r>
      <w:r w:rsidR="00392813" w:rsidRPr="00A26B19">
        <w:rPr>
          <w:lang w:val="fr-CA"/>
        </w:rPr>
        <w:t>centrifugeuse sérologique</w:t>
      </w:r>
      <w:r w:rsidR="004D183B" w:rsidRPr="00A26B19">
        <w:rPr>
          <w:lang w:val="fr-CA"/>
        </w:rPr>
        <w:br/>
      </w:r>
      <w:r w:rsidR="004D183B" w:rsidRPr="00A26B19">
        <w:rPr>
          <w:lang w:val="fr-CA"/>
        </w:rPr>
        <w:tab/>
      </w:r>
      <w:r w:rsidR="004D183B" w:rsidRPr="00A26B19">
        <w:rPr>
          <w:lang w:val="fr-CA"/>
        </w:rPr>
        <w:tab/>
        <w:t xml:space="preserve">  </w:t>
      </w:r>
      <w:r w:rsidR="00D55112" w:rsidRPr="00A26B19">
        <w:rPr>
          <w:lang w:val="fr-CA"/>
        </w:rPr>
        <w:t xml:space="preserve">appareil d’aspiration sous </w:t>
      </w:r>
      <w:r w:rsidR="004D183B" w:rsidRPr="00A26B19">
        <w:rPr>
          <w:lang w:val="fr-CA"/>
        </w:rPr>
        <w:t>vide pour pipette</w:t>
      </w:r>
      <w:r w:rsidR="004D183B" w:rsidRPr="00A26B19">
        <w:rPr>
          <w:lang w:val="fr-CA"/>
        </w:rPr>
        <w:tab/>
      </w:r>
      <w:r w:rsidR="004D183B" w:rsidRPr="00A26B19">
        <w:rPr>
          <w:lang w:val="fr-CA"/>
        </w:rPr>
        <w:tab/>
      </w:r>
      <w:r w:rsidR="004D183B" w:rsidRPr="00A26B19">
        <w:rPr>
          <w:lang w:val="fr-CA"/>
        </w:rPr>
        <w:tab/>
      </w:r>
      <w:r w:rsidR="004D183B" w:rsidRPr="00A26B19">
        <w:rPr>
          <w:lang w:val="fr-CA"/>
        </w:rPr>
        <w:tab/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392813">
      <w:pPr>
        <w:ind w:left="720"/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b/>
          <w:bCs/>
          <w:sz w:val="24"/>
          <w:lang w:val="fr-CA"/>
        </w:rPr>
        <w:t>Fournitures</w:t>
      </w:r>
      <w:r w:rsidRPr="00A26B19">
        <w:rPr>
          <w:rFonts w:ascii="Arial" w:hAnsi="Arial"/>
          <w:bCs/>
          <w:sz w:val="24"/>
          <w:lang w:val="fr-CA"/>
        </w:rPr>
        <w:t> :</w:t>
      </w:r>
      <w:r w:rsidR="003C7995" w:rsidRPr="00A26B19">
        <w:rPr>
          <w:rFonts w:ascii="Arial" w:hAnsi="Arial"/>
          <w:bCs/>
          <w:sz w:val="24"/>
          <w:lang w:val="fr-CA"/>
        </w:rPr>
        <w:t xml:space="preserve"> </w:t>
      </w:r>
      <w:r w:rsidRPr="00A26B19">
        <w:rPr>
          <w:rFonts w:ascii="Arial" w:hAnsi="Arial"/>
          <w:bCs/>
          <w:sz w:val="24"/>
          <w:lang w:val="fr-CA"/>
        </w:rPr>
        <w:t>tubes 10 x 75 mm</w:t>
      </w:r>
    </w:p>
    <w:p w:rsidR="004D183B" w:rsidRPr="00A26B19" w:rsidRDefault="003C7995">
      <w:pPr>
        <w:ind w:left="1440" w:firstLine="720"/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 </w:t>
      </w:r>
      <w:r w:rsidR="004D183B" w:rsidRPr="00A26B19">
        <w:rPr>
          <w:rFonts w:ascii="Arial" w:hAnsi="Arial"/>
          <w:sz w:val="24"/>
          <w:lang w:val="fr-CA"/>
        </w:rPr>
        <w:t xml:space="preserve">contenant pour </w:t>
      </w:r>
      <w:r w:rsidR="006A59EF" w:rsidRPr="00A26B19">
        <w:rPr>
          <w:rFonts w:ascii="Arial" w:hAnsi="Arial"/>
          <w:sz w:val="24"/>
          <w:lang w:val="fr-CA"/>
        </w:rPr>
        <w:t>objets</w:t>
      </w:r>
      <w:r w:rsidR="004D183B" w:rsidRPr="00A26B19">
        <w:rPr>
          <w:rFonts w:ascii="Arial" w:hAnsi="Arial"/>
          <w:sz w:val="24"/>
          <w:lang w:val="fr-CA"/>
        </w:rPr>
        <w:t xml:space="preserve"> contaminé</w:t>
      </w:r>
      <w:r w:rsidR="006A59EF" w:rsidRPr="00A26B19">
        <w:rPr>
          <w:rFonts w:ascii="Arial" w:hAnsi="Arial"/>
          <w:sz w:val="24"/>
          <w:lang w:val="fr-CA"/>
        </w:rPr>
        <w:t>s</w:t>
      </w:r>
    </w:p>
    <w:p w:rsidR="00A72FEA" w:rsidRDefault="00515DDE">
      <w:pPr>
        <w:ind w:left="1440" w:firstLine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bouteille pour la solution saline </w:t>
      </w:r>
    </w:p>
    <w:p w:rsidR="004D183B" w:rsidRPr="00A26B19" w:rsidRDefault="00515DDE">
      <w:pPr>
        <w:ind w:left="1440" w:firstLine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lastRenderedPageBreak/>
        <w:t xml:space="preserve"> </w:t>
      </w:r>
      <w:r w:rsidR="006A59EF" w:rsidRPr="00A26B19">
        <w:rPr>
          <w:rFonts w:ascii="Arial" w:hAnsi="Arial"/>
          <w:sz w:val="24"/>
          <w:lang w:val="fr-CA"/>
        </w:rPr>
        <w:t xml:space="preserve">tissu </w:t>
      </w:r>
      <w:r w:rsidR="004D183B" w:rsidRPr="00A26B19">
        <w:rPr>
          <w:rFonts w:ascii="Arial" w:hAnsi="Arial"/>
          <w:sz w:val="24"/>
          <w:lang w:val="fr-CA"/>
        </w:rPr>
        <w:t>absorbant</w:t>
      </w:r>
    </w:p>
    <w:p w:rsidR="004D183B" w:rsidRPr="00A26B19" w:rsidRDefault="00515DDE">
      <w:pPr>
        <w:ind w:left="1440" w:firstLine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 w:rsidR="004D183B" w:rsidRPr="00A26B19">
        <w:rPr>
          <w:rFonts w:ascii="Arial" w:hAnsi="Arial"/>
          <w:sz w:val="24"/>
          <w:lang w:val="fr-CA"/>
        </w:rPr>
        <w:t>pipettes sérologiques</w:t>
      </w:r>
    </w:p>
    <w:p w:rsidR="008C76D4" w:rsidRPr="00A26B19" w:rsidRDefault="00515DDE">
      <w:pPr>
        <w:ind w:left="1440" w:firstLine="720"/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 xml:space="preserve"> </w:t>
      </w:r>
      <w:r w:rsidR="003C7995" w:rsidRPr="00A26B19">
        <w:rPr>
          <w:rFonts w:ascii="Arial" w:hAnsi="Arial"/>
          <w:sz w:val="24"/>
          <w:lang w:val="fr-CA"/>
        </w:rPr>
        <w:t>v</w:t>
      </w:r>
      <w:r w:rsidR="00A46FE4" w:rsidRPr="00A26B19">
        <w:rPr>
          <w:rFonts w:ascii="Arial" w:hAnsi="Arial"/>
          <w:sz w:val="24"/>
          <w:lang w:val="fr-CA"/>
        </w:rPr>
        <w:t>êtements de protection personnelle, au besoin</w:t>
      </w:r>
    </w:p>
    <w:p w:rsidR="008C76D4" w:rsidRPr="00A26B19" w:rsidRDefault="008C76D4">
      <w:pPr>
        <w:ind w:left="1440" w:firstLine="720"/>
        <w:rPr>
          <w:rFonts w:ascii="Arial" w:hAnsi="Arial"/>
          <w:sz w:val="24"/>
          <w:lang w:val="fr-CA"/>
        </w:rPr>
      </w:pPr>
    </w:p>
    <w:p w:rsidR="00A46FE4" w:rsidRPr="00A26B19" w:rsidRDefault="008C76D4" w:rsidP="00A46FE4">
      <w:p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ab/>
      </w:r>
      <w:r w:rsidRPr="00A26B19">
        <w:rPr>
          <w:rFonts w:ascii="Arial" w:hAnsi="Arial"/>
          <w:b/>
          <w:bCs/>
          <w:sz w:val="24"/>
          <w:lang w:val="fr-CA"/>
        </w:rPr>
        <w:t>R</w:t>
      </w:r>
      <w:r w:rsidR="00EF6109" w:rsidRPr="00A26B19">
        <w:rPr>
          <w:rFonts w:ascii="Arial" w:hAnsi="Arial"/>
          <w:b/>
          <w:bCs/>
          <w:sz w:val="24"/>
          <w:lang w:val="fr-CA"/>
        </w:rPr>
        <w:t xml:space="preserve">éactifs </w:t>
      </w:r>
      <w:r w:rsidRPr="00A26B19">
        <w:rPr>
          <w:rFonts w:ascii="Arial" w:hAnsi="Arial"/>
          <w:b/>
          <w:bCs/>
          <w:sz w:val="24"/>
          <w:lang w:val="fr-CA"/>
        </w:rPr>
        <w:t>:</w:t>
      </w:r>
      <w:r w:rsidRPr="00A26B19">
        <w:rPr>
          <w:rFonts w:ascii="Arial" w:hAnsi="Arial"/>
          <w:sz w:val="24"/>
          <w:lang w:val="fr-CA"/>
        </w:rPr>
        <w:tab/>
      </w:r>
      <w:r w:rsidR="00D334DB" w:rsidRPr="00A26B19">
        <w:rPr>
          <w:rFonts w:ascii="Arial" w:hAnsi="Arial"/>
          <w:sz w:val="24"/>
          <w:lang w:val="fr-CA"/>
        </w:rPr>
        <w:t xml:space="preserve"> </w:t>
      </w:r>
      <w:r w:rsidR="00A46FE4" w:rsidRPr="00A26B19">
        <w:rPr>
          <w:rFonts w:ascii="Arial" w:hAnsi="Arial"/>
          <w:sz w:val="24"/>
          <w:lang w:val="fr-CA"/>
        </w:rPr>
        <w:t xml:space="preserve">suspension de </w:t>
      </w:r>
      <w:r w:rsidR="004D183B" w:rsidRPr="00A26B19">
        <w:rPr>
          <w:rFonts w:ascii="Arial" w:hAnsi="Arial"/>
          <w:sz w:val="24"/>
          <w:lang w:val="fr-CA"/>
        </w:rPr>
        <w:t xml:space="preserve">globules rouges </w:t>
      </w:r>
      <w:r w:rsidR="00A46FE4" w:rsidRPr="00A26B19">
        <w:rPr>
          <w:rFonts w:ascii="Arial" w:hAnsi="Arial"/>
          <w:sz w:val="24"/>
          <w:lang w:val="fr-CA"/>
        </w:rPr>
        <w:t xml:space="preserve">à </w:t>
      </w:r>
      <w:r w:rsidRPr="00A26B19">
        <w:rPr>
          <w:rFonts w:ascii="Arial" w:hAnsi="Arial"/>
          <w:sz w:val="24"/>
          <w:lang w:val="fr-CA"/>
        </w:rPr>
        <w:t>3</w:t>
      </w:r>
      <w:r w:rsidR="00A46FE4" w:rsidRPr="00A26B19">
        <w:rPr>
          <w:rFonts w:ascii="Arial" w:hAnsi="Arial"/>
          <w:sz w:val="24"/>
          <w:lang w:val="fr-CA"/>
        </w:rPr>
        <w:t> </w:t>
      </w:r>
      <w:r w:rsidRPr="00A26B19">
        <w:rPr>
          <w:rFonts w:ascii="Arial" w:hAnsi="Arial"/>
          <w:sz w:val="24"/>
          <w:lang w:val="fr-CA"/>
        </w:rPr>
        <w:t>%</w:t>
      </w:r>
    </w:p>
    <w:p w:rsidR="008C76D4" w:rsidRPr="00A26B19" w:rsidRDefault="00A46FE4" w:rsidP="00A46FE4">
      <w:p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ab/>
      </w:r>
      <w:r w:rsidRPr="00A26B19">
        <w:rPr>
          <w:rFonts w:ascii="Arial" w:hAnsi="Arial"/>
          <w:sz w:val="24"/>
          <w:lang w:val="fr-CA"/>
        </w:rPr>
        <w:tab/>
      </w:r>
      <w:r w:rsidRPr="00A26B19">
        <w:rPr>
          <w:rFonts w:ascii="Arial" w:hAnsi="Arial"/>
          <w:sz w:val="24"/>
          <w:lang w:val="fr-CA"/>
        </w:rPr>
        <w:tab/>
      </w:r>
      <w:r w:rsidR="004D183B" w:rsidRPr="00A26B19">
        <w:rPr>
          <w:rFonts w:ascii="Arial" w:hAnsi="Arial"/>
          <w:sz w:val="24"/>
          <w:lang w:val="fr-CA"/>
        </w:rPr>
        <w:t xml:space="preserve"> </w:t>
      </w:r>
      <w:r w:rsidR="00FD3239">
        <w:rPr>
          <w:rFonts w:ascii="Arial" w:hAnsi="Arial"/>
          <w:sz w:val="24"/>
          <w:lang w:val="fr-CA"/>
        </w:rPr>
        <w:t>solution saline normale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392813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sz w:val="28"/>
          <w:lang w:val="fr-CA"/>
        </w:rPr>
        <w:t>Contrôle de la qualité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EF6109">
      <w:pPr>
        <w:ind w:left="720"/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Voir CAQ</w:t>
      </w:r>
      <w:r w:rsidR="008C76D4" w:rsidRPr="00A26B19">
        <w:rPr>
          <w:rFonts w:ascii="Arial" w:hAnsi="Arial"/>
          <w:sz w:val="24"/>
          <w:lang w:val="fr-CA"/>
        </w:rPr>
        <w:t xml:space="preserve">.007 – </w:t>
      </w:r>
      <w:r w:rsidR="00392813" w:rsidRPr="00A26B19">
        <w:rPr>
          <w:rFonts w:ascii="Arial" w:hAnsi="Arial"/>
          <w:sz w:val="24"/>
          <w:lang w:val="fr-CA"/>
        </w:rPr>
        <w:t>Calibration fonctionnelle des centrifugeuses sérologiques</w:t>
      </w:r>
      <w:r w:rsidR="008C76D4" w:rsidRPr="00A26B19">
        <w:rPr>
          <w:rFonts w:ascii="Arial" w:hAnsi="Arial"/>
          <w:sz w:val="24"/>
          <w:lang w:val="fr-CA"/>
        </w:rPr>
        <w:t xml:space="preserve"> 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8C76D4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sz w:val="28"/>
          <w:lang w:val="fr-CA"/>
        </w:rPr>
        <w:t>Proc</w:t>
      </w:r>
      <w:r w:rsidR="00EF6109" w:rsidRPr="00A26B19">
        <w:rPr>
          <w:rFonts w:ascii="Arial" w:hAnsi="Arial"/>
          <w:b/>
          <w:sz w:val="28"/>
          <w:lang w:val="fr-CA"/>
        </w:rPr>
        <w:t>é</w:t>
      </w:r>
      <w:r w:rsidRPr="00A26B19">
        <w:rPr>
          <w:rFonts w:ascii="Arial" w:hAnsi="Arial"/>
          <w:b/>
          <w:sz w:val="28"/>
          <w:lang w:val="fr-CA"/>
        </w:rPr>
        <w:t>dure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515DDE" w:rsidRDefault="00515DDE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>
        <w:rPr>
          <w:rFonts w:ascii="Arial" w:hAnsi="Arial"/>
          <w:sz w:val="24"/>
          <w:lang w:val="fr-CA"/>
        </w:rPr>
        <w:t>Lavage automatisé des cellules pour le TFA ou le TIA</w:t>
      </w:r>
    </w:p>
    <w:p w:rsidR="008C76D4" w:rsidRDefault="00A46FE4" w:rsidP="00515DDE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Le</w:t>
      </w:r>
      <w:r w:rsidRPr="00A26B19">
        <w:rPr>
          <w:rFonts w:ascii="Arial" w:hAnsi="Arial"/>
          <w:b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lavage</w:t>
      </w:r>
      <w:r w:rsidRPr="00A26B19">
        <w:rPr>
          <w:rFonts w:ascii="Arial" w:hAnsi="Arial"/>
          <w:b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automatisé</w:t>
      </w:r>
      <w:r w:rsidR="008C76D4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 xml:space="preserve">des cellules pour le TDA ou le TIA doit se faire </w:t>
      </w:r>
      <w:r w:rsidR="003541D8" w:rsidRPr="00A26B19">
        <w:rPr>
          <w:rFonts w:ascii="Arial" w:hAnsi="Arial"/>
          <w:sz w:val="24"/>
          <w:lang w:val="fr-CA"/>
        </w:rPr>
        <w:t>selon</w:t>
      </w:r>
      <w:r w:rsidRPr="00A26B19">
        <w:rPr>
          <w:rFonts w:ascii="Arial" w:hAnsi="Arial"/>
          <w:sz w:val="24"/>
          <w:lang w:val="fr-CA"/>
        </w:rPr>
        <w:t xml:space="preserve"> les instructions du fabricant du laveur de cellules. </w:t>
      </w:r>
    </w:p>
    <w:p w:rsidR="00515DDE" w:rsidRPr="00A26B19" w:rsidRDefault="00515DDE" w:rsidP="00515DDE">
      <w:pPr>
        <w:ind w:left="2160"/>
        <w:rPr>
          <w:rFonts w:ascii="Arial" w:hAnsi="Arial"/>
          <w:sz w:val="24"/>
          <w:lang w:val="fr-CA"/>
        </w:rPr>
      </w:pPr>
    </w:p>
    <w:p w:rsidR="008C76D4" w:rsidRPr="00A26B19" w:rsidRDefault="00F61468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Lavage</w:t>
      </w:r>
      <w:r w:rsidRPr="00A26B19">
        <w:rPr>
          <w:rFonts w:ascii="Arial" w:hAnsi="Arial"/>
          <w:b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manuel</w:t>
      </w:r>
      <w:r w:rsidRPr="00A26B19">
        <w:rPr>
          <w:rFonts w:ascii="Arial" w:hAnsi="Arial"/>
          <w:b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des cellules des tubes pour le TDA ou le TIA</w:t>
      </w:r>
      <w:r w:rsidRPr="00A26B19">
        <w:rPr>
          <w:rFonts w:ascii="Arial" w:hAnsi="Arial"/>
          <w:sz w:val="24"/>
          <w:lang w:val="fr-CA"/>
        </w:rPr>
        <w:br/>
      </w:r>
    </w:p>
    <w:p w:rsidR="008C76D4" w:rsidRPr="00A26B19" w:rsidRDefault="00F61468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Prendre une bouteille en plastique de solution saline </w:t>
      </w:r>
      <w:r w:rsidR="004D183B" w:rsidRPr="00A26B19">
        <w:rPr>
          <w:rFonts w:ascii="Arial" w:hAnsi="Arial"/>
          <w:sz w:val="24"/>
          <w:lang w:val="fr-CA"/>
        </w:rPr>
        <w:t xml:space="preserve">normale </w:t>
      </w:r>
      <w:r w:rsidRPr="00A26B19">
        <w:rPr>
          <w:rFonts w:ascii="Arial" w:hAnsi="Arial"/>
          <w:sz w:val="24"/>
          <w:lang w:val="fr-CA"/>
        </w:rPr>
        <w:t xml:space="preserve">munie d’un bec verseur, comprimer la bouteille (ou se servir d’un autre dispositif) et verser </w:t>
      </w:r>
      <w:r w:rsidR="008C76D4" w:rsidRPr="00A26B19">
        <w:rPr>
          <w:rFonts w:ascii="Arial" w:hAnsi="Arial"/>
          <w:sz w:val="24"/>
          <w:lang w:val="fr-CA"/>
        </w:rPr>
        <w:t xml:space="preserve">5 </w:t>
      </w:r>
      <w:r w:rsidRPr="00A26B19">
        <w:rPr>
          <w:rFonts w:ascii="Arial" w:hAnsi="Arial"/>
          <w:sz w:val="24"/>
          <w:lang w:val="fr-CA"/>
        </w:rPr>
        <w:t>à</w:t>
      </w:r>
      <w:r w:rsidR="008C76D4" w:rsidRPr="00A26B19">
        <w:rPr>
          <w:rFonts w:ascii="Arial" w:hAnsi="Arial"/>
          <w:sz w:val="24"/>
          <w:lang w:val="fr-CA"/>
        </w:rPr>
        <w:t xml:space="preserve"> 6 cm </w:t>
      </w:r>
      <w:r w:rsidRPr="00A26B19">
        <w:rPr>
          <w:rFonts w:ascii="Arial" w:hAnsi="Arial"/>
          <w:sz w:val="24"/>
          <w:lang w:val="fr-CA"/>
        </w:rPr>
        <w:t xml:space="preserve">de </w:t>
      </w:r>
      <w:r w:rsidR="00FD3239">
        <w:rPr>
          <w:rFonts w:ascii="Arial" w:hAnsi="Arial"/>
          <w:sz w:val="24"/>
          <w:lang w:val="fr-CA"/>
        </w:rPr>
        <w:t>solution saline normale</w:t>
      </w:r>
      <w:r w:rsidR="004D183B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dans chaque tube</w:t>
      </w:r>
      <w:r w:rsidR="008C76D4" w:rsidRPr="00A26B19">
        <w:rPr>
          <w:rFonts w:ascii="Arial" w:hAnsi="Arial"/>
          <w:sz w:val="24"/>
          <w:lang w:val="fr-CA"/>
        </w:rPr>
        <w:t xml:space="preserve"> (</w:t>
      </w:r>
      <w:r w:rsidRPr="00A26B19">
        <w:rPr>
          <w:rFonts w:ascii="Arial" w:hAnsi="Arial"/>
          <w:sz w:val="24"/>
          <w:lang w:val="fr-CA"/>
        </w:rPr>
        <w:t xml:space="preserve">en laissant vide </w:t>
      </w:r>
      <w:r w:rsidR="008C76D4" w:rsidRPr="00A26B19">
        <w:rPr>
          <w:rFonts w:ascii="Arial" w:hAnsi="Arial"/>
          <w:sz w:val="24"/>
          <w:lang w:val="fr-CA"/>
        </w:rPr>
        <w:t xml:space="preserve">1 cm </w:t>
      </w:r>
      <w:r w:rsidRPr="00A26B19">
        <w:rPr>
          <w:rFonts w:ascii="Arial" w:hAnsi="Arial"/>
          <w:sz w:val="24"/>
          <w:lang w:val="fr-CA"/>
        </w:rPr>
        <w:t>au haut du tube</w:t>
      </w:r>
      <w:r w:rsidR="008C76D4" w:rsidRPr="00A26B19">
        <w:rPr>
          <w:rFonts w:ascii="Arial" w:hAnsi="Arial"/>
          <w:sz w:val="24"/>
          <w:lang w:val="fr-CA"/>
        </w:rPr>
        <w:t>).</w:t>
      </w:r>
      <w:r w:rsidR="00B661FB" w:rsidRPr="00A26B19">
        <w:rPr>
          <w:rFonts w:ascii="Arial" w:hAnsi="Arial"/>
          <w:sz w:val="24"/>
          <w:lang w:val="fr-CA"/>
        </w:rPr>
        <w:t xml:space="preserve"> </w:t>
      </w:r>
      <w:r w:rsidR="00392813" w:rsidRPr="00A26B19">
        <w:rPr>
          <w:rFonts w:ascii="Arial" w:hAnsi="Arial"/>
          <w:sz w:val="24"/>
          <w:lang w:val="fr-CA"/>
        </w:rPr>
        <w:t>Voir Remarque 8.1.</w:t>
      </w:r>
    </w:p>
    <w:p w:rsidR="008C76D4" w:rsidRPr="00A26B19" w:rsidRDefault="008C76D4">
      <w:pPr>
        <w:ind w:left="1440"/>
        <w:rPr>
          <w:rFonts w:ascii="Arial" w:hAnsi="Arial"/>
          <w:sz w:val="24"/>
          <w:lang w:val="fr-CA"/>
        </w:rPr>
      </w:pPr>
    </w:p>
    <w:p w:rsidR="008C76D4" w:rsidRPr="00A26B19" w:rsidRDefault="00004461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Placer le ou les tubes dans une centrifugeuse sérologique</w:t>
      </w:r>
      <w:r w:rsidR="008C76D4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 xml:space="preserve">et </w:t>
      </w:r>
      <w:r w:rsidR="008C76D4" w:rsidRPr="00A26B19">
        <w:rPr>
          <w:rFonts w:ascii="Arial" w:hAnsi="Arial"/>
          <w:sz w:val="24"/>
          <w:lang w:val="fr-CA"/>
        </w:rPr>
        <w:t>centrifuge</w:t>
      </w:r>
      <w:r w:rsidRPr="00A26B19">
        <w:rPr>
          <w:rFonts w:ascii="Arial" w:hAnsi="Arial"/>
          <w:sz w:val="24"/>
          <w:lang w:val="fr-CA"/>
        </w:rPr>
        <w:t xml:space="preserve">r pendant </w:t>
      </w:r>
      <w:r w:rsidR="008C76D4" w:rsidRPr="00A26B19">
        <w:rPr>
          <w:rFonts w:ascii="Arial" w:hAnsi="Arial"/>
          <w:sz w:val="24"/>
          <w:lang w:val="fr-CA"/>
        </w:rPr>
        <w:t xml:space="preserve">45 </w:t>
      </w:r>
      <w:r w:rsidRPr="00A26B19">
        <w:rPr>
          <w:rFonts w:ascii="Arial" w:hAnsi="Arial"/>
          <w:sz w:val="24"/>
          <w:lang w:val="fr-CA"/>
        </w:rPr>
        <w:t xml:space="preserve">à </w:t>
      </w:r>
      <w:r w:rsidR="008C76D4" w:rsidRPr="00A26B19">
        <w:rPr>
          <w:rFonts w:ascii="Arial" w:hAnsi="Arial"/>
          <w:sz w:val="24"/>
          <w:lang w:val="fr-CA"/>
        </w:rPr>
        <w:t>60 second</w:t>
      </w:r>
      <w:r w:rsidRPr="00A26B19">
        <w:rPr>
          <w:rFonts w:ascii="Arial" w:hAnsi="Arial"/>
          <w:sz w:val="24"/>
          <w:lang w:val="fr-CA"/>
        </w:rPr>
        <w:t>e</w:t>
      </w:r>
      <w:r w:rsidR="008C76D4" w:rsidRPr="00A26B19">
        <w:rPr>
          <w:rFonts w:ascii="Arial" w:hAnsi="Arial"/>
          <w:sz w:val="24"/>
          <w:lang w:val="fr-CA"/>
        </w:rPr>
        <w:t xml:space="preserve">s </w:t>
      </w:r>
      <w:r w:rsidRPr="00A26B19">
        <w:rPr>
          <w:rFonts w:ascii="Arial" w:hAnsi="Arial"/>
          <w:sz w:val="24"/>
          <w:lang w:val="fr-CA"/>
        </w:rPr>
        <w:t xml:space="preserve">à </w:t>
      </w:r>
      <w:r w:rsidR="008C76D4" w:rsidRPr="00A26B19">
        <w:rPr>
          <w:rFonts w:ascii="Arial" w:hAnsi="Arial"/>
          <w:sz w:val="24"/>
          <w:lang w:val="fr-CA"/>
        </w:rPr>
        <w:t>3500 rpm o</w:t>
      </w:r>
      <w:r w:rsidRPr="00A26B19">
        <w:rPr>
          <w:rFonts w:ascii="Arial" w:hAnsi="Arial"/>
          <w:sz w:val="24"/>
          <w:lang w:val="fr-CA"/>
        </w:rPr>
        <w:t>u l’équivalent</w:t>
      </w:r>
      <w:r w:rsidR="008C76D4" w:rsidRPr="00A26B19">
        <w:rPr>
          <w:rFonts w:ascii="Arial" w:hAnsi="Arial"/>
          <w:sz w:val="24"/>
          <w:lang w:val="fr-CA"/>
        </w:rPr>
        <w:t>.</w:t>
      </w:r>
      <w:r w:rsidR="00B661FB" w:rsidRPr="00A26B19">
        <w:rPr>
          <w:rFonts w:ascii="Arial" w:hAnsi="Arial"/>
          <w:sz w:val="24"/>
          <w:lang w:val="fr-CA"/>
        </w:rPr>
        <w:t xml:space="preserve"> </w:t>
      </w:r>
      <w:r w:rsidR="00392813" w:rsidRPr="00A26B19">
        <w:rPr>
          <w:rFonts w:ascii="Arial" w:hAnsi="Arial"/>
          <w:sz w:val="24"/>
          <w:lang w:val="fr-CA"/>
        </w:rPr>
        <w:t>Voir Remarque 8.2.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8C76D4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D</w:t>
      </w:r>
      <w:r w:rsidR="00F61468" w:rsidRPr="00A26B19">
        <w:rPr>
          <w:rFonts w:ascii="Arial" w:hAnsi="Arial"/>
          <w:sz w:val="24"/>
          <w:lang w:val="fr-CA"/>
        </w:rPr>
        <w:t xml:space="preserve">écanter </w:t>
      </w:r>
      <w:r w:rsidR="001C35FE" w:rsidRPr="00A26B19">
        <w:rPr>
          <w:rFonts w:ascii="Arial" w:hAnsi="Arial"/>
          <w:sz w:val="24"/>
          <w:lang w:val="fr-CA"/>
        </w:rPr>
        <w:t>l</w:t>
      </w:r>
      <w:r w:rsidR="001C35FE">
        <w:rPr>
          <w:rFonts w:ascii="Arial" w:hAnsi="Arial"/>
          <w:sz w:val="24"/>
          <w:lang w:val="fr-CA"/>
        </w:rPr>
        <w:t>a</w:t>
      </w:r>
      <w:r w:rsidR="00DB709C">
        <w:rPr>
          <w:rFonts w:ascii="Arial" w:hAnsi="Arial"/>
          <w:sz w:val="24"/>
          <w:lang w:val="fr-CA"/>
        </w:rPr>
        <w:t xml:space="preserve"> </w:t>
      </w:r>
      <w:r w:rsidR="00FD3239">
        <w:rPr>
          <w:rFonts w:ascii="Arial" w:hAnsi="Arial"/>
          <w:sz w:val="24"/>
          <w:lang w:val="fr-CA"/>
        </w:rPr>
        <w:t>solution saline normale</w:t>
      </w:r>
      <w:r w:rsidR="006A59EF" w:rsidRPr="00A26B19">
        <w:rPr>
          <w:rFonts w:ascii="Arial" w:hAnsi="Arial"/>
          <w:sz w:val="24"/>
          <w:lang w:val="fr-CA"/>
        </w:rPr>
        <w:t xml:space="preserve"> </w:t>
      </w:r>
      <w:r w:rsidR="00F61468" w:rsidRPr="00A26B19">
        <w:rPr>
          <w:rFonts w:ascii="Arial" w:hAnsi="Arial"/>
          <w:sz w:val="24"/>
          <w:lang w:val="fr-CA"/>
        </w:rPr>
        <w:t xml:space="preserve">des tubes comme suit : 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004461" w:rsidP="00515DDE">
      <w:pPr>
        <w:numPr>
          <w:ilvl w:val="3"/>
          <w:numId w:val="2"/>
        </w:numPr>
        <w:tabs>
          <w:tab w:val="clear" w:pos="2880"/>
          <w:tab w:val="num" w:pos="2835"/>
        </w:tabs>
        <w:ind w:left="2835" w:hanging="675"/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Tenir </w:t>
      </w:r>
      <w:r w:rsidR="00871219" w:rsidRPr="00A26B19">
        <w:rPr>
          <w:rFonts w:ascii="Arial" w:hAnsi="Arial"/>
          <w:sz w:val="24"/>
          <w:lang w:val="fr-CA"/>
        </w:rPr>
        <w:t xml:space="preserve">le ou les </w:t>
      </w:r>
      <w:r w:rsidRPr="00A26B19">
        <w:rPr>
          <w:rFonts w:ascii="Arial" w:hAnsi="Arial"/>
          <w:sz w:val="24"/>
          <w:lang w:val="fr-CA"/>
        </w:rPr>
        <w:t>tube</w:t>
      </w:r>
      <w:r w:rsidR="00871219" w:rsidRPr="00A26B19">
        <w:rPr>
          <w:rFonts w:ascii="Arial" w:hAnsi="Arial"/>
          <w:sz w:val="24"/>
          <w:lang w:val="fr-CA"/>
        </w:rPr>
        <w:t>s</w:t>
      </w:r>
      <w:r w:rsidRPr="00A26B19">
        <w:rPr>
          <w:rFonts w:ascii="Arial" w:hAnsi="Arial"/>
          <w:sz w:val="24"/>
          <w:lang w:val="fr-CA"/>
        </w:rPr>
        <w:t xml:space="preserve"> entre le pouce et les</w:t>
      </w:r>
      <w:r w:rsidR="00871219" w:rsidRPr="00A26B19">
        <w:rPr>
          <w:rFonts w:ascii="Arial" w:hAnsi="Arial"/>
          <w:sz w:val="24"/>
          <w:lang w:val="fr-CA"/>
        </w:rPr>
        <w:t xml:space="preserve"> quatre doigts</w:t>
      </w:r>
      <w:r w:rsidR="008C76D4"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ind w:left="3600"/>
        <w:rPr>
          <w:rFonts w:ascii="Arial" w:hAnsi="Arial"/>
          <w:sz w:val="24"/>
          <w:lang w:val="fr-CA"/>
        </w:rPr>
      </w:pPr>
    </w:p>
    <w:p w:rsidR="008C76D4" w:rsidRPr="00A26B19" w:rsidRDefault="00004461" w:rsidP="00515DDE">
      <w:pPr>
        <w:numPr>
          <w:ilvl w:val="3"/>
          <w:numId w:val="2"/>
        </w:numPr>
        <w:tabs>
          <w:tab w:val="clear" w:pos="2880"/>
          <w:tab w:val="num" w:pos="2127"/>
        </w:tabs>
        <w:ind w:left="2268" w:hanging="108"/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Inverser rapidement le </w:t>
      </w:r>
      <w:r w:rsidR="00871219" w:rsidRPr="00A26B19">
        <w:rPr>
          <w:rFonts w:ascii="Arial" w:hAnsi="Arial"/>
          <w:sz w:val="24"/>
          <w:lang w:val="fr-CA"/>
        </w:rPr>
        <w:t xml:space="preserve">ou les </w:t>
      </w:r>
      <w:r w:rsidRPr="00A26B19">
        <w:rPr>
          <w:rFonts w:ascii="Arial" w:hAnsi="Arial"/>
          <w:sz w:val="24"/>
          <w:lang w:val="fr-CA"/>
        </w:rPr>
        <w:t>tube</w:t>
      </w:r>
      <w:r w:rsidR="00871219" w:rsidRPr="00A26B19">
        <w:rPr>
          <w:rFonts w:ascii="Arial" w:hAnsi="Arial"/>
          <w:sz w:val="24"/>
          <w:lang w:val="fr-CA"/>
        </w:rPr>
        <w:t>s</w:t>
      </w:r>
      <w:r w:rsidRPr="00A26B19">
        <w:rPr>
          <w:rFonts w:ascii="Arial" w:hAnsi="Arial"/>
          <w:sz w:val="24"/>
          <w:lang w:val="fr-CA"/>
        </w:rPr>
        <w:t xml:space="preserve"> et laisser </w:t>
      </w:r>
      <w:r w:rsidRPr="00A26B19">
        <w:rPr>
          <w:rFonts w:ascii="Arial" w:hAnsi="Arial"/>
          <w:sz w:val="24"/>
          <w:lang w:val="fr-CA"/>
        </w:rPr>
        <w:tab/>
        <w:t>s’échapper tout</w:t>
      </w:r>
      <w:r w:rsidR="00DB709C">
        <w:rPr>
          <w:rFonts w:ascii="Arial" w:hAnsi="Arial"/>
          <w:sz w:val="24"/>
          <w:lang w:val="fr-CA"/>
        </w:rPr>
        <w:t xml:space="preserve"> </w:t>
      </w:r>
      <w:r w:rsidR="001C35FE">
        <w:rPr>
          <w:rFonts w:ascii="Arial" w:hAnsi="Arial"/>
          <w:sz w:val="24"/>
          <w:lang w:val="fr-CA"/>
        </w:rPr>
        <w:t>la</w:t>
      </w:r>
      <w:r w:rsidR="00DB709C">
        <w:rPr>
          <w:rFonts w:ascii="Arial" w:hAnsi="Arial"/>
          <w:sz w:val="24"/>
          <w:lang w:val="fr-CA"/>
        </w:rPr>
        <w:t xml:space="preserve"> </w:t>
      </w:r>
      <w:r w:rsidR="00FD3239">
        <w:rPr>
          <w:rFonts w:ascii="Arial" w:hAnsi="Arial"/>
          <w:sz w:val="24"/>
          <w:lang w:val="fr-CA"/>
        </w:rPr>
        <w:t>solution saline normale</w:t>
      </w:r>
      <w:r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515DDE" w:rsidRDefault="00004461" w:rsidP="00515DDE">
      <w:pPr>
        <w:pStyle w:val="BodyTextIndent2"/>
        <w:shd w:val="clear" w:color="auto" w:fill="EEECE1"/>
        <w:rPr>
          <w:i/>
          <w:sz w:val="22"/>
          <w:lang w:val="fr-CA"/>
        </w:rPr>
      </w:pPr>
      <w:r w:rsidRPr="00515DDE">
        <w:rPr>
          <w:i/>
          <w:sz w:val="22"/>
          <w:lang w:val="fr-CA"/>
        </w:rPr>
        <w:t>Si le décantage se fait à la main dans un contenant pour objets contaminés</w:t>
      </w:r>
      <w:r w:rsidR="00D55112" w:rsidRPr="00515DDE">
        <w:rPr>
          <w:i/>
          <w:sz w:val="22"/>
          <w:lang w:val="fr-CA"/>
        </w:rPr>
        <w:t xml:space="preserve">, </w:t>
      </w:r>
      <w:r w:rsidRPr="00515DDE">
        <w:rPr>
          <w:i/>
          <w:sz w:val="22"/>
          <w:lang w:val="fr-CA"/>
        </w:rPr>
        <w:t>suivre les procédures de sécurité établies (c.-à-d. port d’équipement de protection, notamment lunettes de protection, écran facial ou écran protecteur</w:t>
      </w:r>
      <w:r w:rsidR="008C76D4" w:rsidRPr="00515DDE">
        <w:rPr>
          <w:i/>
          <w:sz w:val="22"/>
          <w:lang w:val="fr-CA"/>
        </w:rPr>
        <w:t>).</w:t>
      </w:r>
      <w:r w:rsidR="00B661FB" w:rsidRPr="00515DDE">
        <w:rPr>
          <w:i/>
          <w:sz w:val="22"/>
          <w:lang w:val="fr-CA"/>
        </w:rPr>
        <w:t xml:space="preserve"> </w:t>
      </w:r>
      <w:r w:rsidR="00D55112" w:rsidRPr="00515DDE">
        <w:rPr>
          <w:i/>
          <w:sz w:val="22"/>
          <w:lang w:val="fr-CA"/>
        </w:rPr>
        <w:t>Voir Remarque 8.3.</w:t>
      </w:r>
    </w:p>
    <w:p w:rsidR="008C76D4" w:rsidRPr="00A26B19" w:rsidRDefault="008C76D4">
      <w:pPr>
        <w:ind w:left="2160"/>
        <w:rPr>
          <w:rFonts w:ascii="Arial" w:hAnsi="Arial"/>
          <w:sz w:val="24"/>
          <w:lang w:val="fr-CA"/>
        </w:rPr>
      </w:pPr>
    </w:p>
    <w:p w:rsidR="00515DDE" w:rsidRPr="00515DDE" w:rsidRDefault="00004461" w:rsidP="00515DDE">
      <w:pPr>
        <w:numPr>
          <w:ilvl w:val="3"/>
          <w:numId w:val="2"/>
        </w:numPr>
        <w:tabs>
          <w:tab w:val="clear" w:pos="2880"/>
          <w:tab w:val="num" w:pos="1984"/>
        </w:tabs>
        <w:ind w:left="2835" w:hanging="675"/>
        <w:rPr>
          <w:lang w:val="fr-CA"/>
        </w:rPr>
      </w:pPr>
      <w:r w:rsidRPr="00515DDE">
        <w:rPr>
          <w:rFonts w:ascii="Arial" w:hAnsi="Arial"/>
          <w:sz w:val="24"/>
          <w:lang w:val="fr-CA"/>
        </w:rPr>
        <w:t xml:space="preserve">Tenir le ou les tubes à l’envers et agiter fermement le bras vers le bas pour expulser </w:t>
      </w:r>
      <w:r w:rsidR="001C35FE" w:rsidRPr="00515DDE">
        <w:rPr>
          <w:rFonts w:ascii="Arial" w:hAnsi="Arial"/>
          <w:sz w:val="24"/>
          <w:lang w:val="fr-CA"/>
        </w:rPr>
        <w:t>l</w:t>
      </w:r>
      <w:r w:rsidR="001C35FE">
        <w:rPr>
          <w:rFonts w:ascii="Arial" w:hAnsi="Arial"/>
          <w:sz w:val="24"/>
          <w:lang w:val="fr-CA"/>
        </w:rPr>
        <w:t>a</w:t>
      </w:r>
      <w:r w:rsidR="00DB709C">
        <w:rPr>
          <w:rFonts w:ascii="Arial" w:hAnsi="Arial"/>
          <w:sz w:val="24"/>
          <w:lang w:val="fr-CA"/>
        </w:rPr>
        <w:t xml:space="preserve"> </w:t>
      </w:r>
      <w:r w:rsidR="001C35FE">
        <w:rPr>
          <w:rFonts w:ascii="Arial" w:hAnsi="Arial"/>
          <w:sz w:val="24"/>
          <w:lang w:val="fr-CA"/>
        </w:rPr>
        <w:t>solution saline normale</w:t>
      </w:r>
      <w:r w:rsidR="006A59EF" w:rsidRPr="00515DDE">
        <w:rPr>
          <w:rFonts w:ascii="Arial" w:hAnsi="Arial"/>
          <w:sz w:val="24"/>
          <w:lang w:val="fr-CA"/>
        </w:rPr>
        <w:t xml:space="preserve"> </w:t>
      </w:r>
      <w:r w:rsidRPr="00515DDE">
        <w:rPr>
          <w:rFonts w:ascii="Arial" w:hAnsi="Arial"/>
          <w:sz w:val="24"/>
          <w:lang w:val="fr-CA"/>
        </w:rPr>
        <w:t>qui pourrait rester.</w:t>
      </w:r>
    </w:p>
    <w:p w:rsidR="00515DDE" w:rsidRPr="00515DDE" w:rsidRDefault="00515DDE" w:rsidP="00515DDE">
      <w:pPr>
        <w:numPr>
          <w:ilvl w:val="3"/>
          <w:numId w:val="2"/>
        </w:numPr>
        <w:tabs>
          <w:tab w:val="clear" w:pos="2880"/>
          <w:tab w:val="num" w:pos="1984"/>
        </w:tabs>
        <w:ind w:left="2835" w:hanging="675"/>
        <w:rPr>
          <w:lang w:val="fr-CA"/>
        </w:rPr>
      </w:pPr>
    </w:p>
    <w:p w:rsidR="008C76D4" w:rsidRPr="00A26B19" w:rsidRDefault="00A34A51" w:rsidP="00515DDE">
      <w:pPr>
        <w:pStyle w:val="BodyTextIndent3"/>
        <w:ind w:left="2835"/>
        <w:rPr>
          <w:lang w:val="fr-CA"/>
        </w:rPr>
      </w:pPr>
      <w:r w:rsidRPr="00A26B19">
        <w:rPr>
          <w:lang w:val="fr-CA"/>
        </w:rPr>
        <w:t>Essuyer</w:t>
      </w:r>
      <w:r w:rsidR="00B03A80" w:rsidRPr="00A26B19">
        <w:rPr>
          <w:lang w:val="fr-CA"/>
        </w:rPr>
        <w:t xml:space="preserve"> </w:t>
      </w:r>
      <w:r w:rsidR="001550B6" w:rsidRPr="00A26B19">
        <w:rPr>
          <w:lang w:val="fr-CA"/>
        </w:rPr>
        <w:t xml:space="preserve">à l’aide </w:t>
      </w:r>
      <w:r w:rsidR="001C35FE" w:rsidRPr="00A26B19">
        <w:rPr>
          <w:lang w:val="fr-CA"/>
        </w:rPr>
        <w:t>d’une tissue absorbante toute</w:t>
      </w:r>
      <w:r w:rsidR="00DB709C">
        <w:rPr>
          <w:lang w:val="fr-CA"/>
        </w:rPr>
        <w:t xml:space="preserve"> </w:t>
      </w:r>
      <w:r w:rsidR="001C35FE">
        <w:rPr>
          <w:lang w:val="fr-CA"/>
        </w:rPr>
        <w:t>solution saline normale</w:t>
      </w:r>
      <w:r w:rsidR="006A59EF" w:rsidRPr="00A26B19">
        <w:rPr>
          <w:lang w:val="fr-CA"/>
        </w:rPr>
        <w:t xml:space="preserve"> </w:t>
      </w:r>
      <w:r w:rsidR="001550B6" w:rsidRPr="00A26B19">
        <w:rPr>
          <w:lang w:val="fr-CA"/>
        </w:rPr>
        <w:t xml:space="preserve">qui pourrait rester dans le haut du </w:t>
      </w:r>
      <w:r w:rsidR="00F7764A" w:rsidRPr="00A26B19">
        <w:rPr>
          <w:lang w:val="fr-CA"/>
        </w:rPr>
        <w:t xml:space="preserve">ou des </w:t>
      </w:r>
      <w:r w:rsidR="001550B6" w:rsidRPr="00A26B19">
        <w:rPr>
          <w:lang w:val="fr-CA"/>
        </w:rPr>
        <w:t>tube</w:t>
      </w:r>
      <w:r w:rsidR="00F7764A" w:rsidRPr="00A26B19">
        <w:rPr>
          <w:lang w:val="fr-CA"/>
        </w:rPr>
        <w:t>s</w:t>
      </w:r>
      <w:r w:rsidR="008C76D4" w:rsidRPr="00A26B19">
        <w:rPr>
          <w:lang w:val="fr-CA"/>
        </w:rPr>
        <w:t>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1550B6" w:rsidP="00515DDE">
      <w:pPr>
        <w:numPr>
          <w:ilvl w:val="3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Remettre le ou les tubes à l’endroit et agiter d</w:t>
      </w:r>
      <w:r w:rsidR="00D66BFF" w:rsidRPr="00A26B19">
        <w:rPr>
          <w:rFonts w:ascii="Arial" w:hAnsi="Arial"/>
          <w:sz w:val="24"/>
          <w:lang w:val="fr-CA"/>
        </w:rPr>
        <w:t xml:space="preserve">élicatement </w:t>
      </w:r>
      <w:r w:rsidRPr="00A26B19">
        <w:rPr>
          <w:rFonts w:ascii="Arial" w:hAnsi="Arial"/>
          <w:sz w:val="24"/>
          <w:lang w:val="fr-CA"/>
        </w:rPr>
        <w:t xml:space="preserve">pour déloger le culot </w:t>
      </w:r>
      <w:r w:rsidR="00B661FB" w:rsidRPr="00A26B19">
        <w:rPr>
          <w:rFonts w:ascii="Arial" w:hAnsi="Arial"/>
          <w:sz w:val="24"/>
          <w:lang w:val="fr-CA"/>
        </w:rPr>
        <w:t>globulaire</w:t>
      </w:r>
      <w:r w:rsidRPr="00A26B19">
        <w:rPr>
          <w:rFonts w:ascii="Arial" w:hAnsi="Arial"/>
          <w:sz w:val="24"/>
          <w:lang w:val="fr-CA"/>
        </w:rPr>
        <w:t xml:space="preserve">. </w:t>
      </w:r>
    </w:p>
    <w:p w:rsidR="008C76D4" w:rsidRPr="00A26B19" w:rsidRDefault="008C76D4">
      <w:pPr>
        <w:ind w:left="3600"/>
        <w:rPr>
          <w:rFonts w:ascii="Arial" w:hAnsi="Arial"/>
          <w:sz w:val="24"/>
          <w:lang w:val="fr-CA"/>
        </w:rPr>
      </w:pPr>
    </w:p>
    <w:p w:rsidR="008C76D4" w:rsidRPr="00A26B19" w:rsidRDefault="008C76D4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R</w:t>
      </w:r>
      <w:r w:rsidR="001550B6" w:rsidRPr="00A26B19">
        <w:rPr>
          <w:rFonts w:ascii="Arial" w:hAnsi="Arial"/>
          <w:sz w:val="24"/>
          <w:lang w:val="fr-CA"/>
        </w:rPr>
        <w:t xml:space="preserve">épéter trois autres fois les étapes </w:t>
      </w:r>
      <w:r w:rsidR="00515DDE">
        <w:rPr>
          <w:rFonts w:ascii="Arial" w:hAnsi="Arial"/>
          <w:sz w:val="24"/>
          <w:lang w:val="fr-CA"/>
        </w:rPr>
        <w:t>ci-dessus</w:t>
      </w:r>
      <w:r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ind w:left="1440"/>
        <w:rPr>
          <w:rFonts w:ascii="Arial" w:hAnsi="Arial"/>
          <w:sz w:val="24"/>
          <w:lang w:val="fr-CA"/>
        </w:rPr>
      </w:pPr>
    </w:p>
    <w:p w:rsidR="008C76D4" w:rsidRPr="00A26B19" w:rsidRDefault="008C76D4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A</w:t>
      </w:r>
      <w:r w:rsidR="001550B6" w:rsidRPr="00A26B19">
        <w:rPr>
          <w:rFonts w:ascii="Arial" w:hAnsi="Arial"/>
          <w:sz w:val="24"/>
          <w:lang w:val="fr-CA"/>
        </w:rPr>
        <w:t>près le dernier lavage</w:t>
      </w:r>
      <w:r w:rsidRPr="00A26B19">
        <w:rPr>
          <w:rFonts w:ascii="Arial" w:hAnsi="Arial"/>
          <w:sz w:val="24"/>
          <w:lang w:val="fr-CA"/>
        </w:rPr>
        <w:t xml:space="preserve">, </w:t>
      </w:r>
      <w:r w:rsidR="00546472" w:rsidRPr="00A26B19">
        <w:rPr>
          <w:rFonts w:ascii="Arial" w:hAnsi="Arial"/>
          <w:sz w:val="24"/>
          <w:lang w:val="fr-CA"/>
        </w:rPr>
        <w:t>essuyer</w:t>
      </w:r>
      <w:r w:rsidR="00B03A80" w:rsidRPr="00A26B19">
        <w:rPr>
          <w:rFonts w:ascii="Arial" w:hAnsi="Arial"/>
          <w:sz w:val="24"/>
          <w:lang w:val="fr-CA"/>
        </w:rPr>
        <w:t xml:space="preserve"> complètement</w:t>
      </w:r>
      <w:r w:rsidR="001550B6" w:rsidRPr="00A26B19">
        <w:rPr>
          <w:rFonts w:ascii="Arial" w:hAnsi="Arial"/>
          <w:sz w:val="24"/>
          <w:lang w:val="fr-CA"/>
        </w:rPr>
        <w:t xml:space="preserve"> avec un tissu absorbant </w:t>
      </w:r>
      <w:r w:rsidR="001C35FE" w:rsidRPr="00A26B19">
        <w:rPr>
          <w:rFonts w:ascii="Arial" w:hAnsi="Arial"/>
          <w:sz w:val="24"/>
          <w:lang w:val="fr-CA"/>
        </w:rPr>
        <w:t>toute</w:t>
      </w:r>
      <w:r w:rsidR="00DB709C">
        <w:rPr>
          <w:rFonts w:ascii="Arial" w:hAnsi="Arial"/>
          <w:sz w:val="24"/>
          <w:lang w:val="fr-CA"/>
        </w:rPr>
        <w:t xml:space="preserve"> </w:t>
      </w:r>
      <w:r w:rsidR="001C35FE">
        <w:rPr>
          <w:rFonts w:ascii="Arial" w:hAnsi="Arial"/>
          <w:sz w:val="24"/>
          <w:lang w:val="fr-CA"/>
        </w:rPr>
        <w:t>solution saline normale</w:t>
      </w:r>
      <w:r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1550B6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S’assurer que le diamètre du culot </w:t>
      </w:r>
      <w:r w:rsidR="00B661FB" w:rsidRPr="00A26B19">
        <w:rPr>
          <w:rFonts w:ascii="Arial" w:hAnsi="Arial"/>
          <w:sz w:val="24"/>
          <w:lang w:val="fr-CA"/>
        </w:rPr>
        <w:t xml:space="preserve">globulaire </w:t>
      </w:r>
      <w:r w:rsidRPr="00A26B19">
        <w:rPr>
          <w:rFonts w:ascii="Arial" w:hAnsi="Arial"/>
          <w:sz w:val="24"/>
          <w:lang w:val="fr-CA"/>
        </w:rPr>
        <w:t xml:space="preserve">est de 3-4 mm environ. </w:t>
      </w:r>
      <w:r w:rsidRPr="00A26B19">
        <w:rPr>
          <w:rFonts w:ascii="Arial" w:hAnsi="Arial"/>
          <w:sz w:val="24"/>
          <w:lang w:val="fr-CA"/>
        </w:rPr>
        <w:br/>
      </w:r>
    </w:p>
    <w:p w:rsidR="008C76D4" w:rsidRPr="00A26B19" w:rsidRDefault="001550B6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Lavage</w:t>
      </w:r>
      <w:r w:rsidRPr="00A26B19">
        <w:rPr>
          <w:rFonts w:ascii="Arial" w:hAnsi="Arial"/>
          <w:b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manuel</w:t>
      </w:r>
      <w:r w:rsidR="008C76D4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 xml:space="preserve">des </w:t>
      </w:r>
      <w:r w:rsidR="006A59EF" w:rsidRPr="00A26B19">
        <w:rPr>
          <w:rFonts w:ascii="Arial" w:hAnsi="Arial"/>
          <w:sz w:val="24"/>
          <w:lang w:val="fr-CA"/>
        </w:rPr>
        <w:t>globules rouges</w:t>
      </w:r>
      <w:r w:rsidRPr="00A26B19">
        <w:rPr>
          <w:rFonts w:ascii="Arial" w:hAnsi="Arial"/>
          <w:sz w:val="24"/>
          <w:lang w:val="fr-CA"/>
        </w:rPr>
        <w:t xml:space="preserve"> pour préparer une suspension à </w:t>
      </w:r>
      <w:r w:rsidR="008C76D4" w:rsidRPr="00A26B19">
        <w:rPr>
          <w:rFonts w:ascii="Arial" w:hAnsi="Arial"/>
          <w:sz w:val="24"/>
          <w:lang w:val="fr-CA"/>
        </w:rPr>
        <w:t>3</w:t>
      </w:r>
      <w:r w:rsidRPr="00A26B19">
        <w:rPr>
          <w:rFonts w:ascii="Arial" w:hAnsi="Arial"/>
          <w:sz w:val="24"/>
          <w:lang w:val="fr-CA"/>
        </w:rPr>
        <w:t> </w:t>
      </w:r>
      <w:r w:rsidR="008C76D4" w:rsidRPr="00A26B19">
        <w:rPr>
          <w:rFonts w:ascii="Arial" w:hAnsi="Arial"/>
          <w:sz w:val="24"/>
          <w:lang w:val="fr-CA"/>
        </w:rPr>
        <w:t>%.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1550B6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Mettre 1 goutte de cellules concentrées (ou 2 gouttes de sang total</w:t>
      </w:r>
      <w:r w:rsidR="008C76D4" w:rsidRPr="00A26B19">
        <w:rPr>
          <w:rFonts w:ascii="Arial" w:hAnsi="Arial"/>
          <w:sz w:val="24"/>
          <w:lang w:val="fr-CA"/>
        </w:rPr>
        <w:t xml:space="preserve">) </w:t>
      </w:r>
      <w:r w:rsidRPr="00A26B19">
        <w:rPr>
          <w:rFonts w:ascii="Arial" w:hAnsi="Arial"/>
          <w:sz w:val="24"/>
          <w:lang w:val="fr-CA"/>
        </w:rPr>
        <w:t>dans un tube étiqueté</w:t>
      </w:r>
      <w:r w:rsidR="008C76D4"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ind w:left="1440"/>
        <w:rPr>
          <w:rFonts w:ascii="Arial" w:hAnsi="Arial"/>
          <w:sz w:val="24"/>
          <w:lang w:val="fr-CA"/>
        </w:rPr>
      </w:pPr>
    </w:p>
    <w:p w:rsidR="008C76D4" w:rsidRPr="00A26B19" w:rsidRDefault="001550B6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Prendre</w:t>
      </w:r>
      <w:r w:rsidR="008C76D4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 xml:space="preserve">une bouteille en plastique de solution saline </w:t>
      </w:r>
      <w:r w:rsidR="006A59EF" w:rsidRPr="00A26B19">
        <w:rPr>
          <w:rFonts w:ascii="Arial" w:hAnsi="Arial"/>
          <w:sz w:val="24"/>
          <w:lang w:val="fr-CA"/>
        </w:rPr>
        <w:t xml:space="preserve">normale </w:t>
      </w:r>
      <w:r w:rsidRPr="00A26B19">
        <w:rPr>
          <w:rFonts w:ascii="Arial" w:hAnsi="Arial"/>
          <w:sz w:val="24"/>
          <w:lang w:val="fr-CA"/>
        </w:rPr>
        <w:t xml:space="preserve">munie d’un bec verseur, comprimer la bouteille (ou se servir d’un autre dispositif) et verser 5 à 6 cm de </w:t>
      </w:r>
      <w:r w:rsidR="001C35FE">
        <w:rPr>
          <w:rFonts w:ascii="Arial" w:hAnsi="Arial"/>
          <w:sz w:val="24"/>
          <w:lang w:val="fr-CA"/>
        </w:rPr>
        <w:t>solution saline normale</w:t>
      </w:r>
      <w:r w:rsidRPr="00A26B19">
        <w:rPr>
          <w:rFonts w:ascii="Arial" w:hAnsi="Arial"/>
          <w:sz w:val="24"/>
          <w:lang w:val="fr-CA"/>
        </w:rPr>
        <w:t xml:space="preserve"> (en laissant vide 1 cm au haut du tube).</w:t>
      </w:r>
      <w:r w:rsidR="00B661FB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Voir Remarque</w:t>
      </w:r>
      <w:r w:rsidR="00392813" w:rsidRPr="00A26B19">
        <w:rPr>
          <w:rFonts w:ascii="Arial" w:hAnsi="Arial"/>
          <w:sz w:val="24"/>
          <w:lang w:val="fr-CA"/>
        </w:rPr>
        <w:t xml:space="preserve"> 8.1.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D66BFF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Mettre le ou les tubes dans une centrifugeuse sérologique et centrifuger pendant 45 à 60 secondes</w:t>
      </w:r>
      <w:r w:rsidR="008C76D4" w:rsidRPr="00A26B19">
        <w:rPr>
          <w:rFonts w:ascii="Arial" w:hAnsi="Arial"/>
          <w:sz w:val="24"/>
          <w:lang w:val="fr-CA"/>
        </w:rPr>
        <w:t xml:space="preserve">. </w:t>
      </w:r>
      <w:r w:rsidR="00392813" w:rsidRPr="00A26B19">
        <w:rPr>
          <w:rFonts w:ascii="Arial" w:hAnsi="Arial"/>
          <w:sz w:val="24"/>
          <w:lang w:val="fr-CA"/>
        </w:rPr>
        <w:t>Voir Remarque 8.2.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B03A80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Retirer </w:t>
      </w:r>
      <w:r w:rsidR="001C35FE" w:rsidRPr="00A26B19">
        <w:rPr>
          <w:rFonts w:ascii="Arial" w:hAnsi="Arial"/>
          <w:sz w:val="24"/>
          <w:lang w:val="fr-CA"/>
        </w:rPr>
        <w:t>l</w:t>
      </w:r>
      <w:r w:rsidR="001C35FE">
        <w:rPr>
          <w:rFonts w:ascii="Arial" w:hAnsi="Arial"/>
          <w:sz w:val="24"/>
          <w:lang w:val="fr-CA"/>
        </w:rPr>
        <w:t>a</w:t>
      </w:r>
      <w:r w:rsidR="00DB709C">
        <w:rPr>
          <w:rFonts w:ascii="Arial" w:hAnsi="Arial"/>
          <w:sz w:val="24"/>
          <w:lang w:val="fr-CA"/>
        </w:rPr>
        <w:t xml:space="preserve"> </w:t>
      </w:r>
      <w:r w:rsidR="001C35FE">
        <w:rPr>
          <w:rFonts w:ascii="Arial" w:hAnsi="Arial"/>
          <w:sz w:val="24"/>
          <w:lang w:val="fr-CA"/>
        </w:rPr>
        <w:t>solution saline normale</w:t>
      </w:r>
      <w:r w:rsidR="006A59EF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 xml:space="preserve">avec une pipette </w:t>
      </w:r>
      <w:r w:rsidR="00D66BFF" w:rsidRPr="00A26B19">
        <w:rPr>
          <w:rFonts w:ascii="Arial" w:hAnsi="Arial"/>
          <w:sz w:val="24"/>
          <w:lang w:val="fr-CA"/>
        </w:rPr>
        <w:t xml:space="preserve">ou un </w:t>
      </w:r>
      <w:r w:rsidR="005446C4" w:rsidRPr="00A26B19">
        <w:rPr>
          <w:rFonts w:ascii="Arial" w:hAnsi="Arial"/>
          <w:sz w:val="24"/>
          <w:lang w:val="fr-CA"/>
        </w:rPr>
        <w:t>appareil d’aspiration sous vide</w:t>
      </w:r>
      <w:r w:rsidR="00D66BFF" w:rsidRPr="00A26B19">
        <w:rPr>
          <w:rFonts w:ascii="Arial" w:hAnsi="Arial"/>
          <w:sz w:val="24"/>
          <w:lang w:val="fr-CA"/>
        </w:rPr>
        <w:t>, en laissant le culot intact</w:t>
      </w:r>
      <w:r w:rsidR="008C76D4"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D55112" w:rsidRPr="00515DDE" w:rsidRDefault="00D66BFF" w:rsidP="00515DDE">
      <w:pPr>
        <w:pStyle w:val="BodyTextIndent2"/>
        <w:shd w:val="clear" w:color="auto" w:fill="EEECE1"/>
        <w:rPr>
          <w:i/>
          <w:sz w:val="22"/>
          <w:lang w:val="fr-CA"/>
        </w:rPr>
      </w:pPr>
      <w:r w:rsidRPr="00515DDE">
        <w:rPr>
          <w:i/>
          <w:sz w:val="22"/>
          <w:lang w:val="fr-CA"/>
        </w:rPr>
        <w:t>Si le décantage se fait à la main dans un contenant pour objets contaminés</w:t>
      </w:r>
      <w:r w:rsidR="00D55112" w:rsidRPr="00515DDE">
        <w:rPr>
          <w:i/>
          <w:sz w:val="22"/>
          <w:lang w:val="fr-CA"/>
        </w:rPr>
        <w:t>,</w:t>
      </w:r>
      <w:r w:rsidRPr="00515DDE">
        <w:rPr>
          <w:i/>
          <w:sz w:val="22"/>
          <w:lang w:val="fr-CA"/>
        </w:rPr>
        <w:t xml:space="preserve"> suivre les procédures de sécurité établies (c.-à-d. port d’équipement de protection, notamment lunettes de protection, écran facial ou écran protecteur).</w:t>
      </w:r>
      <w:r w:rsidR="00D55112" w:rsidRPr="00515DDE">
        <w:rPr>
          <w:i/>
          <w:sz w:val="22"/>
          <w:lang w:val="fr-CA"/>
        </w:rPr>
        <w:t xml:space="preserve"> Voir Remarque 8.3.</w:t>
      </w:r>
    </w:p>
    <w:p w:rsidR="008C76D4" w:rsidRPr="00A26B19" w:rsidRDefault="008C76D4">
      <w:pPr>
        <w:ind w:left="2160"/>
        <w:rPr>
          <w:rFonts w:ascii="Arial" w:hAnsi="Arial"/>
          <w:sz w:val="24"/>
          <w:lang w:val="fr-CA"/>
        </w:rPr>
      </w:pPr>
    </w:p>
    <w:p w:rsidR="008C76D4" w:rsidRPr="00A26B19" w:rsidRDefault="00D66BFF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Agiter délicatement le ou les</w:t>
      </w:r>
      <w:r w:rsidR="008C76D4" w:rsidRPr="00A26B19">
        <w:rPr>
          <w:rFonts w:ascii="Arial" w:hAnsi="Arial"/>
          <w:sz w:val="24"/>
          <w:lang w:val="fr-CA"/>
        </w:rPr>
        <w:t xml:space="preserve"> tube</w:t>
      </w:r>
      <w:r w:rsidRPr="00A26B19">
        <w:rPr>
          <w:rFonts w:ascii="Arial" w:hAnsi="Arial"/>
          <w:sz w:val="24"/>
          <w:lang w:val="fr-CA"/>
        </w:rPr>
        <w:t>s pour déloger le culot.</w:t>
      </w:r>
      <w:r w:rsidR="00B661FB" w:rsidRPr="00A26B19">
        <w:rPr>
          <w:rFonts w:ascii="Arial" w:hAnsi="Arial"/>
          <w:sz w:val="24"/>
          <w:lang w:val="fr-CA"/>
        </w:rPr>
        <w:t xml:space="preserve"> </w:t>
      </w:r>
    </w:p>
    <w:p w:rsidR="008C76D4" w:rsidRPr="00A26B19" w:rsidRDefault="00D66BFF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Si plus d’un </w:t>
      </w:r>
      <w:r w:rsidR="006A59EF" w:rsidRPr="00A26B19">
        <w:rPr>
          <w:rFonts w:ascii="Arial" w:hAnsi="Arial"/>
          <w:sz w:val="24"/>
          <w:lang w:val="fr-CA"/>
        </w:rPr>
        <w:t xml:space="preserve">(1) </w:t>
      </w:r>
      <w:r w:rsidRPr="00A26B19">
        <w:rPr>
          <w:rFonts w:ascii="Arial" w:hAnsi="Arial"/>
          <w:sz w:val="24"/>
          <w:lang w:val="fr-CA"/>
        </w:rPr>
        <w:t xml:space="preserve">lavage est nécessaire, répéter les étapes </w:t>
      </w:r>
      <w:r w:rsidR="008C76D4" w:rsidRPr="00A26B19">
        <w:rPr>
          <w:rFonts w:ascii="Arial" w:hAnsi="Arial"/>
          <w:sz w:val="24"/>
          <w:lang w:val="fr-CA"/>
        </w:rPr>
        <w:t xml:space="preserve">6.3.2 </w:t>
      </w:r>
      <w:r w:rsidRPr="00A26B19">
        <w:rPr>
          <w:rFonts w:ascii="Arial" w:hAnsi="Arial"/>
          <w:sz w:val="24"/>
          <w:lang w:val="fr-CA"/>
        </w:rPr>
        <w:t xml:space="preserve">à </w:t>
      </w:r>
      <w:r w:rsidR="008C76D4" w:rsidRPr="00A26B19">
        <w:rPr>
          <w:rFonts w:ascii="Arial" w:hAnsi="Arial"/>
          <w:sz w:val="24"/>
          <w:lang w:val="fr-CA"/>
        </w:rPr>
        <w:t>6.3.5.</w:t>
      </w:r>
      <w:r w:rsidRPr="00A26B19">
        <w:rPr>
          <w:rFonts w:ascii="Arial" w:hAnsi="Arial"/>
          <w:sz w:val="24"/>
          <w:lang w:val="fr-CA"/>
        </w:rPr>
        <w:br/>
      </w:r>
    </w:p>
    <w:p w:rsidR="008C76D4" w:rsidRPr="00A26B19" w:rsidRDefault="008C76D4">
      <w:pPr>
        <w:numPr>
          <w:ilvl w:val="2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A</w:t>
      </w:r>
      <w:r w:rsidR="00D66BFF" w:rsidRPr="00A26B19">
        <w:rPr>
          <w:rFonts w:ascii="Arial" w:hAnsi="Arial"/>
          <w:sz w:val="24"/>
          <w:lang w:val="fr-CA"/>
        </w:rPr>
        <w:t xml:space="preserve">près le dernier lavage, </w:t>
      </w:r>
      <w:r w:rsidR="005446C4" w:rsidRPr="00A26B19">
        <w:rPr>
          <w:rFonts w:ascii="Arial" w:hAnsi="Arial"/>
          <w:sz w:val="24"/>
          <w:lang w:val="fr-CA"/>
        </w:rPr>
        <w:t>ajouter</w:t>
      </w:r>
      <w:r w:rsidR="00D66BFF" w:rsidRPr="00A26B19">
        <w:rPr>
          <w:rFonts w:ascii="Arial" w:hAnsi="Arial"/>
          <w:sz w:val="24"/>
          <w:lang w:val="fr-CA"/>
        </w:rPr>
        <w:t xml:space="preserve"> 0,5 à 1,0 mL de </w:t>
      </w:r>
      <w:r w:rsidR="001C35FE">
        <w:rPr>
          <w:rFonts w:ascii="Arial" w:hAnsi="Arial"/>
          <w:sz w:val="24"/>
          <w:lang w:val="fr-CA"/>
        </w:rPr>
        <w:t>saline normale</w:t>
      </w:r>
      <w:r w:rsidR="005446C4" w:rsidRPr="00A26B19">
        <w:rPr>
          <w:rFonts w:ascii="Arial" w:hAnsi="Arial"/>
          <w:sz w:val="24"/>
          <w:lang w:val="fr-CA"/>
        </w:rPr>
        <w:t>;</w:t>
      </w:r>
      <w:r w:rsidR="00D66BFF" w:rsidRPr="00A26B19">
        <w:rPr>
          <w:rFonts w:ascii="Arial" w:hAnsi="Arial"/>
          <w:sz w:val="24"/>
          <w:lang w:val="fr-CA"/>
        </w:rPr>
        <w:t xml:space="preserve"> mélanger pour remettre en suspension à 3 </w:t>
      </w:r>
      <w:r w:rsidR="005446C4" w:rsidRPr="00A26B19">
        <w:rPr>
          <w:rFonts w:ascii="Arial" w:hAnsi="Arial"/>
          <w:sz w:val="24"/>
          <w:lang w:val="fr-CA"/>
        </w:rPr>
        <w:t xml:space="preserve">% et </w:t>
      </w:r>
      <w:r w:rsidR="00D66BFF" w:rsidRPr="00A26B19">
        <w:rPr>
          <w:rFonts w:ascii="Arial" w:hAnsi="Arial"/>
          <w:sz w:val="24"/>
          <w:lang w:val="fr-CA"/>
        </w:rPr>
        <w:t xml:space="preserve">comparer à une solution cellulaire commerciale. Si la solution </w:t>
      </w:r>
      <w:r w:rsidR="006A59EF" w:rsidRPr="00A26B19">
        <w:rPr>
          <w:rFonts w:ascii="Arial" w:hAnsi="Arial"/>
          <w:sz w:val="24"/>
          <w:lang w:val="fr-CA"/>
        </w:rPr>
        <w:t>de globules rouges</w:t>
      </w:r>
      <w:r w:rsidR="00D66BFF" w:rsidRPr="00A26B19">
        <w:rPr>
          <w:rFonts w:ascii="Arial" w:hAnsi="Arial"/>
          <w:sz w:val="24"/>
          <w:lang w:val="fr-CA"/>
        </w:rPr>
        <w:t xml:space="preserve"> est trop dense, ajouter </w:t>
      </w:r>
      <w:r w:rsidR="001C35FE" w:rsidRPr="00A26B19">
        <w:rPr>
          <w:rFonts w:ascii="Arial" w:hAnsi="Arial"/>
          <w:sz w:val="24"/>
          <w:lang w:val="fr-CA"/>
        </w:rPr>
        <w:t>d</w:t>
      </w:r>
      <w:r w:rsidR="001C35FE">
        <w:rPr>
          <w:rFonts w:ascii="Arial" w:hAnsi="Arial"/>
          <w:sz w:val="24"/>
          <w:lang w:val="fr-CA"/>
        </w:rPr>
        <w:t>e la saline normale</w:t>
      </w:r>
      <w:r w:rsidR="00D66BFF" w:rsidRPr="00A26B19">
        <w:rPr>
          <w:rFonts w:ascii="Arial" w:hAnsi="Arial"/>
          <w:sz w:val="24"/>
          <w:lang w:val="fr-CA"/>
        </w:rPr>
        <w:t xml:space="preserve">. Si elle n’est pas assez dense, répéter les étapes </w:t>
      </w:r>
      <w:r w:rsidRPr="00A26B19">
        <w:rPr>
          <w:rFonts w:ascii="Arial" w:hAnsi="Arial"/>
          <w:sz w:val="24"/>
          <w:lang w:val="fr-CA"/>
        </w:rPr>
        <w:t xml:space="preserve">6.3.3 </w:t>
      </w:r>
      <w:r w:rsidR="00D66BFF" w:rsidRPr="00A26B19">
        <w:rPr>
          <w:rFonts w:ascii="Arial" w:hAnsi="Arial"/>
          <w:sz w:val="24"/>
          <w:lang w:val="fr-CA"/>
        </w:rPr>
        <w:t xml:space="preserve">à </w:t>
      </w:r>
      <w:r w:rsidRPr="00A26B19">
        <w:rPr>
          <w:rFonts w:ascii="Arial" w:hAnsi="Arial"/>
          <w:sz w:val="24"/>
          <w:lang w:val="fr-CA"/>
        </w:rPr>
        <w:t xml:space="preserve">6.3.5 </w:t>
      </w:r>
      <w:r w:rsidR="001C35FE">
        <w:rPr>
          <w:rFonts w:ascii="Arial" w:hAnsi="Arial"/>
          <w:sz w:val="24"/>
          <w:lang w:val="fr-CA"/>
        </w:rPr>
        <w:t>en ajoutant moins de la saline normale</w:t>
      </w:r>
      <w:r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ind w:left="1440"/>
        <w:rPr>
          <w:rFonts w:ascii="Arial" w:hAnsi="Arial"/>
          <w:sz w:val="24"/>
          <w:lang w:val="fr-CA"/>
        </w:rPr>
      </w:pPr>
    </w:p>
    <w:p w:rsidR="008C76D4" w:rsidRPr="00A26B19" w:rsidRDefault="00392813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sz w:val="28"/>
          <w:lang w:val="fr-CA"/>
        </w:rPr>
        <w:t>Documentation - S.O.</w:t>
      </w:r>
    </w:p>
    <w:p w:rsidR="008C76D4" w:rsidRPr="00A26B19" w:rsidRDefault="008C76D4">
      <w:pPr>
        <w:rPr>
          <w:rFonts w:ascii="Arial" w:hAnsi="Arial"/>
          <w:b/>
          <w:sz w:val="28"/>
          <w:lang w:val="fr-CA"/>
        </w:rPr>
      </w:pPr>
    </w:p>
    <w:p w:rsidR="008C76D4" w:rsidRPr="00A26B19" w:rsidRDefault="00392813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color w:val="000000"/>
          <w:sz w:val="28"/>
          <w:lang w:val="fr-CA"/>
        </w:rPr>
        <w:t>Remarques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D66BFF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Diriger l</w:t>
      </w:r>
      <w:r w:rsidR="001C35FE">
        <w:rPr>
          <w:rFonts w:ascii="Arial" w:hAnsi="Arial"/>
          <w:sz w:val="24"/>
          <w:lang w:val="fr-CA"/>
        </w:rPr>
        <w:t>a solution saline normale</w:t>
      </w:r>
      <w:r w:rsidR="006A59EF" w:rsidRPr="00A26B19">
        <w:rPr>
          <w:rFonts w:ascii="Arial" w:hAnsi="Arial"/>
          <w:sz w:val="24"/>
          <w:lang w:val="fr-CA"/>
        </w:rPr>
        <w:t xml:space="preserve"> </w:t>
      </w:r>
      <w:r w:rsidRPr="00A26B19">
        <w:rPr>
          <w:rFonts w:ascii="Arial" w:hAnsi="Arial"/>
          <w:sz w:val="24"/>
          <w:lang w:val="fr-CA"/>
        </w:rPr>
        <w:t>vers le fond du tube pour assurer un mélange homogène des cellules dans l</w:t>
      </w:r>
      <w:r w:rsidR="00DB709C">
        <w:rPr>
          <w:rFonts w:ascii="Arial" w:hAnsi="Arial"/>
          <w:sz w:val="24"/>
          <w:lang w:val="fr-CA"/>
        </w:rPr>
        <w:t>e soluté</w:t>
      </w:r>
      <w:r w:rsidRPr="00A26B19">
        <w:rPr>
          <w:rFonts w:ascii="Arial" w:hAnsi="Arial"/>
          <w:sz w:val="24"/>
          <w:lang w:val="fr-CA"/>
        </w:rPr>
        <w:t>, mais sans laisser le bec de la bouteille toucher l’intérieur du tube. C’est une précaution importante pour éviter la contamination d’un tube à l’autre quand on verse d</w:t>
      </w:r>
      <w:r w:rsidR="00DB709C">
        <w:rPr>
          <w:rFonts w:ascii="Arial" w:hAnsi="Arial"/>
          <w:sz w:val="24"/>
          <w:lang w:val="fr-CA"/>
        </w:rPr>
        <w:t xml:space="preserve">u soluté </w:t>
      </w:r>
      <w:r w:rsidRPr="00A26B19">
        <w:rPr>
          <w:rFonts w:ascii="Arial" w:hAnsi="Arial"/>
          <w:sz w:val="24"/>
          <w:lang w:val="fr-CA"/>
        </w:rPr>
        <w:t>dans plusieurs tubes</w:t>
      </w:r>
      <w:r w:rsidR="008C76D4"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ind w:left="720"/>
        <w:rPr>
          <w:rFonts w:ascii="Arial" w:hAnsi="Arial"/>
          <w:sz w:val="24"/>
          <w:lang w:val="fr-CA"/>
        </w:rPr>
      </w:pPr>
    </w:p>
    <w:p w:rsidR="008C76D4" w:rsidRPr="00A26B19" w:rsidRDefault="008C76D4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A</w:t>
      </w:r>
      <w:r w:rsidR="002E4876" w:rsidRPr="00A26B19">
        <w:rPr>
          <w:rFonts w:ascii="Arial" w:hAnsi="Arial"/>
          <w:sz w:val="24"/>
          <w:lang w:val="fr-CA"/>
        </w:rPr>
        <w:t xml:space="preserve">près la </w:t>
      </w:r>
      <w:r w:rsidRPr="00A26B19">
        <w:rPr>
          <w:rFonts w:ascii="Arial" w:hAnsi="Arial"/>
          <w:sz w:val="24"/>
          <w:lang w:val="fr-CA"/>
        </w:rPr>
        <w:t xml:space="preserve">centrifugation, </w:t>
      </w:r>
      <w:r w:rsidR="002E4876" w:rsidRPr="00A26B19">
        <w:rPr>
          <w:rFonts w:ascii="Arial" w:hAnsi="Arial"/>
          <w:sz w:val="24"/>
          <w:lang w:val="fr-CA"/>
        </w:rPr>
        <w:t xml:space="preserve">les </w:t>
      </w:r>
      <w:r w:rsidR="005446C4" w:rsidRPr="00A26B19">
        <w:rPr>
          <w:rFonts w:ascii="Arial" w:hAnsi="Arial"/>
          <w:sz w:val="24"/>
          <w:lang w:val="fr-CA"/>
        </w:rPr>
        <w:t xml:space="preserve">cellules </w:t>
      </w:r>
      <w:r w:rsidR="002E4876" w:rsidRPr="00A26B19">
        <w:rPr>
          <w:rFonts w:ascii="Arial" w:hAnsi="Arial"/>
          <w:sz w:val="24"/>
          <w:lang w:val="fr-CA"/>
        </w:rPr>
        <w:t xml:space="preserve">devraient former un culot au fond du tube. On ne doit pas voir </w:t>
      </w:r>
      <w:r w:rsidR="00B661FB" w:rsidRPr="00A26B19">
        <w:rPr>
          <w:rFonts w:ascii="Arial" w:hAnsi="Arial"/>
          <w:sz w:val="24"/>
          <w:lang w:val="fr-CA"/>
        </w:rPr>
        <w:t>de</w:t>
      </w:r>
      <w:r w:rsidR="002E4876" w:rsidRPr="00A26B19">
        <w:rPr>
          <w:rFonts w:ascii="Arial" w:hAnsi="Arial"/>
          <w:sz w:val="24"/>
          <w:lang w:val="fr-CA"/>
        </w:rPr>
        <w:t xml:space="preserve"> </w:t>
      </w:r>
      <w:r w:rsidR="00B661FB" w:rsidRPr="00A26B19">
        <w:rPr>
          <w:rFonts w:ascii="Arial" w:hAnsi="Arial"/>
          <w:sz w:val="24"/>
          <w:lang w:val="fr-CA"/>
        </w:rPr>
        <w:t>traînée</w:t>
      </w:r>
      <w:r w:rsidR="002E4876" w:rsidRPr="00A26B19">
        <w:rPr>
          <w:rFonts w:ascii="Arial" w:hAnsi="Arial"/>
          <w:sz w:val="24"/>
          <w:lang w:val="fr-CA"/>
        </w:rPr>
        <w:t xml:space="preserve"> de globules rouges le long du tube. En présence d’une t</w:t>
      </w:r>
      <w:r w:rsidR="00B661FB" w:rsidRPr="00A26B19">
        <w:rPr>
          <w:rFonts w:ascii="Arial" w:hAnsi="Arial"/>
          <w:sz w:val="24"/>
          <w:lang w:val="fr-CA"/>
        </w:rPr>
        <w:t>raînée</w:t>
      </w:r>
      <w:r w:rsidR="002E4876" w:rsidRPr="00A26B19">
        <w:rPr>
          <w:rFonts w:ascii="Arial" w:hAnsi="Arial"/>
          <w:sz w:val="24"/>
          <w:lang w:val="fr-CA"/>
        </w:rPr>
        <w:t xml:space="preserve"> </w:t>
      </w:r>
      <w:r w:rsidR="005446C4" w:rsidRPr="00A26B19">
        <w:rPr>
          <w:rFonts w:ascii="Arial" w:hAnsi="Arial"/>
          <w:sz w:val="24"/>
          <w:lang w:val="fr-CA"/>
        </w:rPr>
        <w:t xml:space="preserve">de globules rouges </w:t>
      </w:r>
      <w:r w:rsidR="002E4876" w:rsidRPr="00A26B19">
        <w:rPr>
          <w:rFonts w:ascii="Arial" w:hAnsi="Arial"/>
          <w:sz w:val="24"/>
          <w:lang w:val="fr-CA"/>
        </w:rPr>
        <w:t xml:space="preserve">sur </w:t>
      </w:r>
      <w:r w:rsidR="005446C4" w:rsidRPr="00A26B19">
        <w:rPr>
          <w:rFonts w:ascii="Arial" w:hAnsi="Arial"/>
          <w:sz w:val="24"/>
          <w:lang w:val="fr-CA"/>
        </w:rPr>
        <w:t>la paroi</w:t>
      </w:r>
      <w:r w:rsidR="002E4876" w:rsidRPr="00A26B19">
        <w:rPr>
          <w:rFonts w:ascii="Arial" w:hAnsi="Arial"/>
          <w:sz w:val="24"/>
          <w:lang w:val="fr-CA"/>
        </w:rPr>
        <w:t xml:space="preserve"> du tube, il faut prolonger le temps de centrifugation jusqu’à ce que tous les globules rouges forment un culot au fond du tube</w:t>
      </w:r>
      <w:r w:rsidRPr="00A26B19">
        <w:rPr>
          <w:rFonts w:ascii="Arial" w:hAnsi="Arial"/>
          <w:sz w:val="24"/>
          <w:lang w:val="fr-CA"/>
        </w:rPr>
        <w:t>.</w:t>
      </w:r>
    </w:p>
    <w:p w:rsidR="008C76D4" w:rsidRPr="00A26B19" w:rsidRDefault="008C76D4">
      <w:pPr>
        <w:rPr>
          <w:rFonts w:ascii="Arial" w:hAnsi="Arial"/>
          <w:sz w:val="24"/>
          <w:lang w:val="fr-CA"/>
        </w:rPr>
      </w:pPr>
    </w:p>
    <w:p w:rsidR="008C76D4" w:rsidRPr="00A26B19" w:rsidRDefault="001550B6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 xml:space="preserve">Contenant pour objets contaminés : </w:t>
      </w:r>
      <w:r w:rsidR="002E4876" w:rsidRPr="00A26B19">
        <w:rPr>
          <w:rFonts w:ascii="Arial" w:hAnsi="Arial"/>
          <w:sz w:val="24"/>
          <w:lang w:val="fr-CA"/>
        </w:rPr>
        <w:t>tout</w:t>
      </w:r>
      <w:r w:rsidRPr="00A26B19">
        <w:rPr>
          <w:rFonts w:ascii="Arial" w:hAnsi="Arial"/>
          <w:sz w:val="24"/>
          <w:lang w:val="fr-CA"/>
        </w:rPr>
        <w:t xml:space="preserve"> contenant approuvé par le Comité de sécurité du laboratoire qui peut être utilisé afin de prévenir tout risque d’exposition à un produit présentant un risque biologique</w:t>
      </w:r>
      <w:r w:rsidR="008C76D4" w:rsidRPr="00A26B19">
        <w:rPr>
          <w:rFonts w:ascii="Arial" w:hAnsi="Arial"/>
          <w:sz w:val="24"/>
          <w:lang w:val="fr-CA"/>
        </w:rPr>
        <w:t>.</w:t>
      </w:r>
    </w:p>
    <w:p w:rsidR="00546472" w:rsidRPr="00D40DB8" w:rsidRDefault="00546472" w:rsidP="00546472">
      <w:pPr>
        <w:rPr>
          <w:rFonts w:ascii="Arial" w:hAnsi="Arial"/>
          <w:lang w:val="fr-CA"/>
        </w:rPr>
      </w:pPr>
    </w:p>
    <w:p w:rsidR="008C76D4" w:rsidRPr="00A26B19" w:rsidRDefault="008C76D4">
      <w:pPr>
        <w:numPr>
          <w:ilvl w:val="0"/>
          <w:numId w:val="2"/>
        </w:numPr>
        <w:rPr>
          <w:rFonts w:ascii="Arial" w:hAnsi="Arial"/>
          <w:b/>
          <w:sz w:val="28"/>
          <w:lang w:val="fr-CA"/>
        </w:rPr>
      </w:pPr>
      <w:r w:rsidRPr="00A26B19">
        <w:rPr>
          <w:rFonts w:ascii="Arial" w:hAnsi="Arial"/>
          <w:b/>
          <w:sz w:val="28"/>
          <w:lang w:val="fr-CA"/>
        </w:rPr>
        <w:t>R</w:t>
      </w:r>
      <w:r w:rsidR="00392813" w:rsidRPr="00A26B19">
        <w:rPr>
          <w:rFonts w:ascii="Arial" w:hAnsi="Arial"/>
          <w:b/>
          <w:sz w:val="28"/>
          <w:lang w:val="fr-CA"/>
        </w:rPr>
        <w:t>é</w:t>
      </w:r>
      <w:r w:rsidRPr="00A26B19">
        <w:rPr>
          <w:rFonts w:ascii="Arial" w:hAnsi="Arial"/>
          <w:b/>
          <w:sz w:val="28"/>
          <w:lang w:val="fr-CA"/>
        </w:rPr>
        <w:t>f</w:t>
      </w:r>
      <w:r w:rsidR="00392813" w:rsidRPr="00A26B19">
        <w:rPr>
          <w:rFonts w:ascii="Arial" w:hAnsi="Arial"/>
          <w:b/>
          <w:sz w:val="28"/>
          <w:lang w:val="fr-CA"/>
        </w:rPr>
        <w:t>é</w:t>
      </w:r>
      <w:r w:rsidRPr="00A26B19">
        <w:rPr>
          <w:rFonts w:ascii="Arial" w:hAnsi="Arial"/>
          <w:b/>
          <w:sz w:val="28"/>
          <w:lang w:val="fr-CA"/>
        </w:rPr>
        <w:t>rences</w:t>
      </w:r>
    </w:p>
    <w:p w:rsidR="008C76D4" w:rsidRPr="00D40DB8" w:rsidRDefault="008C76D4">
      <w:pPr>
        <w:ind w:left="720"/>
        <w:rPr>
          <w:rFonts w:ascii="Arial" w:hAnsi="Arial"/>
          <w:b/>
          <w:lang w:val="fr-CA"/>
        </w:rPr>
      </w:pPr>
    </w:p>
    <w:p w:rsidR="00515DDE" w:rsidRDefault="00EF6109">
      <w:pPr>
        <w:numPr>
          <w:ilvl w:val="1"/>
          <w:numId w:val="2"/>
        </w:numPr>
        <w:rPr>
          <w:rFonts w:ascii="Arial" w:hAnsi="Arial"/>
          <w:sz w:val="24"/>
          <w:lang w:val="fr-CA"/>
        </w:rPr>
      </w:pPr>
      <w:r w:rsidRPr="00A26B19">
        <w:rPr>
          <w:rFonts w:ascii="Arial" w:hAnsi="Arial"/>
          <w:sz w:val="24"/>
          <w:lang w:val="fr-CA"/>
        </w:rPr>
        <w:t>Consulter le manuel d’utilisation d</w:t>
      </w:r>
      <w:r w:rsidR="001550B6" w:rsidRPr="00A26B19">
        <w:rPr>
          <w:rFonts w:ascii="Arial" w:hAnsi="Arial"/>
          <w:sz w:val="24"/>
          <w:lang w:val="fr-CA"/>
        </w:rPr>
        <w:t>u</w:t>
      </w:r>
      <w:r w:rsidRPr="00A26B19">
        <w:rPr>
          <w:rFonts w:ascii="Arial" w:hAnsi="Arial"/>
          <w:sz w:val="24"/>
          <w:lang w:val="fr-CA"/>
        </w:rPr>
        <w:t xml:space="preserve"> laveur de cellules automatique fourni par le fabricant. </w:t>
      </w:r>
    </w:p>
    <w:p w:rsidR="00D40DB8" w:rsidRPr="00A26B19" w:rsidRDefault="00D40DB8" w:rsidP="00DB709C">
      <w:pPr>
        <w:ind w:left="1440"/>
        <w:rPr>
          <w:rFonts w:ascii="Arial" w:hAnsi="Arial"/>
          <w:sz w:val="24"/>
          <w:lang w:val="fr-CA"/>
        </w:rPr>
      </w:pPr>
    </w:p>
    <w:p w:rsidR="00A72FEA" w:rsidRPr="00AA3396" w:rsidRDefault="00A72FEA" w:rsidP="00A72FEA">
      <w:pPr>
        <w:pStyle w:val="ListParagraph"/>
        <w:numPr>
          <w:ilvl w:val="0"/>
          <w:numId w:val="7"/>
        </w:numPr>
        <w:rPr>
          <w:rFonts w:ascii="Arial" w:hAnsi="Arial"/>
          <w:b/>
          <w:sz w:val="28"/>
          <w:lang w:val="fr-CA"/>
        </w:rPr>
      </w:pPr>
      <w:r w:rsidRPr="00AA3396">
        <w:rPr>
          <w:rFonts w:ascii="Arial" w:hAnsi="Arial"/>
          <w:b/>
          <w:sz w:val="28"/>
          <w:lang w:val="fr-CA"/>
        </w:rPr>
        <w:t>Suivi des révisions</w:t>
      </w:r>
    </w:p>
    <w:p w:rsidR="00A72FEA" w:rsidRPr="00AA3396" w:rsidRDefault="00A72FEA" w:rsidP="00A72FEA">
      <w:pPr>
        <w:pStyle w:val="ListParagraph"/>
        <w:jc w:val="center"/>
        <w:rPr>
          <w:rFonts w:ascii="Arial" w:hAnsi="Arial"/>
          <w:b/>
          <w:sz w:val="28"/>
          <w:lang w:val="fr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46"/>
      </w:tblGrid>
      <w:tr w:rsidR="00A72FEA" w:rsidRPr="00AA3396" w:rsidTr="00DB709C">
        <w:trPr>
          <w:cantSplit/>
        </w:trPr>
        <w:tc>
          <w:tcPr>
            <w:tcW w:w="3510" w:type="dxa"/>
            <w:shd w:val="clear" w:color="auto" w:fill="F2F2F2"/>
          </w:tcPr>
          <w:p w:rsidR="00A72FEA" w:rsidRPr="004050E8" w:rsidRDefault="00A72FEA" w:rsidP="007451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Date de la révision</w:t>
            </w:r>
          </w:p>
        </w:tc>
        <w:tc>
          <w:tcPr>
            <w:tcW w:w="5346" w:type="dxa"/>
            <w:shd w:val="clear" w:color="auto" w:fill="F2F2F2"/>
          </w:tcPr>
          <w:p w:rsidR="00A72FEA" w:rsidRPr="004050E8" w:rsidRDefault="00A72FEA" w:rsidP="00745183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fr-C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fr-CA"/>
              </w:rPr>
              <w:t>Résumé des changements</w:t>
            </w:r>
          </w:p>
        </w:tc>
      </w:tr>
      <w:tr w:rsidR="00A72FEA" w:rsidRPr="00AA3396" w:rsidTr="00D40DB8">
        <w:trPr>
          <w:cantSplit/>
          <w:trHeight w:val="1513"/>
        </w:trPr>
        <w:tc>
          <w:tcPr>
            <w:tcW w:w="3510" w:type="dxa"/>
          </w:tcPr>
          <w:p w:rsidR="00A72FEA" w:rsidRPr="00AA3396" w:rsidRDefault="00A72FEA" w:rsidP="00745183">
            <w:pPr>
              <w:keepLines/>
              <w:widowControl w:val="0"/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31 janvier</w:t>
            </w:r>
            <w:r w:rsidRPr="00AA3396">
              <w:rPr>
                <w:rFonts w:ascii="Arial" w:hAnsi="Arial"/>
                <w:sz w:val="22"/>
                <w:szCs w:val="22"/>
                <w:lang w:val="fr-CA"/>
              </w:rPr>
              <w:t xml:space="preserve"> 2014 </w:t>
            </w:r>
          </w:p>
        </w:tc>
        <w:tc>
          <w:tcPr>
            <w:tcW w:w="5346" w:type="dxa"/>
          </w:tcPr>
          <w:p w:rsidR="00A72FEA" w:rsidRPr="00AA3396" w:rsidRDefault="00A72FEA" w:rsidP="00A72FEA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AA3396">
              <w:rPr>
                <w:rFonts w:ascii="Arial" w:hAnsi="Arial" w:cs="Arial"/>
                <w:sz w:val="22"/>
                <w:szCs w:val="22"/>
                <w:lang w:val="fr-CA"/>
              </w:rPr>
              <w:t xml:space="preserve">Changement du nom du manuel </w:t>
            </w:r>
          </w:p>
          <w:p w:rsidR="00A72FEA" w:rsidRDefault="00A72FEA" w:rsidP="00A72FEA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Changement du numéro du document anciennement PA.005., maintenant AR.002.</w:t>
            </w:r>
          </w:p>
          <w:p w:rsidR="00515DDE" w:rsidRPr="00AA3396" w:rsidRDefault="00515DDE" w:rsidP="00A72FEA">
            <w:pPr>
              <w:pStyle w:val="ListParagraph"/>
              <w:keepLines/>
              <w:widowControl w:val="0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Retrait de la section 6.1.1 à 6.1.3 portant sur les étapes à suivre si aucune instruction n’est fournie</w:t>
            </w:r>
          </w:p>
          <w:p w:rsidR="00A72FEA" w:rsidRPr="00AA3396" w:rsidRDefault="00A72FEA" w:rsidP="00A72FEA">
            <w:pPr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  <w:lang w:val="fr-CA"/>
              </w:rPr>
            </w:pPr>
            <w:r>
              <w:rPr>
                <w:rFonts w:ascii="Arial" w:hAnsi="Arial"/>
                <w:sz w:val="22"/>
                <w:szCs w:val="22"/>
                <w:lang w:val="fr-CA"/>
              </w:rPr>
              <w:t>Renumérotation des sections 6.2 et 8.0</w:t>
            </w:r>
          </w:p>
        </w:tc>
      </w:tr>
    </w:tbl>
    <w:p w:rsidR="008C76D4" w:rsidRPr="00A26B19" w:rsidRDefault="008C76D4">
      <w:pPr>
        <w:pStyle w:val="Header"/>
        <w:tabs>
          <w:tab w:val="clear" w:pos="4320"/>
          <w:tab w:val="clear" w:pos="8640"/>
        </w:tabs>
        <w:rPr>
          <w:lang w:val="fr-CA"/>
        </w:rPr>
      </w:pPr>
    </w:p>
    <w:sectPr w:rsidR="008C76D4" w:rsidRPr="00A26B19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267" w:right="1800" w:bottom="245" w:left="1800" w:header="720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0AB" w:rsidRDefault="008C50AB">
      <w:r>
        <w:separator/>
      </w:r>
    </w:p>
  </w:endnote>
  <w:endnote w:type="continuationSeparator" w:id="0">
    <w:p w:rsidR="008C50AB" w:rsidRDefault="008C5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93919">
      <w:trPr>
        <w:trHeight w:val="720"/>
      </w:trPr>
      <w:tc>
        <w:tcPr>
          <w:tcW w:w="1368" w:type="dxa"/>
        </w:tcPr>
        <w:p w:rsidR="00C93919" w:rsidRDefault="00C93919">
          <w:pPr>
            <w:pStyle w:val="Footer"/>
            <w:jc w:val="center"/>
            <w:rPr>
              <w:sz w:val="8"/>
            </w:rPr>
          </w:pPr>
        </w:p>
        <w:p w:rsidR="00C93919" w:rsidRPr="008A6A2B" w:rsidRDefault="001B4412" w:rsidP="008A6A2B">
          <w:pPr>
            <w:jc w:val="center"/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1" name="Picture 1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76" w:type="dxa"/>
        </w:tcPr>
        <w:p w:rsidR="008A6A2B" w:rsidRDefault="008A6A2B" w:rsidP="008A6A2B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DB709C" w:rsidRDefault="00DB709C" w:rsidP="00DB709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 xml:space="preserve">gional ontarien de coordination du sang </w:t>
          </w:r>
        </w:p>
        <w:p w:rsidR="00C93919" w:rsidRPr="00D40DB8" w:rsidRDefault="00DB709C" w:rsidP="00DB709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  <w:r w:rsidRPr="00D40DB8">
            <w:rPr>
              <w:rFonts w:ascii="Arial" w:hAnsi="Arial"/>
              <w:sz w:val="18"/>
              <w:lang w:val="fr-CA"/>
            </w:rPr>
            <w:t xml:space="preserve"> </w:t>
          </w:r>
        </w:p>
      </w:tc>
      <w:tc>
        <w:tcPr>
          <w:tcW w:w="1494" w:type="dxa"/>
        </w:tcPr>
        <w:p w:rsidR="00C93919" w:rsidRPr="00D40DB8" w:rsidRDefault="00C93919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93919" w:rsidRDefault="00DB709C" w:rsidP="00DB709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AR</w:t>
          </w:r>
          <w:r w:rsidR="00C93919">
            <w:rPr>
              <w:rFonts w:ascii="Arial" w:hAnsi="Arial"/>
              <w:sz w:val="18"/>
            </w:rPr>
            <w:t>.00</w:t>
          </w:r>
          <w:r>
            <w:rPr>
              <w:rFonts w:ascii="Arial" w:hAnsi="Arial"/>
              <w:sz w:val="18"/>
            </w:rPr>
            <w:t>2</w:t>
          </w:r>
          <w:r w:rsidR="00C93919">
            <w:rPr>
              <w:rFonts w:ascii="Arial" w:hAnsi="Arial"/>
              <w:sz w:val="18"/>
            </w:rPr>
            <w:br/>
          </w:r>
          <w:r w:rsidR="00C93919">
            <w:rPr>
              <w:rFonts w:ascii="Arial" w:hAnsi="Arial"/>
              <w:snapToGrid w:val="0"/>
              <w:sz w:val="18"/>
            </w:rPr>
            <w:t xml:space="preserve">Page </w:t>
          </w:r>
          <w:r w:rsidR="00C93919">
            <w:rPr>
              <w:rFonts w:ascii="Arial" w:hAnsi="Arial"/>
              <w:snapToGrid w:val="0"/>
              <w:sz w:val="18"/>
            </w:rPr>
            <w:fldChar w:fldCharType="begin"/>
          </w:r>
          <w:r w:rsidR="00C93919">
            <w:rPr>
              <w:rFonts w:ascii="Arial" w:hAnsi="Arial"/>
              <w:snapToGrid w:val="0"/>
              <w:sz w:val="18"/>
            </w:rPr>
            <w:instrText xml:space="preserve"> PAGE </w:instrText>
          </w:r>
          <w:r w:rsidR="00C93919">
            <w:rPr>
              <w:rFonts w:ascii="Arial" w:hAnsi="Arial"/>
              <w:snapToGrid w:val="0"/>
              <w:sz w:val="18"/>
            </w:rPr>
            <w:fldChar w:fldCharType="separate"/>
          </w:r>
          <w:r w:rsidR="007869D9">
            <w:rPr>
              <w:rFonts w:ascii="Arial" w:hAnsi="Arial"/>
              <w:noProof/>
              <w:snapToGrid w:val="0"/>
              <w:sz w:val="18"/>
            </w:rPr>
            <w:t>4</w:t>
          </w:r>
          <w:r w:rsidR="00C93919">
            <w:rPr>
              <w:rFonts w:ascii="Arial" w:hAnsi="Arial"/>
              <w:snapToGrid w:val="0"/>
              <w:sz w:val="18"/>
            </w:rPr>
            <w:fldChar w:fldCharType="end"/>
          </w:r>
          <w:r w:rsidR="00C93919">
            <w:rPr>
              <w:rFonts w:ascii="Arial" w:hAnsi="Arial"/>
              <w:snapToGrid w:val="0"/>
              <w:sz w:val="18"/>
            </w:rPr>
            <w:t xml:space="preserve"> de </w:t>
          </w:r>
          <w:r w:rsidR="00C93919">
            <w:rPr>
              <w:rFonts w:ascii="Arial" w:hAnsi="Arial"/>
              <w:snapToGrid w:val="0"/>
              <w:sz w:val="18"/>
            </w:rPr>
            <w:fldChar w:fldCharType="begin"/>
          </w:r>
          <w:r w:rsidR="00C93919">
            <w:rPr>
              <w:rFonts w:ascii="Arial" w:hAnsi="Arial"/>
              <w:snapToGrid w:val="0"/>
              <w:sz w:val="18"/>
            </w:rPr>
            <w:instrText xml:space="preserve"> NUMPAGES </w:instrText>
          </w:r>
          <w:r w:rsidR="00C93919">
            <w:rPr>
              <w:rFonts w:ascii="Arial" w:hAnsi="Arial"/>
              <w:snapToGrid w:val="0"/>
              <w:sz w:val="18"/>
            </w:rPr>
            <w:fldChar w:fldCharType="separate"/>
          </w:r>
          <w:r w:rsidR="007869D9">
            <w:rPr>
              <w:rFonts w:ascii="Arial" w:hAnsi="Arial"/>
              <w:noProof/>
              <w:snapToGrid w:val="0"/>
              <w:sz w:val="18"/>
            </w:rPr>
            <w:t>4</w:t>
          </w:r>
          <w:r w:rsidR="00C93919"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93919" w:rsidRDefault="00C93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68"/>
      <w:gridCol w:w="5976"/>
      <w:gridCol w:w="1494"/>
    </w:tblGrid>
    <w:tr w:rsidR="00C93919">
      <w:trPr>
        <w:trHeight w:val="720"/>
      </w:trPr>
      <w:tc>
        <w:tcPr>
          <w:tcW w:w="1368" w:type="dxa"/>
        </w:tcPr>
        <w:p w:rsidR="00C93919" w:rsidRDefault="001B4412">
          <w:pPr>
            <w:pStyle w:val="Footer"/>
            <w:jc w:val="center"/>
            <w:rPr>
              <w:rFonts w:ascii="Verdana" w:hAnsi="Verdana"/>
              <w:sz w:val="8"/>
            </w:rPr>
          </w:pPr>
          <w:r w:rsidRPr="003A3736">
            <w:rPr>
              <w:rFonts w:ascii="Verdana" w:hAnsi="Verdana"/>
              <w:noProof/>
              <w:sz w:val="8"/>
            </w:rPr>
            <w:drawing>
              <wp:inline distT="0" distB="0" distL="0" distR="0">
                <wp:extent cx="704850" cy="552450"/>
                <wp:effectExtent l="0" t="0" r="0" b="0"/>
                <wp:docPr id="3" name="Picture 3" descr="RRO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RRO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93919" w:rsidRDefault="00C93919">
          <w:pPr>
            <w:pStyle w:val="Footer"/>
            <w:jc w:val="center"/>
            <w:rPr>
              <w:rFonts w:ascii="Verdana" w:hAnsi="Verdana"/>
              <w:sz w:val="8"/>
            </w:rPr>
          </w:pPr>
        </w:p>
      </w:tc>
      <w:tc>
        <w:tcPr>
          <w:tcW w:w="5976" w:type="dxa"/>
        </w:tcPr>
        <w:p w:rsidR="00C93919" w:rsidRDefault="00C93919" w:rsidP="00A21DD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A72FEA" w:rsidRDefault="00A72FEA" w:rsidP="00A21D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 w:rsidRPr="00D52543">
            <w:rPr>
              <w:rFonts w:ascii="Arial" w:hAnsi="Arial"/>
              <w:sz w:val="18"/>
              <w:lang w:val="fr-CA"/>
            </w:rPr>
            <w:t>Réseau r</w:t>
          </w:r>
          <w:r>
            <w:rPr>
              <w:rFonts w:ascii="Arial" w:hAnsi="Arial"/>
              <w:sz w:val="18"/>
              <w:lang w:val="fr-CA"/>
            </w:rPr>
            <w:t>é</w:t>
          </w:r>
          <w:r w:rsidRPr="00D52543">
            <w:rPr>
              <w:rFonts w:ascii="Arial" w:hAnsi="Arial"/>
              <w:sz w:val="18"/>
              <w:lang w:val="fr-CA"/>
            </w:rPr>
            <w:t>gional ontarien de coordination du sang</w:t>
          </w:r>
        </w:p>
        <w:p w:rsidR="00C93919" w:rsidRPr="00D40DB8" w:rsidRDefault="00A72FEA" w:rsidP="00A21DDC">
          <w:pPr>
            <w:pStyle w:val="Footer"/>
            <w:jc w:val="center"/>
            <w:rPr>
              <w:rFonts w:ascii="Arial" w:hAnsi="Arial"/>
              <w:sz w:val="18"/>
              <w:lang w:val="fr-CA"/>
            </w:rPr>
          </w:pPr>
          <w:r>
            <w:rPr>
              <w:rFonts w:ascii="Arial" w:hAnsi="Arial"/>
              <w:sz w:val="18"/>
              <w:lang w:val="fr-CA"/>
            </w:rPr>
            <w:t>Manuel de ressources techniques en transfusion de l’Ontario</w:t>
          </w:r>
        </w:p>
      </w:tc>
      <w:tc>
        <w:tcPr>
          <w:tcW w:w="1494" w:type="dxa"/>
        </w:tcPr>
        <w:p w:rsidR="00C93919" w:rsidRPr="00D40DB8" w:rsidRDefault="00C93919">
          <w:pPr>
            <w:pStyle w:val="Footer"/>
            <w:jc w:val="right"/>
            <w:rPr>
              <w:rFonts w:ascii="Arial" w:hAnsi="Arial"/>
              <w:sz w:val="18"/>
              <w:lang w:val="fr-CA"/>
            </w:rPr>
          </w:pPr>
        </w:p>
        <w:p w:rsidR="00C93919" w:rsidRDefault="00C93919" w:rsidP="00A72FEA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A</w:t>
          </w:r>
          <w:r w:rsidR="00A72FEA">
            <w:rPr>
              <w:rFonts w:ascii="Arial" w:hAnsi="Arial"/>
              <w:sz w:val="18"/>
            </w:rPr>
            <w:t>R</w:t>
          </w:r>
          <w:r>
            <w:rPr>
              <w:rFonts w:ascii="Arial" w:hAnsi="Arial"/>
              <w:sz w:val="18"/>
            </w:rPr>
            <w:t>.00</w:t>
          </w:r>
          <w:r w:rsidR="00A72FEA">
            <w:rPr>
              <w:rFonts w:ascii="Arial" w:hAnsi="Arial"/>
              <w:sz w:val="18"/>
            </w:rPr>
            <w:t>2</w:t>
          </w:r>
          <w:r>
            <w:rPr>
              <w:rFonts w:ascii="Arial" w:hAnsi="Arial"/>
              <w:sz w:val="18"/>
            </w:rPr>
            <w:br/>
          </w: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869D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de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7869D9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C93919" w:rsidRDefault="00C9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0AB" w:rsidRDefault="008C50AB">
      <w:r>
        <w:separator/>
      </w:r>
    </w:p>
  </w:footnote>
  <w:footnote w:type="continuationSeparator" w:id="0">
    <w:p w:rsidR="008C50AB" w:rsidRDefault="008C5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19" w:rsidRPr="00A26B19" w:rsidRDefault="00C93919">
    <w:pPr>
      <w:pStyle w:val="Header"/>
      <w:jc w:val="center"/>
      <w:rPr>
        <w:rFonts w:ascii="Arial" w:hAnsi="Arial"/>
        <w:b/>
        <w:sz w:val="28"/>
        <w:lang w:val="fr-CA"/>
      </w:rPr>
    </w:pPr>
    <w:r w:rsidRPr="00A26B19">
      <w:rPr>
        <w:rFonts w:ascii="Arial" w:hAnsi="Arial"/>
        <w:b/>
        <w:sz w:val="28"/>
        <w:lang w:val="fr-CA"/>
      </w:rPr>
      <w:t>Lavage automatisé ou manuel des cellules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919" w:rsidRDefault="001B4412">
    <w:pPr>
      <w:pStyle w:val="Header"/>
      <w:tabs>
        <w:tab w:val="clear" w:pos="8640"/>
        <w:tab w:val="left" w:pos="4783"/>
      </w:tabs>
      <w:rPr>
        <w:rFonts w:ascii="Verdana" w:hAnsi="Verdana"/>
        <w:sz w:val="8"/>
      </w:rPr>
    </w:pPr>
    <w:r>
      <w:rPr>
        <w:rFonts w:ascii="Verdana" w:hAnsi="Verdana"/>
        <w:noProof/>
        <w:sz w:val="8"/>
      </w:rPr>
      <w:drawing>
        <wp:inline distT="0" distB="0" distL="0" distR="0">
          <wp:extent cx="1162050" cy="390525"/>
          <wp:effectExtent l="0" t="0" r="0" b="0"/>
          <wp:docPr id="2" name="Picture 2" descr="ORBCoN Logo_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RBCoN Logo_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21DDC" w:rsidRPr="00A21DDC" w:rsidRDefault="00A21DDC">
    <w:pPr>
      <w:pStyle w:val="Header"/>
      <w:tabs>
        <w:tab w:val="clear" w:pos="8640"/>
        <w:tab w:val="left" w:pos="4783"/>
      </w:tabs>
      <w:rPr>
        <w:rFonts w:ascii="Arial" w:hAnsi="Arial" w:cs="Arial"/>
        <w:b/>
        <w:bCs/>
        <w:sz w:val="24"/>
        <w:lang w:val="fr-CA"/>
      </w:rPr>
    </w:pPr>
  </w:p>
  <w:p w:rsidR="00A72FEA" w:rsidRPr="00A21DDC" w:rsidRDefault="00A72FEA" w:rsidP="00A72FEA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21DDC">
      <w:rPr>
        <w:rFonts w:ascii="Arial" w:hAnsi="Arial" w:cs="Arial"/>
        <w:b/>
        <w:bCs/>
        <w:sz w:val="24"/>
        <w:szCs w:val="28"/>
        <w:lang w:val="fr-CA"/>
      </w:rPr>
      <w:t>Réseau régional ontarien de coordination du sang</w:t>
    </w:r>
  </w:p>
  <w:p w:rsidR="00A72FEA" w:rsidRPr="00A21DDC" w:rsidRDefault="00A72FEA" w:rsidP="00A72FEA">
    <w:pPr>
      <w:pStyle w:val="Header"/>
      <w:jc w:val="center"/>
      <w:rPr>
        <w:rFonts w:ascii="Arial" w:hAnsi="Arial" w:cs="Arial"/>
        <w:b/>
        <w:bCs/>
        <w:sz w:val="24"/>
        <w:szCs w:val="28"/>
        <w:lang w:val="fr-CA"/>
      </w:rPr>
    </w:pPr>
    <w:r w:rsidRPr="00A21DDC">
      <w:rPr>
        <w:rFonts w:ascii="Arial" w:hAnsi="Arial" w:cs="Arial"/>
        <w:b/>
        <w:bCs/>
        <w:sz w:val="24"/>
        <w:szCs w:val="28"/>
        <w:lang w:val="fr-CA"/>
      </w:rPr>
      <w:t>Manuel de ressources techniques en transfusion de l’Ontario</w:t>
    </w:r>
  </w:p>
  <w:p w:rsidR="00A72FEA" w:rsidRPr="00D40DB8" w:rsidRDefault="00A72FEA" w:rsidP="00A72FEA">
    <w:pPr>
      <w:pStyle w:val="Header"/>
      <w:jc w:val="center"/>
      <w:rPr>
        <w:rFonts w:ascii="Arial" w:hAnsi="Arial" w:cs="Arial"/>
        <w:b/>
        <w:bCs/>
        <w:sz w:val="22"/>
        <w:lang w:val="fr-CA"/>
      </w:rPr>
    </w:pPr>
  </w:p>
  <w:p w:rsidR="00C93919" w:rsidRPr="004368BF" w:rsidRDefault="00C93919">
    <w:pPr>
      <w:pStyle w:val="Header"/>
      <w:jc w:val="center"/>
      <w:rPr>
        <w:rFonts w:ascii="Arial" w:hAnsi="Arial"/>
        <w:b/>
        <w:sz w:val="28"/>
        <w:lang w:val="fr-CA"/>
      </w:rPr>
    </w:pPr>
    <w:r w:rsidRPr="004368BF">
      <w:rPr>
        <w:rFonts w:ascii="Arial" w:hAnsi="Arial"/>
        <w:b/>
        <w:sz w:val="28"/>
        <w:lang w:val="fr-CA"/>
      </w:rPr>
      <w:t>Lavage automatisé ou manuel des cellules</w:t>
    </w:r>
  </w:p>
  <w:p w:rsidR="00C93919" w:rsidRPr="00392813" w:rsidRDefault="00C93919">
    <w:pPr>
      <w:pStyle w:val="Header"/>
      <w:jc w:val="center"/>
      <w:rPr>
        <w:rFonts w:ascii="Arial" w:hAnsi="Arial"/>
        <w:b/>
        <w:sz w:val="24"/>
        <w:lang w:val="fr-CA"/>
      </w:rPr>
    </w:pPr>
  </w:p>
  <w:p w:rsidR="00C93919" w:rsidRPr="00392813" w:rsidRDefault="00C93919">
    <w:pPr>
      <w:pStyle w:val="Header"/>
      <w:jc w:val="center"/>
      <w:rPr>
        <w:rFonts w:ascii="Arial" w:hAnsi="Arial" w:cs="Arial"/>
        <w:b/>
        <w:bCs/>
        <w:lang w:val="fr-CA"/>
      </w:rPr>
    </w:pPr>
    <w:r w:rsidRPr="00392813">
      <w:rPr>
        <w:rFonts w:ascii="Arial" w:hAnsi="Arial" w:cs="Arial"/>
        <w:b/>
        <w:bCs/>
        <w:lang w:val="fr-CA"/>
      </w:rPr>
      <w:tab/>
    </w:r>
    <w:r w:rsidR="001B4412" w:rsidRPr="00392813">
      <w:rPr>
        <w:rFonts w:ascii="Arial" w:hAnsi="Arial" w:cs="Arial"/>
        <w:noProof/>
        <w:lang w:val="fr-C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20955</wp:posOffset>
              </wp:positionV>
              <wp:extent cx="5600700" cy="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D9523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65pt" to="436.0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ly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h6CJ3pjSsgoFJbG2qjJ/VqnjX97pDSVUvUnkeGb2cDaVnISN6lhI0zgL/rv2gGMeTgdWzT&#10;qbFdgIQGoFNU43xTg588onA4naXpYwqi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"/>
          </w:pict>
        </mc:Fallback>
      </mc:AlternateContent>
    </w:r>
  </w:p>
  <w:tbl>
    <w:tblPr>
      <w:tblW w:w="0" w:type="auto"/>
      <w:tblLook w:val="0000" w:firstRow="0" w:lastRow="0" w:firstColumn="0" w:lastColumn="0" w:noHBand="0" w:noVBand="0"/>
    </w:tblPr>
    <w:tblGrid>
      <w:gridCol w:w="4323"/>
      <w:gridCol w:w="4317"/>
    </w:tblGrid>
    <w:tr w:rsidR="00C93919" w:rsidRPr="00392813">
      <w:tc>
        <w:tcPr>
          <w:tcW w:w="4428" w:type="dxa"/>
        </w:tcPr>
        <w:p w:rsidR="00C93919" w:rsidRPr="00392813" w:rsidRDefault="00C93919" w:rsidP="00A72FEA">
          <w:pPr>
            <w:pStyle w:val="Header"/>
            <w:rPr>
              <w:rFonts w:ascii="Arial" w:hAnsi="Arial" w:cs="Arial"/>
              <w:lang w:val="fr-CA"/>
            </w:rPr>
          </w:pPr>
          <w:r w:rsidRPr="00392813">
            <w:rPr>
              <w:rFonts w:ascii="Arial" w:hAnsi="Arial" w:cs="Arial"/>
              <w:lang w:val="fr-CA"/>
            </w:rPr>
            <w:t>Approbation :</w:t>
          </w:r>
          <w:r w:rsidR="00EF6540">
            <w:rPr>
              <w:rFonts w:ascii="Arial" w:hAnsi="Arial" w:cs="Arial"/>
              <w:lang w:val="fr-CA"/>
            </w:rPr>
            <w:t xml:space="preserve"> </w:t>
          </w:r>
        </w:p>
      </w:tc>
      <w:tc>
        <w:tcPr>
          <w:tcW w:w="4428" w:type="dxa"/>
        </w:tcPr>
        <w:p w:rsidR="00C93919" w:rsidRPr="00392813" w:rsidRDefault="00C93919" w:rsidP="00A72FEA">
          <w:pPr>
            <w:pStyle w:val="Header"/>
            <w:rPr>
              <w:rFonts w:ascii="Arial" w:hAnsi="Arial" w:cs="Arial"/>
              <w:lang w:val="fr-CA"/>
            </w:rPr>
          </w:pPr>
          <w:r w:rsidRPr="00392813">
            <w:rPr>
              <w:rFonts w:ascii="Arial" w:hAnsi="Arial" w:cs="Arial"/>
              <w:lang w:val="fr-CA"/>
            </w:rPr>
            <w:t>Document n</w:t>
          </w:r>
          <w:r w:rsidRPr="00392813">
            <w:rPr>
              <w:rFonts w:ascii="Arial" w:hAnsi="Arial" w:cs="Arial"/>
              <w:vertAlign w:val="superscript"/>
              <w:lang w:val="fr-CA"/>
            </w:rPr>
            <w:t>o</w:t>
          </w:r>
          <w:r w:rsidRPr="00392813">
            <w:rPr>
              <w:rFonts w:ascii="Arial" w:hAnsi="Arial" w:cs="Arial"/>
              <w:lang w:val="fr-CA"/>
            </w:rPr>
            <w:t xml:space="preserve"> : A</w:t>
          </w:r>
          <w:r w:rsidR="00A72FEA">
            <w:rPr>
              <w:rFonts w:ascii="Arial" w:hAnsi="Arial" w:cs="Arial"/>
              <w:lang w:val="fr-CA"/>
            </w:rPr>
            <w:t>R</w:t>
          </w:r>
          <w:r w:rsidRPr="00392813">
            <w:rPr>
              <w:rFonts w:ascii="Arial" w:hAnsi="Arial" w:cs="Arial"/>
              <w:lang w:val="fr-CA"/>
            </w:rPr>
            <w:t>.00</w:t>
          </w:r>
          <w:r w:rsidR="00A72FEA">
            <w:rPr>
              <w:rFonts w:ascii="Arial" w:hAnsi="Arial" w:cs="Arial"/>
              <w:lang w:val="fr-CA"/>
            </w:rPr>
            <w:t>2</w:t>
          </w:r>
        </w:p>
      </w:tc>
    </w:tr>
    <w:tr w:rsidR="00C93919" w:rsidRPr="00392813">
      <w:tc>
        <w:tcPr>
          <w:tcW w:w="4428" w:type="dxa"/>
        </w:tcPr>
        <w:p w:rsidR="00C93919" w:rsidRPr="00392813" w:rsidRDefault="00C93919">
          <w:pPr>
            <w:pStyle w:val="Header"/>
            <w:rPr>
              <w:rFonts w:ascii="Arial" w:hAnsi="Arial" w:cs="Arial"/>
              <w:lang w:val="fr-CA"/>
            </w:rPr>
          </w:pPr>
          <w:r w:rsidRPr="00392813">
            <w:rPr>
              <w:rFonts w:ascii="Arial" w:hAnsi="Arial" w:cs="Arial"/>
              <w:lang w:val="fr-CA"/>
            </w:rPr>
            <w:t>Date de publication : 2006/0</w:t>
          </w:r>
          <w:r w:rsidR="004368BF">
            <w:rPr>
              <w:rFonts w:ascii="Arial" w:hAnsi="Arial" w:cs="Arial"/>
              <w:lang w:val="fr-CA"/>
            </w:rPr>
            <w:t>8</w:t>
          </w:r>
          <w:r w:rsidRPr="00392813">
            <w:rPr>
              <w:rFonts w:ascii="Arial" w:hAnsi="Arial" w:cs="Arial"/>
              <w:lang w:val="fr-CA"/>
            </w:rPr>
            <w:t>/01</w:t>
          </w:r>
        </w:p>
      </w:tc>
      <w:tc>
        <w:tcPr>
          <w:tcW w:w="4428" w:type="dxa"/>
        </w:tcPr>
        <w:p w:rsidR="00C93919" w:rsidRPr="00392813" w:rsidRDefault="00C93919" w:rsidP="00A72FEA">
          <w:pPr>
            <w:pStyle w:val="Header"/>
            <w:rPr>
              <w:rFonts w:ascii="Arial" w:hAnsi="Arial" w:cs="Arial"/>
              <w:lang w:val="fr-CA"/>
            </w:rPr>
          </w:pPr>
          <w:r w:rsidRPr="00392813">
            <w:rPr>
              <w:rFonts w:ascii="Arial" w:hAnsi="Arial" w:cs="Arial"/>
              <w:lang w:val="fr-CA"/>
            </w:rPr>
            <w:t xml:space="preserve">Catégorie : </w:t>
          </w:r>
          <w:r w:rsidR="00A72FEA">
            <w:rPr>
              <w:rFonts w:ascii="Arial" w:hAnsi="Arial" w:cs="Arial"/>
              <w:lang w:val="fr-CA"/>
            </w:rPr>
            <w:t>Analyses de routine</w:t>
          </w:r>
        </w:p>
      </w:tc>
    </w:tr>
    <w:tr w:rsidR="00C93919" w:rsidRPr="00392813">
      <w:tc>
        <w:tcPr>
          <w:tcW w:w="4428" w:type="dxa"/>
        </w:tcPr>
        <w:p w:rsidR="00C93919" w:rsidRPr="00392813" w:rsidRDefault="00C93919">
          <w:pPr>
            <w:pStyle w:val="Header"/>
            <w:rPr>
              <w:rFonts w:ascii="Arial" w:hAnsi="Arial" w:cs="Arial"/>
              <w:lang w:val="fr-CA"/>
            </w:rPr>
          </w:pPr>
          <w:r w:rsidRPr="00392813">
            <w:rPr>
              <w:rFonts w:ascii="Arial" w:hAnsi="Arial" w:cs="Arial"/>
              <w:lang w:val="fr-CA"/>
            </w:rPr>
            <w:t>Date de révision :</w:t>
          </w:r>
          <w:r w:rsidR="00EF6540">
            <w:rPr>
              <w:rFonts w:ascii="Arial" w:hAnsi="Arial" w:cs="Arial"/>
              <w:lang w:val="fr-CA"/>
            </w:rPr>
            <w:t xml:space="preserve"> 2009/12/31</w:t>
          </w:r>
          <w:r w:rsidR="00A72FEA">
            <w:rPr>
              <w:rFonts w:ascii="Arial" w:hAnsi="Arial" w:cs="Arial"/>
              <w:lang w:val="fr-CA"/>
            </w:rPr>
            <w:t>; 2014/01/31</w:t>
          </w:r>
        </w:p>
      </w:tc>
      <w:tc>
        <w:tcPr>
          <w:tcW w:w="4428" w:type="dxa"/>
        </w:tcPr>
        <w:p w:rsidR="00C93919" w:rsidRPr="00392813" w:rsidRDefault="00C93919">
          <w:pPr>
            <w:pStyle w:val="Header"/>
            <w:rPr>
              <w:rFonts w:ascii="Arial" w:hAnsi="Arial" w:cs="Arial"/>
              <w:lang w:val="fr-CA"/>
            </w:rPr>
          </w:pPr>
          <w:r w:rsidRPr="00392813">
            <w:rPr>
              <w:rFonts w:ascii="Arial" w:hAnsi="Arial" w:cs="Arial"/>
              <w:lang w:val="fr-CA"/>
            </w:rPr>
            <w:t>Page</w:t>
          </w:r>
          <w:r>
            <w:rPr>
              <w:rFonts w:ascii="Arial" w:hAnsi="Arial" w:cs="Arial"/>
              <w:lang w:val="fr-CA"/>
            </w:rPr>
            <w:t xml:space="preserve">s : </w:t>
          </w:r>
          <w:r w:rsidRPr="00392813">
            <w:rPr>
              <w:rFonts w:ascii="Arial" w:hAnsi="Arial" w:cs="Arial"/>
              <w:lang w:val="fr-CA"/>
            </w:rPr>
            <w:fldChar w:fldCharType="begin"/>
          </w:r>
          <w:r w:rsidRPr="00392813">
            <w:rPr>
              <w:rFonts w:ascii="Arial" w:hAnsi="Arial" w:cs="Arial"/>
              <w:lang w:val="fr-CA"/>
            </w:rPr>
            <w:instrText xml:space="preserve"> NUMPAGES </w:instrText>
          </w:r>
          <w:r w:rsidRPr="00392813">
            <w:rPr>
              <w:rFonts w:ascii="Arial" w:hAnsi="Arial" w:cs="Arial"/>
              <w:lang w:val="fr-CA"/>
            </w:rPr>
            <w:fldChar w:fldCharType="separate"/>
          </w:r>
          <w:r w:rsidR="007869D9">
            <w:rPr>
              <w:rFonts w:ascii="Arial" w:hAnsi="Arial" w:cs="Arial"/>
              <w:noProof/>
              <w:lang w:val="fr-CA"/>
            </w:rPr>
            <w:t>1</w:t>
          </w:r>
          <w:r w:rsidRPr="00392813">
            <w:rPr>
              <w:rFonts w:ascii="Arial" w:hAnsi="Arial" w:cs="Arial"/>
              <w:lang w:val="fr-CA"/>
            </w:rPr>
            <w:fldChar w:fldCharType="end"/>
          </w:r>
        </w:p>
      </w:tc>
    </w:tr>
  </w:tbl>
  <w:p w:rsidR="00C93919" w:rsidRDefault="001B4412">
    <w:pPr>
      <w:pStyle w:val="Header"/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-62865</wp:posOffset>
              </wp:positionH>
              <wp:positionV relativeFrom="paragraph">
                <wp:posOffset>122555</wp:posOffset>
              </wp:positionV>
              <wp:extent cx="5600700" cy="0"/>
              <wp:effectExtent l="0" t="0" r="0" b="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9E8C3DA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9.65pt" to="436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gD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idpelT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"/>
          </w:pict>
        </mc:Fallback>
      </mc:AlternateContent>
    </w:r>
    <w:r w:rsidR="00C93919">
      <w:rPr>
        <w:rFonts w:ascii="Arial" w:hAnsi="Arial" w:cs="Arial"/>
      </w:rPr>
      <w:tab/>
    </w:r>
  </w:p>
  <w:p w:rsidR="00C93919" w:rsidRDefault="00C93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E3BC5"/>
    <w:multiLevelType w:val="hybridMultilevel"/>
    <w:tmpl w:val="47EECF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775C5E"/>
    <w:multiLevelType w:val="singleLevel"/>
    <w:tmpl w:val="3AC041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4415238"/>
    <w:multiLevelType w:val="multilevel"/>
    <w:tmpl w:val="958A7AAA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60F2E20"/>
    <w:multiLevelType w:val="multilevel"/>
    <w:tmpl w:val="7AF2FFAE"/>
    <w:lvl w:ilvl="0">
      <w:start w:val="1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3E04616B"/>
    <w:multiLevelType w:val="multilevel"/>
    <w:tmpl w:val="B822617E"/>
    <w:lvl w:ilvl="0">
      <w:start w:val="10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5" w15:restartNumberingAfterBreak="0">
    <w:nsid w:val="44D261ED"/>
    <w:multiLevelType w:val="hybridMultilevel"/>
    <w:tmpl w:val="373682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5300BFB"/>
    <w:multiLevelType w:val="hybridMultilevel"/>
    <w:tmpl w:val="CA8E32FC"/>
    <w:lvl w:ilvl="0" w:tplc="F47CC610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0B734A"/>
    <w:multiLevelType w:val="hybridMultilevel"/>
    <w:tmpl w:val="00C00DBA"/>
    <w:lvl w:ilvl="0" w:tplc="AC62BB94">
      <w:start w:val="1"/>
      <w:numFmt w:val="bullet"/>
      <w:suff w:val="space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813"/>
    <w:rsid w:val="00004461"/>
    <w:rsid w:val="00072E70"/>
    <w:rsid w:val="000B58A2"/>
    <w:rsid w:val="001237B4"/>
    <w:rsid w:val="001253CF"/>
    <w:rsid w:val="001550B6"/>
    <w:rsid w:val="00157A71"/>
    <w:rsid w:val="00164A91"/>
    <w:rsid w:val="00164F21"/>
    <w:rsid w:val="001844E6"/>
    <w:rsid w:val="00190334"/>
    <w:rsid w:val="001B4412"/>
    <w:rsid w:val="001C35FE"/>
    <w:rsid w:val="001E6C20"/>
    <w:rsid w:val="001F4E03"/>
    <w:rsid w:val="002218AF"/>
    <w:rsid w:val="002C129C"/>
    <w:rsid w:val="002E4876"/>
    <w:rsid w:val="003541D8"/>
    <w:rsid w:val="00392813"/>
    <w:rsid w:val="003C7995"/>
    <w:rsid w:val="004368BF"/>
    <w:rsid w:val="00480179"/>
    <w:rsid w:val="004A6984"/>
    <w:rsid w:val="004D183B"/>
    <w:rsid w:val="004E7FC1"/>
    <w:rsid w:val="00511AEA"/>
    <w:rsid w:val="00515DDE"/>
    <w:rsid w:val="0052788B"/>
    <w:rsid w:val="005446C4"/>
    <w:rsid w:val="00546472"/>
    <w:rsid w:val="0055465A"/>
    <w:rsid w:val="006A59EF"/>
    <w:rsid w:val="00745183"/>
    <w:rsid w:val="007869D9"/>
    <w:rsid w:val="00866FDA"/>
    <w:rsid w:val="00871219"/>
    <w:rsid w:val="008A6A2B"/>
    <w:rsid w:val="008C50AB"/>
    <w:rsid w:val="008C76D4"/>
    <w:rsid w:val="008D1C39"/>
    <w:rsid w:val="008F1E6F"/>
    <w:rsid w:val="009A571E"/>
    <w:rsid w:val="00A21DDC"/>
    <w:rsid w:val="00A26B19"/>
    <w:rsid w:val="00A34A51"/>
    <w:rsid w:val="00A40F1D"/>
    <w:rsid w:val="00A46FE4"/>
    <w:rsid w:val="00A72FEA"/>
    <w:rsid w:val="00AC75E2"/>
    <w:rsid w:val="00B03A80"/>
    <w:rsid w:val="00B16F2C"/>
    <w:rsid w:val="00B244AC"/>
    <w:rsid w:val="00B40C3F"/>
    <w:rsid w:val="00B661FB"/>
    <w:rsid w:val="00C93919"/>
    <w:rsid w:val="00CC0758"/>
    <w:rsid w:val="00CC603F"/>
    <w:rsid w:val="00D1643B"/>
    <w:rsid w:val="00D334DB"/>
    <w:rsid w:val="00D40DB8"/>
    <w:rsid w:val="00D55112"/>
    <w:rsid w:val="00D66BFF"/>
    <w:rsid w:val="00DB709C"/>
    <w:rsid w:val="00DF5845"/>
    <w:rsid w:val="00E03BA5"/>
    <w:rsid w:val="00E22B2C"/>
    <w:rsid w:val="00ED0CBB"/>
    <w:rsid w:val="00EF6109"/>
    <w:rsid w:val="00EF6540"/>
    <w:rsid w:val="00F61468"/>
    <w:rsid w:val="00F7764A"/>
    <w:rsid w:val="00FD3239"/>
    <w:rsid w:val="00FE0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2AC8CF-7047-48C1-A3F9-7368F8B0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firstLine="720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left="2160"/>
    </w:pPr>
    <w:rPr>
      <w:rFonts w:ascii="Arial" w:hAnsi="Arial"/>
      <w:sz w:val="24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paragraph" w:styleId="BodyTextIndent3">
    <w:name w:val="Body Text Indent 3"/>
    <w:basedOn w:val="Normal"/>
    <w:pPr>
      <w:ind w:left="3600"/>
    </w:pPr>
    <w:rPr>
      <w:rFonts w:ascii="Arial" w:hAnsi="Arial"/>
      <w:sz w:val="24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004461"/>
    <w:rPr>
      <w:sz w:val="16"/>
      <w:szCs w:val="16"/>
    </w:rPr>
  </w:style>
  <w:style w:type="paragraph" w:styleId="CommentText">
    <w:name w:val="annotation text"/>
    <w:basedOn w:val="Normal"/>
    <w:semiHidden/>
    <w:rsid w:val="00004461"/>
  </w:style>
  <w:style w:type="paragraph" w:styleId="CommentSubject">
    <w:name w:val="annotation subject"/>
    <w:basedOn w:val="CommentText"/>
    <w:next w:val="CommentText"/>
    <w:semiHidden/>
    <w:rsid w:val="00004461"/>
    <w:rPr>
      <w:b/>
      <w:bCs/>
    </w:rPr>
  </w:style>
  <w:style w:type="paragraph" w:styleId="BalloonText">
    <w:name w:val="Balloon Text"/>
    <w:basedOn w:val="Normal"/>
    <w:semiHidden/>
    <w:rsid w:val="000044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  <vt:variant>
        <vt:lpstr>Titre</vt:lpstr>
      </vt:variant>
      <vt:variant>
        <vt:i4>1</vt:i4>
      </vt:variant>
    </vt:vector>
  </HeadingPairs>
  <TitlesOfParts>
    <vt:vector size="4" baseType="lpstr">
      <vt:lpstr>PA.005 Cell Washing Automated and Manual</vt:lpstr>
      <vt:lpstr>Principe</vt:lpstr>
      <vt:lpstr>    centrifugeuse sérologique 		  appareil d’aspiration sous vide pour pipette		</vt:lpstr>
      <vt:lpstr>PA.005 Cell Washing Automated and Manual</vt:lpstr>
    </vt:vector>
  </TitlesOfParts>
  <Company>Microsoft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PA.005 Cell Washing Automated and Manual</dc:title>
  <dc:subject/>
  <dc:creator>Transfusion Ontario Program Office</dc:creator>
  <cp:keywords/>
  <cp:lastModifiedBy>Nesrallah, Heather</cp:lastModifiedBy>
  <cp:revision>2</cp:revision>
  <cp:lastPrinted>2010-02-26T20:07:00Z</cp:lastPrinted>
  <dcterms:created xsi:type="dcterms:W3CDTF">2020-08-10T18:15:00Z</dcterms:created>
  <dcterms:modified xsi:type="dcterms:W3CDTF">2020-08-10T18:15:00Z</dcterms:modified>
</cp:coreProperties>
</file>