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bookmarkStart w:id="0" w:name="_GoBack"/>
      <w:bookmarkEnd w:id="0"/>
      <w:r w:rsidRPr="009D7D9E">
        <w:rPr>
          <w:rFonts w:ascii="Arial" w:hAnsi="Arial" w:cs="Arial"/>
          <w:b/>
          <w:sz w:val="28"/>
        </w:rPr>
        <w:t>Principle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To compare the current test results with previous records, to detect a possible error and, if applicable, to assist in the selection of appropriate blood products for transfusion.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Scope and Related Policies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Before a red cell product is released for transfusion, interpretation of current tests must be compared with the patient’s records to detect a possible error or a potentially dangerous situation and to provide an opportunity for appropriate action.  This comparison must be documented for the following records:</w:t>
      </w:r>
      <w:r w:rsidRPr="009D7D9E">
        <w:rPr>
          <w:rFonts w:ascii="Arial" w:hAnsi="Arial" w:cs="Arial"/>
          <w:sz w:val="24"/>
          <w:vertAlign w:val="superscript"/>
        </w:rPr>
        <w:t>9.1</w:t>
      </w:r>
      <w:r w:rsidRPr="009D7D9E">
        <w:rPr>
          <w:rFonts w:ascii="Arial" w:hAnsi="Arial" w:cs="Arial"/>
          <w:sz w:val="24"/>
        </w:rPr>
        <w:t xml:space="preserve"> 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ABO and Rh typing</w:t>
      </w:r>
    </w:p>
    <w:p w:rsidR="009C7A8F" w:rsidRPr="009D7D9E" w:rsidRDefault="009C7A8F" w:rsidP="009844FB">
      <w:pPr>
        <w:ind w:left="144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Previous transfusions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Difficulty in typing</w:t>
      </w:r>
    </w:p>
    <w:p w:rsidR="009C7A8F" w:rsidRPr="009D7D9E" w:rsidRDefault="009C7A8F" w:rsidP="009844FB">
      <w:pPr>
        <w:ind w:left="144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Clinically significant red cell antibodies</w:t>
      </w:r>
    </w:p>
    <w:p w:rsidR="009C7A8F" w:rsidRPr="009D7D9E" w:rsidRDefault="009C7A8F" w:rsidP="009844FB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Adverse reactions to a previous transfusion</w:t>
      </w:r>
    </w:p>
    <w:p w:rsidR="009C7A8F" w:rsidRPr="009D7D9E" w:rsidRDefault="009C7A8F" w:rsidP="009844FB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Special transfusion requirements</w:t>
      </w:r>
    </w:p>
    <w:p w:rsidR="009C7A8F" w:rsidRPr="009D7D9E" w:rsidRDefault="009C7A8F">
      <w:pPr>
        <w:ind w:left="144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Previous transfusion records shall be reviewed. Previous results must be compared with current results and discrepancies resolved.</w:t>
      </w:r>
      <w:r w:rsidRPr="009D7D9E">
        <w:rPr>
          <w:rFonts w:ascii="Arial" w:hAnsi="Arial" w:cs="Arial"/>
          <w:sz w:val="24"/>
          <w:vertAlign w:val="superscript"/>
        </w:rPr>
        <w:t>9.1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Previous admission records alone shall not be used to obtain the recipient’s ABO and Rh group.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lastRenderedPageBreak/>
        <w:t>Record of transfusion, transfusion complications, antibody reports and information required for lookback and traceback purposes must be kept indefinitely.</w:t>
      </w:r>
      <w:r w:rsidRPr="009D7D9E">
        <w:rPr>
          <w:rFonts w:ascii="Arial" w:hAnsi="Arial" w:cs="Arial"/>
          <w:sz w:val="24"/>
          <w:vertAlign w:val="superscript"/>
        </w:rPr>
        <w:t>9.2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Specimens – N/A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 xml:space="preserve">Materials 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ind w:left="2160" w:hanging="1440"/>
        <w:rPr>
          <w:rFonts w:ascii="Arial" w:hAnsi="Arial" w:cs="Arial"/>
          <w:sz w:val="24"/>
        </w:rPr>
      </w:pPr>
      <w:r w:rsidRPr="009D7D9E">
        <w:rPr>
          <w:rFonts w:ascii="Arial" w:hAnsi="Arial" w:cs="Arial"/>
          <w:b/>
          <w:bCs/>
          <w:sz w:val="24"/>
        </w:rPr>
        <w:t>Supplies:</w:t>
      </w:r>
      <w:r w:rsidRPr="009D7D9E">
        <w:rPr>
          <w:rFonts w:ascii="Arial" w:hAnsi="Arial" w:cs="Arial"/>
          <w:sz w:val="24"/>
        </w:rPr>
        <w:tab/>
        <w:t>Transfusion Service antibody records, files or computerized previous history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ind w:left="1440" w:firstLine="720"/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Request form or electronic order entry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Quality Control – N/A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Procedure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5809"/>
      </w:tblGrid>
      <w:tr w:rsidR="009D7D9E" w:rsidRPr="009D7D9E" w:rsidTr="009D7D9E">
        <w:tc>
          <w:tcPr>
            <w:tcW w:w="3085" w:type="dxa"/>
          </w:tcPr>
          <w:p w:rsidR="009D7D9E" w:rsidRPr="009D7D9E" w:rsidRDefault="009D7D9E" w:rsidP="009D7D9E">
            <w:pPr>
              <w:numPr>
                <w:ilvl w:val="1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Perform History Check</w:t>
            </w:r>
          </w:p>
        </w:tc>
        <w:tc>
          <w:tcPr>
            <w:tcW w:w="5771" w:type="dxa"/>
          </w:tcPr>
          <w:p w:rsidR="009D7D9E" w:rsidRPr="009D7D9E" w:rsidRDefault="009D7D9E" w:rsidP="009D7D9E">
            <w:pPr>
              <w:numPr>
                <w:ilvl w:val="0"/>
                <w:numId w:val="9"/>
              </w:numPr>
              <w:spacing w:after="200" w:line="276" w:lineRule="auto"/>
              <w:ind w:hanging="688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Check for previous files or records See Procedural Notes 8.1 and 8.2</w:t>
            </w:r>
          </w:p>
          <w:p w:rsidR="009D7D9E" w:rsidRPr="009D7D9E" w:rsidRDefault="009D7D9E" w:rsidP="009D7D9E">
            <w:pPr>
              <w:numPr>
                <w:ilvl w:val="0"/>
                <w:numId w:val="9"/>
              </w:numPr>
              <w:spacing w:after="200" w:line="276" w:lineRule="auto"/>
              <w:ind w:hanging="688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</w:rPr>
              <w:t>Document the history check on the request form or work card</w:t>
            </w:r>
          </w:p>
          <w:tbl>
            <w:tblPr>
              <w:tblStyle w:val="TableGrid1"/>
              <w:tblW w:w="5583" w:type="dxa"/>
              <w:tblLook w:val="04A0" w:firstRow="1" w:lastRow="0" w:firstColumn="1" w:lastColumn="0" w:noHBand="0" w:noVBand="1"/>
            </w:tblPr>
            <w:tblGrid>
              <w:gridCol w:w="2791"/>
              <w:gridCol w:w="2792"/>
            </w:tblGrid>
            <w:tr w:rsidR="009D7D9E" w:rsidRPr="009D7D9E" w:rsidTr="009D7D9E">
              <w:trPr>
                <w:trHeight w:val="302"/>
              </w:trPr>
              <w:tc>
                <w:tcPr>
                  <w:tcW w:w="2791" w:type="dxa"/>
                  <w:shd w:val="clear" w:color="auto" w:fill="F2F2F2" w:themeFill="background1" w:themeFillShade="F2"/>
                </w:tcPr>
                <w:p w:rsidR="009D7D9E" w:rsidRPr="009D7D9E" w:rsidRDefault="009D7D9E" w:rsidP="009D7D9E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CA"/>
                    </w:rPr>
                  </w:pPr>
                  <w:r w:rsidRPr="009D7D9E">
                    <w:rPr>
                      <w:rFonts w:ascii="Arial" w:hAnsi="Arial" w:cs="Arial"/>
                      <w:i/>
                      <w:sz w:val="24"/>
                      <w:szCs w:val="24"/>
                      <w:lang w:val="en-CA"/>
                    </w:rPr>
                    <w:t>If</w:t>
                  </w:r>
                </w:p>
              </w:tc>
              <w:tc>
                <w:tcPr>
                  <w:tcW w:w="2792" w:type="dxa"/>
                  <w:shd w:val="clear" w:color="auto" w:fill="F2F2F2" w:themeFill="background1" w:themeFillShade="F2"/>
                </w:tcPr>
                <w:p w:rsidR="009D7D9E" w:rsidRPr="009D7D9E" w:rsidRDefault="009D7D9E" w:rsidP="009D7D9E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CA"/>
                    </w:rPr>
                  </w:pPr>
                  <w:r w:rsidRPr="009D7D9E">
                    <w:rPr>
                      <w:rFonts w:ascii="Arial" w:hAnsi="Arial" w:cs="Arial"/>
                      <w:i/>
                      <w:sz w:val="24"/>
                      <w:szCs w:val="24"/>
                      <w:lang w:val="en-CA"/>
                    </w:rPr>
                    <w:t>Then</w:t>
                  </w:r>
                </w:p>
              </w:tc>
            </w:tr>
            <w:tr w:rsidR="009D7D9E" w:rsidRPr="009D7D9E" w:rsidTr="009D7D9E">
              <w:trPr>
                <w:trHeight w:val="1075"/>
              </w:trPr>
              <w:tc>
                <w:tcPr>
                  <w:tcW w:w="2791" w:type="dxa"/>
                </w:tcPr>
                <w:p w:rsidR="009D7D9E" w:rsidRPr="009D7D9E" w:rsidRDefault="009D7D9E" w:rsidP="009D7D9E">
                  <w:pPr>
                    <w:rPr>
                      <w:rFonts w:ascii="Arial" w:hAnsi="Arial" w:cs="Arial"/>
                      <w:lang w:val="en-CA"/>
                    </w:rPr>
                  </w:pPr>
                  <w:r w:rsidRPr="009D7D9E">
                    <w:rPr>
                      <w:rFonts w:ascii="Arial" w:hAnsi="Arial" w:cs="Arial"/>
                      <w:sz w:val="24"/>
                    </w:rPr>
                    <w:t>no previous record is found</w:t>
                  </w:r>
                </w:p>
              </w:tc>
              <w:tc>
                <w:tcPr>
                  <w:tcW w:w="2792" w:type="dxa"/>
                </w:tcPr>
                <w:p w:rsidR="009D7D9E" w:rsidRPr="009D7D9E" w:rsidRDefault="009D7D9E" w:rsidP="009D7D9E">
                  <w:pPr>
                    <w:rPr>
                      <w:rFonts w:ascii="Arial" w:hAnsi="Arial" w:cs="Arial"/>
                      <w:lang w:val="en-CA"/>
                    </w:rPr>
                  </w:pPr>
                  <w:r w:rsidRPr="009D7D9E">
                    <w:rPr>
                      <w:rFonts w:ascii="Arial" w:hAnsi="Arial" w:cs="Arial"/>
                      <w:sz w:val="24"/>
                    </w:rPr>
                    <w:t>indicate “not on file” in the appropriate area on the request form and initial.</w:t>
                  </w:r>
                </w:p>
              </w:tc>
            </w:tr>
            <w:tr w:rsidR="009D7D9E" w:rsidRPr="009D7D9E" w:rsidTr="009D7D9E">
              <w:trPr>
                <w:trHeight w:val="1644"/>
              </w:trPr>
              <w:tc>
                <w:tcPr>
                  <w:tcW w:w="2791" w:type="dxa"/>
                </w:tcPr>
                <w:p w:rsidR="009D7D9E" w:rsidRPr="009D7D9E" w:rsidRDefault="009D7D9E" w:rsidP="009D7D9E">
                  <w:pPr>
                    <w:rPr>
                      <w:rFonts w:ascii="Arial" w:hAnsi="Arial" w:cs="Arial"/>
                      <w:sz w:val="24"/>
                    </w:rPr>
                  </w:pPr>
                  <w:r w:rsidRPr="009D7D9E">
                    <w:rPr>
                      <w:rFonts w:ascii="Arial" w:hAnsi="Arial" w:cs="Arial"/>
                      <w:sz w:val="24"/>
                      <w:lang w:val="en-CA"/>
                    </w:rPr>
                    <w:t>a previous record is found</w:t>
                  </w:r>
                </w:p>
              </w:tc>
              <w:tc>
                <w:tcPr>
                  <w:tcW w:w="2792" w:type="dxa"/>
                </w:tcPr>
                <w:p w:rsidR="009D7D9E" w:rsidRPr="009D7D9E" w:rsidRDefault="009D7D9E" w:rsidP="009D7D9E">
                  <w:pPr>
                    <w:rPr>
                      <w:rFonts w:ascii="Arial" w:hAnsi="Arial" w:cs="Arial"/>
                      <w:sz w:val="24"/>
                    </w:rPr>
                  </w:pPr>
                  <w:r w:rsidRPr="009D7D9E">
                    <w:rPr>
                      <w:rFonts w:ascii="Arial" w:hAnsi="Arial" w:cs="Arial"/>
                      <w:sz w:val="24"/>
                      <w:lang w:val="en-CA"/>
                    </w:rPr>
                    <w:t>compare the date of birth and, if possible, the hospital patient identification number on the request form and on the file.</w:t>
                  </w:r>
                </w:p>
              </w:tc>
            </w:tr>
          </w:tbl>
          <w:p w:rsidR="009D7D9E" w:rsidRPr="009D7D9E" w:rsidRDefault="009D7D9E" w:rsidP="009D7D9E">
            <w:pPr>
              <w:numPr>
                <w:ilvl w:val="0"/>
                <w:numId w:val="9"/>
              </w:numPr>
              <w:spacing w:after="200" w:line="276" w:lineRule="auto"/>
              <w:ind w:hanging="688"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Check the following and record pertinent information:</w:t>
            </w:r>
          </w:p>
          <w:p w:rsidR="009D7D9E" w:rsidRPr="009D7D9E" w:rsidRDefault="009D7D9E" w:rsidP="009D7D9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Previous ABO, Rh, antibody(ies)</w:t>
            </w:r>
          </w:p>
          <w:p w:rsidR="009D7D9E" w:rsidRPr="009D7D9E" w:rsidRDefault="009D7D9E" w:rsidP="009D7D9E">
            <w:pPr>
              <w:numPr>
                <w:ilvl w:val="0"/>
                <w:numId w:val="8"/>
              </w:numPr>
              <w:spacing w:after="200" w:line="276" w:lineRule="auto"/>
              <w:ind w:left="1440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 xml:space="preserve">Difficulties in blood typing </w:t>
            </w:r>
          </w:p>
          <w:p w:rsidR="009D7D9E" w:rsidRPr="009D7D9E" w:rsidRDefault="009D7D9E" w:rsidP="009D7D9E">
            <w:pPr>
              <w:numPr>
                <w:ilvl w:val="0"/>
                <w:numId w:val="8"/>
              </w:numPr>
              <w:spacing w:after="200" w:line="276" w:lineRule="auto"/>
              <w:ind w:left="1440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Previous transfusion or pregnancies, if applicable</w:t>
            </w:r>
          </w:p>
          <w:p w:rsidR="009D7D9E" w:rsidRPr="009D7D9E" w:rsidRDefault="009D7D9E" w:rsidP="009D7D9E">
            <w:pPr>
              <w:numPr>
                <w:ilvl w:val="0"/>
                <w:numId w:val="8"/>
              </w:numPr>
              <w:spacing w:after="200" w:line="276" w:lineRule="auto"/>
              <w:ind w:left="1440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Previous adverse reactions</w:t>
            </w:r>
          </w:p>
          <w:p w:rsidR="009D7D9E" w:rsidRPr="009D7D9E" w:rsidRDefault="009D7D9E" w:rsidP="009D7D9E">
            <w:pPr>
              <w:numPr>
                <w:ilvl w:val="0"/>
                <w:numId w:val="8"/>
              </w:numPr>
              <w:spacing w:after="200" w:line="276" w:lineRule="auto"/>
              <w:ind w:left="1440"/>
              <w:contextualSpacing/>
              <w:rPr>
                <w:rFonts w:ascii="Arial" w:eastAsia="Calibri" w:hAnsi="Arial" w:cs="Arial"/>
                <w:sz w:val="24"/>
                <w:szCs w:val="22"/>
                <w:lang w:val="en-CA"/>
              </w:rPr>
            </w:pPr>
            <w:r w:rsidRPr="009D7D9E">
              <w:rPr>
                <w:rFonts w:ascii="Arial" w:eastAsia="Calibri" w:hAnsi="Arial" w:cs="Arial"/>
                <w:sz w:val="24"/>
                <w:szCs w:val="22"/>
                <w:lang w:val="en-CA"/>
              </w:rPr>
              <w:t>Special blood product requirements, if applicable</w:t>
            </w:r>
          </w:p>
        </w:tc>
      </w:tr>
    </w:tbl>
    <w:p w:rsidR="009C7A8F" w:rsidRPr="009D7D9E" w:rsidRDefault="009C7A8F">
      <w:pPr>
        <w:rPr>
          <w:rFonts w:ascii="Arial" w:hAnsi="Arial" w:cs="Arial"/>
          <w:sz w:val="24"/>
          <w:lang w:val="en-CA"/>
        </w:rPr>
      </w:pPr>
    </w:p>
    <w:p w:rsidR="009D7D9E" w:rsidRPr="009D7D9E" w:rsidRDefault="009C7A8F" w:rsidP="009D7D9E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Reporting – N/A</w:t>
      </w:r>
    </w:p>
    <w:p w:rsidR="009D7D9E" w:rsidRPr="009D7D9E" w:rsidRDefault="009D7D9E" w:rsidP="009D7D9E">
      <w:pPr>
        <w:ind w:left="720"/>
        <w:rPr>
          <w:rFonts w:ascii="Arial" w:hAnsi="Arial" w:cs="Arial"/>
          <w:b/>
          <w:sz w:val="28"/>
        </w:rPr>
      </w:pPr>
    </w:p>
    <w:p w:rsidR="009C7A8F" w:rsidRPr="009D7D9E" w:rsidRDefault="009C7A8F" w:rsidP="009D7D9E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Procedural Notes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There must be a specific procedure for computerized Transfusion Medicine Laboratory (TML) file/history check.  Follow an established procedure for a computerized history check, if applicable.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>If a previous record is not found, check for previous surname, if known.  In case of duplicate names, check the date of birth and hospital</w:t>
      </w:r>
      <w:r w:rsidR="00D1116E" w:rsidRPr="009D7D9E">
        <w:rPr>
          <w:rFonts w:ascii="Arial" w:hAnsi="Arial" w:cs="Arial"/>
          <w:sz w:val="24"/>
        </w:rPr>
        <w:t xml:space="preserve"> </w:t>
      </w:r>
      <w:r w:rsidR="00D453B8" w:rsidRPr="009D7D9E">
        <w:rPr>
          <w:rFonts w:ascii="Arial" w:hAnsi="Arial" w:cs="Arial"/>
          <w:sz w:val="24"/>
        </w:rPr>
        <w:t>patient identification</w:t>
      </w:r>
      <w:r w:rsidRPr="009D7D9E">
        <w:rPr>
          <w:rFonts w:ascii="Arial" w:hAnsi="Arial" w:cs="Arial"/>
          <w:sz w:val="24"/>
        </w:rPr>
        <w:t xml:space="preserve"> number.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9D7D9E">
        <w:rPr>
          <w:rFonts w:ascii="Arial" w:hAnsi="Arial" w:cs="Arial"/>
          <w:b/>
          <w:sz w:val="28"/>
        </w:rPr>
        <w:t>References</w:t>
      </w:r>
    </w:p>
    <w:p w:rsidR="009C7A8F" w:rsidRPr="009D7D9E" w:rsidRDefault="009C7A8F">
      <w:pPr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 xml:space="preserve">Standards for Hospital Transfusion Services Version 3– </w:t>
      </w:r>
      <w:r w:rsidR="00D453B8" w:rsidRPr="009D7D9E">
        <w:rPr>
          <w:rFonts w:ascii="Arial" w:hAnsi="Arial" w:cs="Arial"/>
          <w:sz w:val="24"/>
        </w:rPr>
        <w:t>February 2011</w:t>
      </w:r>
      <w:r w:rsidRPr="009D7D9E">
        <w:rPr>
          <w:rFonts w:ascii="Arial" w:hAnsi="Arial" w:cs="Arial"/>
          <w:sz w:val="24"/>
        </w:rPr>
        <w:t>. Canadian Society for Transfusion Medicine, 5.2.4-5.3.1.</w:t>
      </w:r>
    </w:p>
    <w:p w:rsidR="009C7A8F" w:rsidRPr="009D7D9E" w:rsidRDefault="009C7A8F">
      <w:pPr>
        <w:ind w:left="720"/>
        <w:rPr>
          <w:rFonts w:ascii="Arial" w:hAnsi="Arial" w:cs="Arial"/>
          <w:sz w:val="24"/>
        </w:rPr>
      </w:pPr>
    </w:p>
    <w:p w:rsidR="009C7A8F" w:rsidRPr="009D7D9E" w:rsidRDefault="009C7A8F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9D7D9E">
        <w:rPr>
          <w:rFonts w:ascii="Arial" w:hAnsi="Arial" w:cs="Arial"/>
          <w:sz w:val="24"/>
        </w:rPr>
        <w:t xml:space="preserve">Standards for Hospital Transfusion Services Version 3 – </w:t>
      </w:r>
      <w:r w:rsidR="00D453B8" w:rsidRPr="009D7D9E">
        <w:rPr>
          <w:rFonts w:ascii="Arial" w:hAnsi="Arial" w:cs="Arial"/>
          <w:sz w:val="24"/>
        </w:rPr>
        <w:t>February 2011</w:t>
      </w:r>
      <w:r w:rsidRPr="009D7D9E">
        <w:rPr>
          <w:rFonts w:ascii="Arial" w:hAnsi="Arial" w:cs="Arial"/>
          <w:sz w:val="24"/>
        </w:rPr>
        <w:t>. Canadian Society for Transfusion Medicine</w:t>
      </w:r>
      <w:r w:rsidR="00D453B8" w:rsidRPr="009D7D9E">
        <w:rPr>
          <w:rFonts w:ascii="Arial" w:hAnsi="Arial" w:cs="Arial"/>
          <w:sz w:val="24"/>
        </w:rPr>
        <w:t>, Appendix</w:t>
      </w:r>
      <w:r w:rsidRPr="009D7D9E">
        <w:rPr>
          <w:rFonts w:ascii="Arial" w:hAnsi="Arial" w:cs="Arial"/>
          <w:sz w:val="24"/>
        </w:rPr>
        <w:t xml:space="preserve"> A.</w:t>
      </w:r>
    </w:p>
    <w:p w:rsidR="0054551F" w:rsidRPr="009D7D9E" w:rsidRDefault="0054551F" w:rsidP="0054551F">
      <w:pPr>
        <w:pStyle w:val="ListParagraph"/>
        <w:rPr>
          <w:rFonts w:ascii="Arial" w:hAnsi="Arial" w:cs="Arial"/>
          <w:sz w:val="24"/>
        </w:rPr>
      </w:pPr>
    </w:p>
    <w:p w:rsidR="0054551F" w:rsidRPr="009D7D9E" w:rsidRDefault="0054551F" w:rsidP="0054551F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D7D9E">
        <w:rPr>
          <w:rFonts w:ascii="Arial" w:hAnsi="Arial" w:cs="Arial"/>
          <w:b/>
          <w:sz w:val="28"/>
          <w:szCs w:val="28"/>
        </w:rPr>
        <w:t>Revision History</w:t>
      </w:r>
    </w:p>
    <w:p w:rsidR="0054551F" w:rsidRPr="009D7D9E" w:rsidRDefault="0054551F" w:rsidP="005455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551F" w:rsidRPr="009D7D9E" w:rsidTr="00E2327E">
        <w:tc>
          <w:tcPr>
            <w:tcW w:w="4428" w:type="dxa"/>
            <w:shd w:val="clear" w:color="auto" w:fill="F2F2F2" w:themeFill="background1" w:themeFillShade="F2"/>
          </w:tcPr>
          <w:p w:rsidR="0054551F" w:rsidRPr="009D7D9E" w:rsidRDefault="0054551F" w:rsidP="005455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D9E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54551F" w:rsidRPr="009D7D9E" w:rsidRDefault="0054551F" w:rsidP="005455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D9E">
              <w:rPr>
                <w:rFonts w:ascii="Arial" w:hAnsi="Arial" w:cs="Arial"/>
                <w:b/>
                <w:sz w:val="22"/>
                <w:szCs w:val="22"/>
              </w:rPr>
              <w:t>Summary of Revision</w:t>
            </w:r>
          </w:p>
        </w:tc>
      </w:tr>
      <w:tr w:rsidR="000A1F63" w:rsidRPr="009D7D9E" w:rsidTr="00D453B8">
        <w:trPr>
          <w:trHeight w:val="2467"/>
        </w:trPr>
        <w:tc>
          <w:tcPr>
            <w:tcW w:w="4428" w:type="dxa"/>
          </w:tcPr>
          <w:p w:rsidR="000A1F63" w:rsidRPr="009D7D9E" w:rsidRDefault="000A1F63" w:rsidP="0054551F">
            <w:pPr>
              <w:rPr>
                <w:rFonts w:ascii="Arial" w:hAnsi="Arial" w:cs="Arial"/>
                <w:sz w:val="22"/>
                <w:szCs w:val="22"/>
              </w:rPr>
            </w:pPr>
            <w:r w:rsidRPr="009D7D9E">
              <w:rPr>
                <w:rFonts w:ascii="Arial" w:hAnsi="Arial" w:cs="Arial"/>
                <w:sz w:val="22"/>
                <w:szCs w:val="22"/>
              </w:rPr>
              <w:t xml:space="preserve">January 31, 2014 </w:t>
            </w:r>
          </w:p>
        </w:tc>
        <w:tc>
          <w:tcPr>
            <w:tcW w:w="4428" w:type="dxa"/>
          </w:tcPr>
          <w:p w:rsidR="000A1F63" w:rsidRPr="009D7D9E" w:rsidRDefault="000A1F63" w:rsidP="005455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D7D9E">
              <w:rPr>
                <w:rFonts w:ascii="Arial" w:hAnsi="Arial" w:cs="Arial"/>
                <w:sz w:val="22"/>
                <w:szCs w:val="22"/>
              </w:rPr>
              <w:t xml:space="preserve">Revised name of manual </w:t>
            </w:r>
          </w:p>
          <w:p w:rsidR="000A1F63" w:rsidRPr="009D7D9E" w:rsidRDefault="000A1F63" w:rsidP="005455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D7D9E">
              <w:rPr>
                <w:rFonts w:ascii="Arial" w:hAnsi="Arial" w:cs="Arial"/>
                <w:sz w:val="22"/>
                <w:szCs w:val="22"/>
              </w:rPr>
              <w:t>Revised the terminology used for “the personal health number (PHN)” and replaced with “the hospital patient identification number” in section 6.</w:t>
            </w:r>
            <w:r w:rsidR="001D6077">
              <w:rPr>
                <w:rFonts w:ascii="Arial" w:hAnsi="Arial" w:cs="Arial"/>
                <w:sz w:val="22"/>
                <w:szCs w:val="22"/>
              </w:rPr>
              <w:t>1.</w:t>
            </w:r>
            <w:r w:rsidR="003F4B7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A1F63" w:rsidRPr="009D7D9E" w:rsidRDefault="000A1F63" w:rsidP="005455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D7D9E">
              <w:rPr>
                <w:rFonts w:ascii="Arial" w:hAnsi="Arial" w:cs="Arial"/>
                <w:sz w:val="22"/>
                <w:szCs w:val="22"/>
              </w:rPr>
              <w:t>Revised wording to specify “hospital” identification number in section 8.2</w:t>
            </w:r>
          </w:p>
          <w:p w:rsidR="000A1F63" w:rsidRPr="009D7D9E" w:rsidRDefault="000A1F63" w:rsidP="005455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D7D9E">
              <w:rPr>
                <w:rFonts w:ascii="Arial" w:hAnsi="Arial" w:cs="Arial"/>
                <w:sz w:val="22"/>
                <w:szCs w:val="22"/>
              </w:rPr>
              <w:t xml:space="preserve">Updated both references to include the most updated version </w:t>
            </w:r>
          </w:p>
          <w:p w:rsidR="000A1F63" w:rsidRPr="009D7D9E" w:rsidRDefault="000A1F63" w:rsidP="00D453B8">
            <w:pPr>
              <w:pStyle w:val="ListParagraph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51F" w:rsidRPr="0054551F" w:rsidRDefault="0054551F" w:rsidP="0054551F">
      <w:pPr>
        <w:rPr>
          <w:rFonts w:ascii="Arial" w:hAnsi="Arial"/>
          <w:sz w:val="22"/>
          <w:szCs w:val="22"/>
        </w:rPr>
      </w:pPr>
    </w:p>
    <w:p w:rsidR="009C7A8F" w:rsidRDefault="009C7A8F">
      <w:pPr>
        <w:ind w:left="720"/>
        <w:rPr>
          <w:rFonts w:ascii="Arial" w:hAnsi="Arial"/>
          <w:sz w:val="24"/>
        </w:rPr>
      </w:pPr>
    </w:p>
    <w:p w:rsidR="009C7A8F" w:rsidRDefault="009C7A8F">
      <w:pPr>
        <w:ind w:left="720"/>
        <w:rPr>
          <w:rFonts w:ascii="Arial" w:hAnsi="Arial"/>
          <w:sz w:val="24"/>
        </w:rPr>
      </w:pPr>
    </w:p>
    <w:sectPr w:rsidR="009C7A8F" w:rsidSect="009C7A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F9" w:rsidRDefault="00A049F9">
      <w:r>
        <w:separator/>
      </w:r>
    </w:p>
  </w:endnote>
  <w:endnote w:type="continuationSeparator" w:id="0">
    <w:p w:rsidR="00A049F9" w:rsidRDefault="00A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C7A8F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center"/>
            <w:rPr>
              <w:sz w:val="8"/>
            </w:rPr>
          </w:pPr>
        </w:p>
        <w:p w:rsidR="009C7A8F" w:rsidRDefault="00BD1C3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9C7A8F" w:rsidRDefault="00D1116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PA.003</w:t>
          </w:r>
          <w:r>
            <w:rPr>
              <w:rFonts w:ascii="Arial" w:hAnsi="Arial"/>
              <w:sz w:val="18"/>
            </w:rPr>
            <w:br/>
          </w:r>
        </w:p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316AA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316AAB">
            <w:rPr>
              <w:rFonts w:ascii="Arial" w:hAnsi="Arial"/>
              <w:snapToGrid w:val="0"/>
              <w:sz w:val="18"/>
            </w:rPr>
            <w:fldChar w:fldCharType="separate"/>
          </w:r>
          <w:r w:rsidR="00553F41">
            <w:rPr>
              <w:rFonts w:ascii="Arial" w:hAnsi="Arial"/>
              <w:noProof/>
              <w:snapToGrid w:val="0"/>
              <w:sz w:val="18"/>
            </w:rPr>
            <w:t>3</w:t>
          </w:r>
          <w:r w:rsidR="00316AAB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316AA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316AAB">
            <w:rPr>
              <w:rFonts w:ascii="Arial" w:hAnsi="Arial"/>
              <w:snapToGrid w:val="0"/>
              <w:sz w:val="18"/>
            </w:rPr>
            <w:fldChar w:fldCharType="separate"/>
          </w:r>
          <w:r w:rsidR="00553F41">
            <w:rPr>
              <w:rFonts w:ascii="Arial" w:hAnsi="Arial"/>
              <w:noProof/>
              <w:snapToGrid w:val="0"/>
              <w:sz w:val="18"/>
            </w:rPr>
            <w:t>3</w:t>
          </w:r>
          <w:r w:rsidR="00316AA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C7A8F" w:rsidRDefault="009C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C7A8F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C7A8F" w:rsidRDefault="00BD1C3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9C7A8F" w:rsidRDefault="00D1116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C7A8F" w:rsidRDefault="009C7A8F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PA.003</w:t>
          </w:r>
          <w:r>
            <w:rPr>
              <w:rFonts w:ascii="Arial" w:hAnsi="Arial"/>
              <w:sz w:val="18"/>
            </w:rPr>
            <w:br/>
          </w:r>
        </w:p>
        <w:p w:rsidR="009C7A8F" w:rsidRDefault="009C7A8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316AA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316AAB">
            <w:rPr>
              <w:rFonts w:ascii="Arial" w:hAnsi="Arial"/>
              <w:snapToGrid w:val="0"/>
              <w:sz w:val="18"/>
            </w:rPr>
            <w:fldChar w:fldCharType="separate"/>
          </w:r>
          <w:r w:rsidR="00553F41">
            <w:rPr>
              <w:rFonts w:ascii="Arial" w:hAnsi="Arial"/>
              <w:noProof/>
              <w:snapToGrid w:val="0"/>
              <w:sz w:val="18"/>
            </w:rPr>
            <w:t>1</w:t>
          </w:r>
          <w:r w:rsidR="00316AAB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316AA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316AAB">
            <w:rPr>
              <w:rFonts w:ascii="Arial" w:hAnsi="Arial"/>
              <w:snapToGrid w:val="0"/>
              <w:sz w:val="18"/>
            </w:rPr>
            <w:fldChar w:fldCharType="separate"/>
          </w:r>
          <w:r w:rsidR="00553F41">
            <w:rPr>
              <w:rFonts w:ascii="Arial" w:hAnsi="Arial"/>
              <w:noProof/>
              <w:snapToGrid w:val="0"/>
              <w:sz w:val="18"/>
            </w:rPr>
            <w:t>3</w:t>
          </w:r>
          <w:r w:rsidR="00316AA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C7A8F" w:rsidRDefault="009C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F9" w:rsidRDefault="00A049F9">
      <w:r>
        <w:separator/>
      </w:r>
    </w:p>
  </w:footnote>
  <w:footnote w:type="continuationSeparator" w:id="0">
    <w:p w:rsidR="00A049F9" w:rsidRDefault="00A0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8F" w:rsidRDefault="009C7A8F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Patient History Check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8F" w:rsidRDefault="000A1F6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251601" cy="50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0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3B8" w:rsidRDefault="00D453B8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D453B8" w:rsidRDefault="000A1F6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453B8">
      <w:rPr>
        <w:rFonts w:ascii="Arial" w:hAnsi="Arial" w:cs="Arial"/>
        <w:b/>
        <w:bCs/>
        <w:sz w:val="28"/>
        <w:szCs w:val="28"/>
      </w:rPr>
      <w:t>Ontario Regional Blood Coordinating Network</w:t>
    </w:r>
  </w:p>
  <w:p w:rsidR="000A1F63" w:rsidRPr="00D453B8" w:rsidRDefault="000A1F6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453B8">
      <w:rPr>
        <w:rFonts w:ascii="Arial" w:hAnsi="Arial" w:cs="Arial"/>
        <w:b/>
        <w:bCs/>
        <w:sz w:val="28"/>
        <w:szCs w:val="28"/>
      </w:rPr>
      <w:t>Transfusion Technical Resource Manual</w:t>
    </w:r>
  </w:p>
  <w:p w:rsidR="009C7A8F" w:rsidRDefault="009C7A8F">
    <w:pPr>
      <w:pStyle w:val="Header"/>
      <w:jc w:val="center"/>
      <w:rPr>
        <w:rFonts w:ascii="Arial" w:hAnsi="Arial" w:cs="Arial"/>
        <w:b/>
        <w:bCs/>
        <w:sz w:val="22"/>
      </w:rPr>
    </w:pPr>
  </w:p>
  <w:p w:rsidR="009C7A8F" w:rsidRDefault="009C7A8F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Patient History Check</w:t>
    </w:r>
  </w:p>
  <w:p w:rsidR="009C7A8F" w:rsidRDefault="009C7A8F">
    <w:pPr>
      <w:pStyle w:val="Header"/>
      <w:jc w:val="center"/>
      <w:rPr>
        <w:rFonts w:ascii="Arial" w:hAnsi="Arial"/>
        <w:b/>
        <w:sz w:val="28"/>
      </w:rPr>
    </w:pPr>
  </w:p>
  <w:p w:rsidR="009C7A8F" w:rsidRDefault="009C7A8F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553F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9C7A8F"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PA.003</w:t>
          </w:r>
        </w:p>
      </w:tc>
    </w:tr>
    <w:tr w:rsidR="009C7A8F"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Pre-Analysis</w:t>
          </w:r>
        </w:p>
      </w:tc>
    </w:tr>
    <w:tr w:rsidR="009C7A8F"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D1116E">
            <w:rPr>
              <w:rFonts w:ascii="Arial" w:hAnsi="Arial" w:cs="Arial"/>
            </w:rPr>
            <w:t>, 2014/01/31</w:t>
          </w:r>
        </w:p>
      </w:tc>
      <w:tc>
        <w:tcPr>
          <w:tcW w:w="4428" w:type="dxa"/>
        </w:tcPr>
        <w:p w:rsidR="009C7A8F" w:rsidRDefault="009C7A8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316AAB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316AAB">
            <w:rPr>
              <w:rFonts w:ascii="Arial" w:hAnsi="Arial" w:cs="Arial"/>
            </w:rPr>
            <w:fldChar w:fldCharType="separate"/>
          </w:r>
          <w:r w:rsidR="00553F41">
            <w:rPr>
              <w:rFonts w:ascii="Arial" w:hAnsi="Arial" w:cs="Arial"/>
              <w:noProof/>
            </w:rPr>
            <w:t>1</w:t>
          </w:r>
          <w:r w:rsidR="00316AAB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316AAB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 w:rsidR="00316AAB">
            <w:rPr>
              <w:rFonts w:ascii="Arial" w:hAnsi="Arial" w:cs="Arial"/>
            </w:rPr>
            <w:fldChar w:fldCharType="separate"/>
          </w:r>
          <w:r w:rsidR="00553F41">
            <w:rPr>
              <w:rFonts w:ascii="Arial" w:hAnsi="Arial" w:cs="Arial"/>
              <w:noProof/>
            </w:rPr>
            <w:t>3</w:t>
          </w:r>
          <w:r w:rsidR="00316AAB">
            <w:rPr>
              <w:rFonts w:ascii="Arial" w:hAnsi="Arial" w:cs="Arial"/>
            </w:rPr>
            <w:fldChar w:fldCharType="end"/>
          </w:r>
        </w:p>
      </w:tc>
    </w:tr>
  </w:tbl>
  <w:p w:rsidR="009C7A8F" w:rsidRDefault="00553F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"/>
          </w:pict>
        </mc:Fallback>
      </mc:AlternateContent>
    </w:r>
    <w:r w:rsidR="009C7A8F">
      <w:rPr>
        <w:rFonts w:ascii="Arial" w:hAnsi="Arial" w:cs="Arial"/>
      </w:rPr>
      <w:tab/>
    </w:r>
  </w:p>
  <w:p w:rsidR="009C7A8F" w:rsidRDefault="009C7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64"/>
    <w:multiLevelType w:val="hybridMultilevel"/>
    <w:tmpl w:val="E752C8FC"/>
    <w:lvl w:ilvl="0" w:tplc="00BEC088">
      <w:start w:val="1"/>
      <w:numFmt w:val="decimal"/>
      <w:lvlText w:val="6.1.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F59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5285699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43E56990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59986254"/>
    <w:multiLevelType w:val="hybridMultilevel"/>
    <w:tmpl w:val="097635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0770D"/>
    <w:multiLevelType w:val="hybridMultilevel"/>
    <w:tmpl w:val="D026001A"/>
    <w:lvl w:ilvl="0" w:tplc="9DB4716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41214"/>
    <w:multiLevelType w:val="multilevel"/>
    <w:tmpl w:val="998E49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B9A62AB"/>
    <w:multiLevelType w:val="multilevel"/>
    <w:tmpl w:val="8F92682C"/>
    <w:lvl w:ilvl="0">
      <w:start w:val="6"/>
      <w:numFmt w:val="decimal"/>
      <w:lvlText w:val="%1.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EA534E9"/>
    <w:multiLevelType w:val="hybridMultilevel"/>
    <w:tmpl w:val="09E02D7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F3D4242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B"/>
    <w:rsid w:val="00087E2A"/>
    <w:rsid w:val="000A1F63"/>
    <w:rsid w:val="000F119C"/>
    <w:rsid w:val="001D0068"/>
    <w:rsid w:val="001D6077"/>
    <w:rsid w:val="002076AD"/>
    <w:rsid w:val="002C3026"/>
    <w:rsid w:val="00316AAB"/>
    <w:rsid w:val="003E6A0E"/>
    <w:rsid w:val="003F4B77"/>
    <w:rsid w:val="003F764A"/>
    <w:rsid w:val="004A5F0B"/>
    <w:rsid w:val="0054551F"/>
    <w:rsid w:val="00553F41"/>
    <w:rsid w:val="007F38BF"/>
    <w:rsid w:val="00802A99"/>
    <w:rsid w:val="008207A6"/>
    <w:rsid w:val="00847FCC"/>
    <w:rsid w:val="008700DD"/>
    <w:rsid w:val="008B3271"/>
    <w:rsid w:val="00907EDB"/>
    <w:rsid w:val="00936282"/>
    <w:rsid w:val="00942168"/>
    <w:rsid w:val="009844FB"/>
    <w:rsid w:val="009C7A8F"/>
    <w:rsid w:val="009D7D9E"/>
    <w:rsid w:val="00A049F9"/>
    <w:rsid w:val="00B45A1B"/>
    <w:rsid w:val="00BA1AEC"/>
    <w:rsid w:val="00BD1C37"/>
    <w:rsid w:val="00C2175F"/>
    <w:rsid w:val="00C93F29"/>
    <w:rsid w:val="00D025D7"/>
    <w:rsid w:val="00D1116E"/>
    <w:rsid w:val="00D3032F"/>
    <w:rsid w:val="00D453B8"/>
    <w:rsid w:val="00E2327E"/>
    <w:rsid w:val="00E233E3"/>
    <w:rsid w:val="00E973F4"/>
    <w:rsid w:val="00ED0158"/>
    <w:rsid w:val="00F031DC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D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5D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C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D02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C7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02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C7C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025D7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C7C"/>
    <w:rPr>
      <w:lang w:val="en-US" w:eastAsia="en-US"/>
    </w:rPr>
  </w:style>
  <w:style w:type="character" w:styleId="PageNumber">
    <w:name w:val="page number"/>
    <w:basedOn w:val="DefaultParagraphFont"/>
    <w:uiPriority w:val="99"/>
    <w:rsid w:val="00D025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C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54551F"/>
    <w:pPr>
      <w:ind w:left="720"/>
      <w:contextualSpacing/>
    </w:pPr>
  </w:style>
  <w:style w:type="table" w:styleId="TableGrid">
    <w:name w:val="Table Grid"/>
    <w:basedOn w:val="TableNormal"/>
    <w:uiPriority w:val="59"/>
    <w:rsid w:val="0054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9D7D9E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D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5D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C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D02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C7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02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C7C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025D7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C7C"/>
    <w:rPr>
      <w:lang w:val="en-US" w:eastAsia="en-US"/>
    </w:rPr>
  </w:style>
  <w:style w:type="character" w:styleId="PageNumber">
    <w:name w:val="page number"/>
    <w:basedOn w:val="DefaultParagraphFont"/>
    <w:uiPriority w:val="99"/>
    <w:rsid w:val="00D025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C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54551F"/>
    <w:pPr>
      <w:ind w:left="720"/>
      <w:contextualSpacing/>
    </w:pPr>
  </w:style>
  <w:style w:type="table" w:styleId="TableGrid">
    <w:name w:val="Table Grid"/>
    <w:basedOn w:val="TableNormal"/>
    <w:uiPriority w:val="59"/>
    <w:rsid w:val="0054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9D7D9E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PA.003 Patient History Check</vt:lpstr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PA.003 Patient History Check</dc:title>
  <dc:creator>Transfusion Ontario Program Office</dc:creator>
  <cp:lastModifiedBy>Mantifel, Lisa</cp:lastModifiedBy>
  <cp:revision>2</cp:revision>
  <cp:lastPrinted>2004-03-15T20:36:00Z</cp:lastPrinted>
  <dcterms:created xsi:type="dcterms:W3CDTF">2016-09-30T17:13:00Z</dcterms:created>
  <dcterms:modified xsi:type="dcterms:W3CDTF">2016-09-30T17:13:00Z</dcterms:modified>
</cp:coreProperties>
</file>