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96D" w:rsidRDefault="0032596D">
      <w:pPr>
        <w:numPr>
          <w:ilvl w:val="0"/>
          <w:numId w:val="1"/>
        </w:numPr>
        <w:rPr>
          <w:rFonts w:ascii="Arial" w:hAnsi="Arial"/>
          <w:b/>
          <w:sz w:val="28"/>
        </w:rPr>
      </w:pPr>
      <w:bookmarkStart w:id="0" w:name="_GoBack"/>
      <w:bookmarkEnd w:id="0"/>
      <w:r>
        <w:rPr>
          <w:rFonts w:ascii="Arial" w:hAnsi="Arial"/>
          <w:b/>
          <w:sz w:val="28"/>
        </w:rPr>
        <w:t>Principle</w:t>
      </w:r>
    </w:p>
    <w:p w:rsidR="0032596D" w:rsidRDefault="0032596D">
      <w:pPr>
        <w:rPr>
          <w:rFonts w:ascii="Arial" w:hAnsi="Arial"/>
          <w:bCs/>
          <w:sz w:val="24"/>
        </w:rPr>
      </w:pPr>
    </w:p>
    <w:p w:rsidR="0032596D" w:rsidRDefault="0032596D">
      <w:pPr>
        <w:pStyle w:val="BodyTextIndent"/>
      </w:pPr>
      <w:r>
        <w:t xml:space="preserve">The Special Access Program (SAP) provides access to non-marketed drugs for practitioners treating patients with serious or life-threatening conditions when conventional therapies have failed, </w:t>
      </w:r>
      <w:r w:rsidR="00C9649C">
        <w:t xml:space="preserve">are unsuitable, or unavailable. </w:t>
      </w:r>
      <w:r>
        <w:t xml:space="preserve">The SAP authorizes a manufacturer to sell a drug that cannot otherwise be sold or distributed in Canada. Drugs considered for release by the SAP include pharmaceutical, biologic, and radiopharmaceutical products not approved for sale in </w:t>
      </w:r>
      <w:smartTag w:uri="urn:schemas-microsoft-com:office:smarttags" w:element="country-region">
        <w:smartTag w:uri="urn:schemas-microsoft-com:office:smarttags" w:element="place">
          <w:r>
            <w:t>Canada</w:t>
          </w:r>
        </w:smartTag>
      </w:smartTag>
      <w:r>
        <w:t xml:space="preserve">. </w:t>
      </w:r>
    </w:p>
    <w:p w:rsidR="0032596D" w:rsidRDefault="0032596D">
      <w:pPr>
        <w:rPr>
          <w:rFonts w:ascii="Arial" w:hAnsi="Arial"/>
          <w:sz w:val="24"/>
        </w:rPr>
      </w:pPr>
    </w:p>
    <w:p w:rsidR="0032596D" w:rsidRDefault="0032596D">
      <w:pPr>
        <w:pStyle w:val="BodyTextIndent"/>
      </w:pPr>
      <w:r>
        <w:t>The Canadian Blood Services (CBS) Head Office will supply a list of products requiring a SAP request form.</w:t>
      </w:r>
    </w:p>
    <w:p w:rsidR="0032596D" w:rsidRDefault="0032596D">
      <w:pPr>
        <w:ind w:left="720"/>
        <w:rPr>
          <w:rFonts w:ascii="Arial" w:hAnsi="Arial"/>
          <w:sz w:val="24"/>
        </w:rPr>
      </w:pPr>
    </w:p>
    <w:p w:rsidR="0032596D" w:rsidRDefault="0032596D">
      <w:pPr>
        <w:numPr>
          <w:ilvl w:val="0"/>
          <w:numId w:val="1"/>
        </w:numPr>
        <w:rPr>
          <w:rFonts w:ascii="Arial" w:hAnsi="Arial"/>
          <w:b/>
          <w:sz w:val="28"/>
        </w:rPr>
      </w:pPr>
      <w:r>
        <w:rPr>
          <w:rFonts w:ascii="Arial" w:hAnsi="Arial"/>
          <w:b/>
          <w:sz w:val="28"/>
        </w:rPr>
        <w:t>Scope and Related Policies</w:t>
      </w:r>
    </w:p>
    <w:p w:rsidR="0032596D" w:rsidRDefault="0032596D">
      <w:pPr>
        <w:rPr>
          <w:rFonts w:ascii="Arial" w:hAnsi="Arial"/>
          <w:b/>
          <w:sz w:val="24"/>
        </w:rPr>
      </w:pPr>
    </w:p>
    <w:p w:rsidR="0032596D" w:rsidRPr="0032596D" w:rsidRDefault="0032596D" w:rsidP="00F879AF">
      <w:pPr>
        <w:numPr>
          <w:ilvl w:val="1"/>
          <w:numId w:val="1"/>
        </w:numPr>
        <w:tabs>
          <w:tab w:val="clear" w:pos="1571"/>
          <w:tab w:val="num" w:pos="1418"/>
        </w:tabs>
        <w:ind w:left="1418"/>
        <w:rPr>
          <w:rFonts w:ascii="Arial" w:hAnsi="Arial"/>
          <w:sz w:val="24"/>
        </w:rPr>
      </w:pPr>
      <w:r w:rsidRPr="0032596D">
        <w:rPr>
          <w:rFonts w:ascii="Arial" w:hAnsi="Arial"/>
          <w:sz w:val="24"/>
        </w:rPr>
        <w:t xml:space="preserve">SAP authorization does not constitute an opinion or statement that a drug is safe, efficacious or of high quality. SAP does not conduct a comprehensive evaluation to ensure the validity of drug information or attestations of the manufacturer respecting safety, efficacy and quality. </w:t>
      </w:r>
    </w:p>
    <w:p w:rsidR="0032596D" w:rsidRDefault="0032596D">
      <w:pPr>
        <w:ind w:left="720"/>
        <w:rPr>
          <w:rFonts w:ascii="Arial" w:hAnsi="Arial"/>
          <w:sz w:val="24"/>
        </w:rPr>
      </w:pPr>
    </w:p>
    <w:p w:rsidR="0032596D" w:rsidRDefault="0032596D" w:rsidP="00F879AF">
      <w:pPr>
        <w:numPr>
          <w:ilvl w:val="1"/>
          <w:numId w:val="1"/>
        </w:numPr>
        <w:tabs>
          <w:tab w:val="clear" w:pos="1571"/>
          <w:tab w:val="num" w:pos="1418"/>
        </w:tabs>
        <w:ind w:left="1418"/>
        <w:rPr>
          <w:rFonts w:ascii="Arial" w:hAnsi="Arial"/>
          <w:sz w:val="24"/>
        </w:rPr>
      </w:pPr>
      <w:r>
        <w:rPr>
          <w:rFonts w:ascii="Arial" w:hAnsi="Arial"/>
          <w:sz w:val="24"/>
        </w:rPr>
        <w:t xml:space="preserve">These are important factors for practitioners to consider when recommending the use of a drug and in making an appropriate risk/benefit decision in the best interests of the patient. </w:t>
      </w:r>
    </w:p>
    <w:p w:rsidR="0032596D" w:rsidRDefault="0032596D">
      <w:pPr>
        <w:rPr>
          <w:rFonts w:ascii="Arial" w:hAnsi="Arial"/>
          <w:sz w:val="24"/>
        </w:rPr>
      </w:pPr>
    </w:p>
    <w:p w:rsidR="0032596D" w:rsidRDefault="0032596D" w:rsidP="00F879AF">
      <w:pPr>
        <w:numPr>
          <w:ilvl w:val="1"/>
          <w:numId w:val="1"/>
        </w:numPr>
        <w:tabs>
          <w:tab w:val="clear" w:pos="1571"/>
          <w:tab w:val="num" w:pos="1418"/>
        </w:tabs>
        <w:ind w:left="1418"/>
        <w:rPr>
          <w:rFonts w:ascii="Arial" w:hAnsi="Arial"/>
          <w:sz w:val="24"/>
        </w:rPr>
      </w:pPr>
      <w:r>
        <w:rPr>
          <w:rFonts w:ascii="Arial" w:hAnsi="Arial"/>
          <w:sz w:val="24"/>
        </w:rPr>
        <w:t xml:space="preserve">The SAP strongly encourages practitioners treating individuals with drugs obtained through the SAP to seek informed consent before treatment. </w:t>
      </w:r>
    </w:p>
    <w:p w:rsidR="0032596D" w:rsidRDefault="0032596D">
      <w:pPr>
        <w:rPr>
          <w:rFonts w:ascii="Arial" w:hAnsi="Arial"/>
          <w:sz w:val="24"/>
        </w:rPr>
      </w:pPr>
    </w:p>
    <w:p w:rsidR="0032596D" w:rsidRDefault="0032596D" w:rsidP="00F879AF">
      <w:pPr>
        <w:numPr>
          <w:ilvl w:val="1"/>
          <w:numId w:val="1"/>
        </w:numPr>
        <w:tabs>
          <w:tab w:val="clear" w:pos="1571"/>
          <w:tab w:val="num" w:pos="1418"/>
        </w:tabs>
        <w:ind w:left="1418"/>
        <w:rPr>
          <w:rFonts w:ascii="Arial" w:hAnsi="Arial"/>
          <w:sz w:val="24"/>
        </w:rPr>
      </w:pPr>
      <w:r>
        <w:rPr>
          <w:rFonts w:ascii="Arial" w:hAnsi="Arial"/>
          <w:sz w:val="24"/>
        </w:rPr>
        <w:t xml:space="preserve">In seeking and receiving access to a drug through the SAP, the practitioner agrees to provide both the SAP and the manufacturer with a report on the use of the drug, including information on adverse reactions and, on request, account for all quantities of drug received. </w:t>
      </w:r>
    </w:p>
    <w:p w:rsidR="00C9649C" w:rsidRDefault="00C9649C" w:rsidP="00C9649C">
      <w:pPr>
        <w:ind w:left="720"/>
        <w:rPr>
          <w:rFonts w:ascii="Arial" w:hAnsi="Arial"/>
          <w:b/>
          <w:sz w:val="28"/>
        </w:rPr>
      </w:pPr>
    </w:p>
    <w:p w:rsidR="00C9649C" w:rsidRDefault="00C9649C" w:rsidP="00C9649C">
      <w:pPr>
        <w:ind w:left="720"/>
        <w:rPr>
          <w:rFonts w:ascii="Arial" w:hAnsi="Arial"/>
          <w:b/>
          <w:sz w:val="28"/>
        </w:rPr>
      </w:pPr>
    </w:p>
    <w:p w:rsidR="0032596D" w:rsidRDefault="0032596D">
      <w:pPr>
        <w:numPr>
          <w:ilvl w:val="0"/>
          <w:numId w:val="1"/>
        </w:numPr>
        <w:rPr>
          <w:rFonts w:ascii="Arial" w:hAnsi="Arial"/>
          <w:b/>
          <w:sz w:val="28"/>
        </w:rPr>
      </w:pPr>
      <w:r>
        <w:rPr>
          <w:rFonts w:ascii="Arial" w:hAnsi="Arial"/>
          <w:b/>
          <w:sz w:val="28"/>
        </w:rPr>
        <w:lastRenderedPageBreak/>
        <w:t>Specimen – N/A</w:t>
      </w:r>
    </w:p>
    <w:p w:rsidR="0032596D" w:rsidRDefault="0032596D">
      <w:pPr>
        <w:rPr>
          <w:rFonts w:ascii="Arial" w:hAnsi="Arial"/>
          <w:b/>
          <w:sz w:val="28"/>
        </w:rPr>
      </w:pPr>
    </w:p>
    <w:p w:rsidR="0032596D" w:rsidRDefault="0032596D">
      <w:pPr>
        <w:numPr>
          <w:ilvl w:val="0"/>
          <w:numId w:val="1"/>
        </w:numPr>
        <w:rPr>
          <w:rFonts w:ascii="Arial" w:hAnsi="Arial"/>
          <w:b/>
          <w:sz w:val="28"/>
        </w:rPr>
      </w:pPr>
      <w:r>
        <w:rPr>
          <w:rFonts w:ascii="Arial" w:hAnsi="Arial"/>
          <w:b/>
          <w:sz w:val="28"/>
        </w:rPr>
        <w:t>Materials</w:t>
      </w:r>
    </w:p>
    <w:p w:rsidR="0032596D" w:rsidRDefault="0032596D">
      <w:pPr>
        <w:rPr>
          <w:rFonts w:ascii="Arial" w:hAnsi="Arial"/>
          <w:sz w:val="24"/>
        </w:rPr>
      </w:pPr>
    </w:p>
    <w:p w:rsidR="0032596D" w:rsidRDefault="0032596D">
      <w:pPr>
        <w:ind w:left="720"/>
        <w:rPr>
          <w:rFonts w:ascii="Arial" w:hAnsi="Arial"/>
          <w:sz w:val="24"/>
        </w:rPr>
      </w:pPr>
      <w:r>
        <w:rPr>
          <w:rFonts w:ascii="Arial" w:hAnsi="Arial"/>
          <w:b/>
          <w:sz w:val="24"/>
        </w:rPr>
        <w:t>Supplies:</w:t>
      </w:r>
      <w:r>
        <w:rPr>
          <w:rFonts w:ascii="Arial" w:hAnsi="Arial"/>
          <w:sz w:val="24"/>
        </w:rPr>
        <w:tab/>
        <w:t xml:space="preserve">Special access request form </w:t>
      </w:r>
      <w:r w:rsidR="00F10747">
        <w:rPr>
          <w:rFonts w:ascii="Arial" w:hAnsi="Arial"/>
          <w:sz w:val="24"/>
        </w:rPr>
        <w:t>from Health Canada</w:t>
      </w:r>
    </w:p>
    <w:p w:rsidR="0032596D" w:rsidRDefault="0032596D">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32596D" w:rsidRDefault="0032596D">
      <w:pPr>
        <w:numPr>
          <w:ilvl w:val="0"/>
          <w:numId w:val="1"/>
        </w:numPr>
        <w:rPr>
          <w:rFonts w:ascii="Arial" w:hAnsi="Arial"/>
          <w:b/>
          <w:sz w:val="28"/>
        </w:rPr>
      </w:pPr>
      <w:r>
        <w:rPr>
          <w:rFonts w:ascii="Arial" w:hAnsi="Arial"/>
          <w:b/>
          <w:sz w:val="28"/>
        </w:rPr>
        <w:t>Quality Control – N/A</w:t>
      </w:r>
    </w:p>
    <w:p w:rsidR="0032596D" w:rsidRDefault="0032596D">
      <w:pPr>
        <w:rPr>
          <w:rFonts w:ascii="Arial" w:hAnsi="Arial"/>
          <w:b/>
          <w:sz w:val="28"/>
        </w:rPr>
      </w:pPr>
    </w:p>
    <w:p w:rsidR="0032596D" w:rsidRDefault="0032596D">
      <w:pPr>
        <w:numPr>
          <w:ilvl w:val="0"/>
          <w:numId w:val="1"/>
        </w:numPr>
        <w:rPr>
          <w:rFonts w:ascii="Arial" w:hAnsi="Arial"/>
          <w:b/>
          <w:sz w:val="28"/>
        </w:rPr>
      </w:pPr>
      <w:r>
        <w:rPr>
          <w:rFonts w:ascii="Arial" w:hAnsi="Arial"/>
          <w:b/>
          <w:sz w:val="28"/>
        </w:rPr>
        <w:t>Procedure</w:t>
      </w:r>
    </w:p>
    <w:p w:rsidR="00C9649C" w:rsidRDefault="00C9649C" w:rsidP="00C9649C">
      <w:pPr>
        <w:pStyle w:val="ListParagraph"/>
        <w:rPr>
          <w:rFonts w:ascii="Arial" w:hAnsi="Arial"/>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0"/>
      </w:tblGrid>
      <w:tr w:rsidR="00C9649C" w:rsidRPr="00490A85" w:rsidTr="002B6482">
        <w:trPr>
          <w:jc w:val="center"/>
        </w:trPr>
        <w:tc>
          <w:tcPr>
            <w:tcW w:w="8750" w:type="dxa"/>
            <w:shd w:val="clear" w:color="auto" w:fill="auto"/>
          </w:tcPr>
          <w:p w:rsidR="00C9649C" w:rsidRPr="00490A85" w:rsidRDefault="00C9649C" w:rsidP="002B6482">
            <w:pPr>
              <w:numPr>
                <w:ilvl w:val="1"/>
                <w:numId w:val="1"/>
              </w:numPr>
              <w:tabs>
                <w:tab w:val="clear" w:pos="1571"/>
              </w:tabs>
              <w:ind w:left="698"/>
              <w:rPr>
                <w:rFonts w:ascii="Arial" w:hAnsi="Arial"/>
                <w:b/>
                <w:sz w:val="28"/>
              </w:rPr>
            </w:pPr>
            <w:r w:rsidRPr="00490A85">
              <w:rPr>
                <w:rFonts w:ascii="Arial" w:hAnsi="Arial"/>
                <w:sz w:val="24"/>
              </w:rPr>
              <w:t>When informed that a product that is on the Special Access Program (SAP) is being requested you must alert the Physician that the product is only available through SAP.</w:t>
            </w:r>
          </w:p>
        </w:tc>
      </w:tr>
      <w:tr w:rsidR="00C9649C" w:rsidRPr="00490A85" w:rsidTr="002B6482">
        <w:trPr>
          <w:jc w:val="center"/>
        </w:trPr>
        <w:tc>
          <w:tcPr>
            <w:tcW w:w="8750" w:type="dxa"/>
            <w:shd w:val="clear" w:color="auto" w:fill="auto"/>
          </w:tcPr>
          <w:p w:rsidR="00C9649C" w:rsidRPr="00490A85" w:rsidRDefault="00C9649C" w:rsidP="002B6482">
            <w:pPr>
              <w:numPr>
                <w:ilvl w:val="1"/>
                <w:numId w:val="1"/>
              </w:numPr>
              <w:tabs>
                <w:tab w:val="clear" w:pos="1571"/>
              </w:tabs>
              <w:ind w:left="698"/>
              <w:rPr>
                <w:rFonts w:ascii="Arial" w:hAnsi="Arial"/>
                <w:sz w:val="24"/>
              </w:rPr>
            </w:pPr>
            <w:r w:rsidRPr="00490A85">
              <w:rPr>
                <w:rFonts w:ascii="Arial" w:hAnsi="Arial"/>
                <w:sz w:val="24"/>
              </w:rPr>
              <w:t>Request a requisition with patient’s stamped addressograph, Dr.’s name, product required and dosage. Record time of receipt on requisition.</w:t>
            </w:r>
          </w:p>
        </w:tc>
      </w:tr>
      <w:tr w:rsidR="00C9649C" w:rsidRPr="00490A85" w:rsidTr="002B6482">
        <w:trPr>
          <w:jc w:val="center"/>
        </w:trPr>
        <w:tc>
          <w:tcPr>
            <w:tcW w:w="8750" w:type="dxa"/>
            <w:shd w:val="clear" w:color="auto" w:fill="auto"/>
          </w:tcPr>
          <w:p w:rsidR="00C9649C" w:rsidRPr="00490A85" w:rsidRDefault="00C9649C" w:rsidP="002B6482">
            <w:pPr>
              <w:numPr>
                <w:ilvl w:val="1"/>
                <w:numId w:val="1"/>
              </w:numPr>
              <w:tabs>
                <w:tab w:val="clear" w:pos="1571"/>
              </w:tabs>
              <w:ind w:left="698"/>
              <w:rPr>
                <w:rFonts w:ascii="Arial" w:hAnsi="Arial"/>
                <w:sz w:val="24"/>
              </w:rPr>
            </w:pPr>
            <w:r w:rsidRPr="00490A85">
              <w:rPr>
                <w:rFonts w:ascii="Arial" w:hAnsi="Arial"/>
                <w:sz w:val="24"/>
              </w:rPr>
              <w:t xml:space="preserve">Request the Physician to complete the SAP Request form and return to the Transfusion Service Laboratory. Access the most current version at </w:t>
            </w:r>
            <w:hyperlink r:id="rId7" w:history="1">
              <w:r w:rsidRPr="00490A85">
                <w:rPr>
                  <w:rStyle w:val="Hyperlink"/>
                  <w:rFonts w:ascii="Arial" w:hAnsi="Arial"/>
                  <w:sz w:val="24"/>
                </w:rPr>
                <w:t>http://www.hc-sc.gc.ca/dhp-mps/alt_formats/hpfb-dgpsa/pdf/acces/sapf1_pasf1-eng.pdf</w:t>
              </w:r>
            </w:hyperlink>
            <w:r w:rsidRPr="00490A85">
              <w:rPr>
                <w:rFonts w:ascii="Arial" w:hAnsi="Arial"/>
                <w:sz w:val="24"/>
              </w:rPr>
              <w:t>. Instructions for the physician are included with the form.</w:t>
            </w:r>
          </w:p>
        </w:tc>
      </w:tr>
      <w:tr w:rsidR="00C9649C" w:rsidRPr="00490A85" w:rsidTr="002B6482">
        <w:trPr>
          <w:jc w:val="center"/>
        </w:trPr>
        <w:tc>
          <w:tcPr>
            <w:tcW w:w="8750" w:type="dxa"/>
            <w:shd w:val="clear" w:color="auto" w:fill="auto"/>
          </w:tcPr>
          <w:p w:rsidR="00C9649C" w:rsidRPr="00C9649C" w:rsidRDefault="00C9649C" w:rsidP="002B6482">
            <w:pPr>
              <w:pStyle w:val="BodyTextIndent2"/>
              <w:numPr>
                <w:ilvl w:val="1"/>
                <w:numId w:val="1"/>
              </w:numPr>
              <w:tabs>
                <w:tab w:val="clear" w:pos="1571"/>
              </w:tabs>
              <w:ind w:left="698"/>
            </w:pPr>
            <w:r>
              <w:t>Upon receipt of the completed form fax it immediately to the SAP contact number identified on the form as per instructions included in the form. Telephone calls should be reserved for urgent requests requiring immediate attention.</w:t>
            </w:r>
          </w:p>
        </w:tc>
      </w:tr>
      <w:tr w:rsidR="00C9649C" w:rsidRPr="00490A85" w:rsidTr="002B6482">
        <w:trPr>
          <w:jc w:val="center"/>
        </w:trPr>
        <w:tc>
          <w:tcPr>
            <w:tcW w:w="8750" w:type="dxa"/>
            <w:shd w:val="clear" w:color="auto" w:fill="auto"/>
          </w:tcPr>
          <w:p w:rsidR="00C9649C" w:rsidRPr="00490A85" w:rsidRDefault="00C9649C" w:rsidP="002B6482">
            <w:pPr>
              <w:pStyle w:val="BodyTextIndent2"/>
              <w:numPr>
                <w:ilvl w:val="1"/>
                <w:numId w:val="1"/>
              </w:numPr>
              <w:tabs>
                <w:tab w:val="clear" w:pos="1571"/>
              </w:tabs>
              <w:ind w:left="698"/>
              <w:rPr>
                <w:b/>
                <w:sz w:val="28"/>
              </w:rPr>
            </w:pPr>
            <w:r>
              <w:t>Inform your local blood center of the request to SAP. This can be done by telephone (document call) or by faxing a blood order form to the center with the notation: The following Products/Volumes have been requested from SAP. Then list the products/volumes.</w:t>
            </w:r>
          </w:p>
        </w:tc>
      </w:tr>
      <w:tr w:rsidR="00C9649C" w:rsidRPr="00490A85" w:rsidTr="002B6482">
        <w:trPr>
          <w:jc w:val="center"/>
        </w:trPr>
        <w:tc>
          <w:tcPr>
            <w:tcW w:w="8750" w:type="dxa"/>
            <w:shd w:val="clear" w:color="auto" w:fill="auto"/>
          </w:tcPr>
          <w:p w:rsidR="00C9649C" w:rsidRPr="00C9649C" w:rsidRDefault="00C9649C" w:rsidP="002B6482">
            <w:pPr>
              <w:pStyle w:val="BodyTextIndent2"/>
              <w:numPr>
                <w:ilvl w:val="1"/>
                <w:numId w:val="1"/>
              </w:numPr>
              <w:tabs>
                <w:tab w:val="clear" w:pos="1571"/>
              </w:tabs>
              <w:ind w:left="698"/>
            </w:pPr>
            <w:r>
              <w:t>The products will be shipped from CBS when the approval is received. During regular working hours use your routine delivery schedule (unless patient requires the product urgently). After hours the emergency issue procedures will be followed.</w:t>
            </w:r>
          </w:p>
        </w:tc>
      </w:tr>
    </w:tbl>
    <w:p w:rsidR="002B6482" w:rsidRDefault="002B6482" w:rsidP="00C9649C">
      <w:pPr>
        <w:ind w:left="709"/>
        <w:rPr>
          <w:rFonts w:ascii="Arial" w:hAnsi="Arial"/>
          <w:b/>
          <w:sz w:val="24"/>
          <w:szCs w:val="24"/>
        </w:rPr>
      </w:pPr>
    </w:p>
    <w:p w:rsidR="00C9649C" w:rsidRDefault="0032596D" w:rsidP="00C9649C">
      <w:pPr>
        <w:ind w:left="709"/>
        <w:rPr>
          <w:rFonts w:ascii="Arial" w:hAnsi="Arial"/>
          <w:sz w:val="24"/>
          <w:szCs w:val="24"/>
        </w:rPr>
      </w:pPr>
      <w:r w:rsidRPr="00C9649C">
        <w:rPr>
          <w:rFonts w:ascii="Arial" w:hAnsi="Arial"/>
          <w:b/>
          <w:sz w:val="24"/>
          <w:szCs w:val="24"/>
        </w:rPr>
        <w:t>SAP Contact Information:</w:t>
      </w:r>
      <w:r w:rsidRPr="00C9649C">
        <w:rPr>
          <w:rFonts w:ascii="Arial" w:hAnsi="Arial"/>
          <w:sz w:val="24"/>
          <w:szCs w:val="24"/>
        </w:rPr>
        <w:t xml:space="preserve"> </w:t>
      </w:r>
    </w:p>
    <w:p w:rsidR="0032596D" w:rsidRPr="00C9649C" w:rsidRDefault="0032596D" w:rsidP="00C9649C">
      <w:pPr>
        <w:ind w:left="709"/>
        <w:rPr>
          <w:rFonts w:ascii="Arial" w:hAnsi="Arial"/>
          <w:sz w:val="24"/>
          <w:szCs w:val="24"/>
        </w:rPr>
      </w:pPr>
      <w:r w:rsidRPr="00C9649C">
        <w:rPr>
          <w:rFonts w:ascii="Arial" w:hAnsi="Arial"/>
          <w:sz w:val="24"/>
          <w:szCs w:val="24"/>
        </w:rPr>
        <w:t xml:space="preserve">The SAP business hours are 8:30 am to 4:30 pm E.S.T., Monday to Friday. An </w:t>
      </w:r>
      <w:proofErr w:type="gramStart"/>
      <w:r w:rsidRPr="00C9649C">
        <w:rPr>
          <w:rFonts w:ascii="Arial" w:hAnsi="Arial"/>
          <w:b/>
          <w:sz w:val="24"/>
          <w:szCs w:val="24"/>
        </w:rPr>
        <w:t>On</w:t>
      </w:r>
      <w:proofErr w:type="gramEnd"/>
      <w:r w:rsidRPr="00C9649C">
        <w:rPr>
          <w:rFonts w:ascii="Arial" w:hAnsi="Arial"/>
          <w:b/>
          <w:sz w:val="24"/>
          <w:szCs w:val="24"/>
        </w:rPr>
        <w:t xml:space="preserve"> Call service is available after-hours for emergency situations by telephoning (613) 941-3061.</w:t>
      </w:r>
      <w:r w:rsidRPr="00C9649C">
        <w:rPr>
          <w:rFonts w:ascii="Arial" w:hAnsi="Arial"/>
          <w:sz w:val="24"/>
          <w:szCs w:val="24"/>
        </w:rPr>
        <w:t xml:space="preserve"> Calls to this number should be limited to requests requiring immediate or overnight drug delivery. </w:t>
      </w:r>
    </w:p>
    <w:p w:rsidR="0032596D" w:rsidRPr="00C9649C" w:rsidRDefault="0032596D" w:rsidP="00C9649C">
      <w:pPr>
        <w:pStyle w:val="Blockquote"/>
        <w:ind w:left="709"/>
        <w:rPr>
          <w:rFonts w:ascii="Arial" w:hAnsi="Arial"/>
          <w:sz w:val="22"/>
          <w:szCs w:val="22"/>
        </w:rPr>
      </w:pPr>
      <w:r w:rsidRPr="00C9649C">
        <w:rPr>
          <w:rFonts w:ascii="Arial" w:hAnsi="Arial"/>
          <w:b/>
          <w:sz w:val="22"/>
          <w:szCs w:val="22"/>
        </w:rPr>
        <w:t xml:space="preserve">Fax: </w:t>
      </w:r>
      <w:r w:rsidRPr="00C9649C">
        <w:rPr>
          <w:rFonts w:ascii="Arial" w:hAnsi="Arial"/>
          <w:sz w:val="22"/>
          <w:szCs w:val="22"/>
        </w:rPr>
        <w:t xml:space="preserve">(613) 941-3194 </w:t>
      </w:r>
      <w:r w:rsidRPr="00C9649C">
        <w:rPr>
          <w:rFonts w:ascii="Arial" w:hAnsi="Arial"/>
          <w:sz w:val="22"/>
          <w:szCs w:val="22"/>
        </w:rPr>
        <w:br/>
      </w:r>
      <w:r w:rsidRPr="00C9649C">
        <w:rPr>
          <w:rFonts w:ascii="Arial" w:hAnsi="Arial"/>
          <w:b/>
          <w:sz w:val="22"/>
          <w:szCs w:val="22"/>
        </w:rPr>
        <w:t xml:space="preserve">Tel: </w:t>
      </w:r>
      <w:r w:rsidRPr="00C9649C">
        <w:rPr>
          <w:rFonts w:ascii="Arial" w:hAnsi="Arial"/>
          <w:sz w:val="22"/>
          <w:szCs w:val="22"/>
        </w:rPr>
        <w:t xml:space="preserve">(613) 941-2108 </w:t>
      </w:r>
      <w:r w:rsidRPr="00C9649C">
        <w:rPr>
          <w:rFonts w:ascii="Arial" w:hAnsi="Arial"/>
          <w:sz w:val="22"/>
          <w:szCs w:val="22"/>
        </w:rPr>
        <w:br/>
      </w:r>
      <w:r w:rsidRPr="00C9649C">
        <w:rPr>
          <w:rFonts w:ascii="Arial" w:hAnsi="Arial"/>
          <w:b/>
          <w:sz w:val="22"/>
          <w:szCs w:val="22"/>
        </w:rPr>
        <w:t xml:space="preserve">E-mail: </w:t>
      </w:r>
      <w:hyperlink r:id="rId8" w:history="1">
        <w:r w:rsidRPr="00C9649C">
          <w:rPr>
            <w:rStyle w:val="Hyperlink"/>
            <w:rFonts w:ascii="Arial" w:hAnsi="Arial"/>
            <w:sz w:val="22"/>
            <w:szCs w:val="22"/>
          </w:rPr>
          <w:t>SAPdrugs@hc-sc.gc.ca</w:t>
        </w:r>
      </w:hyperlink>
      <w:r w:rsidRPr="00C9649C">
        <w:rPr>
          <w:rFonts w:ascii="Arial" w:hAnsi="Arial"/>
          <w:sz w:val="22"/>
          <w:szCs w:val="22"/>
        </w:rPr>
        <w:t xml:space="preserve"> </w:t>
      </w:r>
      <w:r w:rsidRPr="00C9649C">
        <w:rPr>
          <w:rFonts w:ascii="Arial" w:hAnsi="Arial"/>
          <w:sz w:val="22"/>
          <w:szCs w:val="22"/>
        </w:rPr>
        <w:br/>
      </w:r>
      <w:r w:rsidRPr="00C9649C">
        <w:rPr>
          <w:rFonts w:ascii="Arial" w:hAnsi="Arial"/>
          <w:b/>
          <w:sz w:val="22"/>
          <w:szCs w:val="22"/>
        </w:rPr>
        <w:t>Web Site:</w:t>
      </w:r>
      <w:r w:rsidRPr="00C9649C">
        <w:rPr>
          <w:rFonts w:ascii="Arial" w:hAnsi="Arial"/>
          <w:sz w:val="22"/>
          <w:szCs w:val="22"/>
        </w:rPr>
        <w:t xml:space="preserve"> </w:t>
      </w:r>
      <w:hyperlink r:id="rId9" w:history="1">
        <w:r w:rsidR="00016329" w:rsidRPr="00C9649C">
          <w:rPr>
            <w:rStyle w:val="Hyperlink"/>
            <w:rFonts w:ascii="Arial" w:hAnsi="Arial"/>
            <w:sz w:val="22"/>
            <w:szCs w:val="22"/>
          </w:rPr>
          <w:t>http://</w:t>
        </w:r>
        <w:r w:rsidR="00016329" w:rsidRPr="00C9649C">
          <w:rPr>
            <w:rStyle w:val="Hyperlink"/>
            <w:rFonts w:ascii="Arial" w:hAnsi="Arial"/>
            <w:sz w:val="22"/>
            <w:szCs w:val="22"/>
          </w:rPr>
          <w:t>w</w:t>
        </w:r>
        <w:r w:rsidR="00016329" w:rsidRPr="00C9649C">
          <w:rPr>
            <w:rStyle w:val="Hyperlink"/>
            <w:rFonts w:ascii="Arial" w:hAnsi="Arial"/>
            <w:sz w:val="22"/>
            <w:szCs w:val="22"/>
          </w:rPr>
          <w:t>ww.hc-sc.gc.ca/dhp-mps/acces/drugs-drogues/index-eng.php</w:t>
        </w:r>
      </w:hyperlink>
      <w:r w:rsidR="00016329" w:rsidRPr="00C9649C">
        <w:rPr>
          <w:rFonts w:ascii="Arial" w:hAnsi="Arial"/>
          <w:sz w:val="22"/>
          <w:szCs w:val="22"/>
        </w:rPr>
        <w:t xml:space="preserve"> </w:t>
      </w:r>
    </w:p>
    <w:tbl>
      <w:tblPr>
        <w:tblW w:w="9359" w:type="dxa"/>
        <w:jc w:val="center"/>
        <w:tblLayout w:type="fixed"/>
        <w:tblCellMar>
          <w:left w:w="0" w:type="dxa"/>
          <w:right w:w="0" w:type="dxa"/>
        </w:tblCellMar>
        <w:tblLook w:val="0000" w:firstRow="0" w:lastRow="0" w:firstColumn="0" w:lastColumn="0" w:noHBand="0" w:noVBand="0"/>
      </w:tblPr>
      <w:tblGrid>
        <w:gridCol w:w="3056"/>
        <w:gridCol w:w="6303"/>
      </w:tblGrid>
      <w:tr w:rsidR="0032596D" w:rsidRPr="00C9649C">
        <w:tblPrEx>
          <w:tblCellMar>
            <w:top w:w="0" w:type="dxa"/>
            <w:left w:w="0" w:type="dxa"/>
            <w:bottom w:w="0" w:type="dxa"/>
            <w:right w:w="0" w:type="dxa"/>
          </w:tblCellMar>
        </w:tblPrEx>
        <w:trPr>
          <w:jc w:val="center"/>
        </w:trPr>
        <w:tc>
          <w:tcPr>
            <w:tcW w:w="3056" w:type="dxa"/>
          </w:tcPr>
          <w:p w:rsidR="00C9649C" w:rsidRDefault="00C9649C" w:rsidP="00C9649C">
            <w:pPr>
              <w:ind w:left="997"/>
              <w:rPr>
                <w:rFonts w:ascii="Arial" w:hAnsi="Arial"/>
                <w:sz w:val="24"/>
                <w:szCs w:val="24"/>
              </w:rPr>
            </w:pPr>
          </w:p>
          <w:p w:rsidR="0032596D" w:rsidRPr="00C9649C" w:rsidRDefault="0032596D" w:rsidP="00C9649C">
            <w:pPr>
              <w:ind w:left="997"/>
              <w:rPr>
                <w:rFonts w:ascii="Arial" w:hAnsi="Arial"/>
                <w:sz w:val="24"/>
                <w:szCs w:val="24"/>
              </w:rPr>
            </w:pPr>
            <w:r w:rsidRPr="00C9649C">
              <w:rPr>
                <w:rFonts w:ascii="Arial" w:hAnsi="Arial"/>
                <w:sz w:val="24"/>
                <w:szCs w:val="24"/>
              </w:rPr>
              <w:lastRenderedPageBreak/>
              <w:fldChar w:fldCharType="begin"/>
            </w:r>
            <w:r w:rsidRPr="00C9649C">
              <w:rPr>
                <w:rFonts w:ascii="Arial" w:hAnsi="Arial"/>
                <w:sz w:val="24"/>
                <w:szCs w:val="24"/>
              </w:rPr>
              <w:instrText>PRIVATE</w:instrText>
            </w:r>
            <w:r w:rsidRPr="00C9649C">
              <w:rPr>
                <w:rFonts w:ascii="Arial" w:hAnsi="Arial"/>
                <w:sz w:val="24"/>
                <w:szCs w:val="24"/>
              </w:rPr>
            </w:r>
            <w:r w:rsidRPr="00C9649C">
              <w:rPr>
                <w:rFonts w:ascii="Arial" w:hAnsi="Arial"/>
                <w:sz w:val="24"/>
                <w:szCs w:val="24"/>
              </w:rPr>
              <w:fldChar w:fldCharType="end"/>
            </w:r>
            <w:r w:rsidRPr="00C9649C">
              <w:rPr>
                <w:rFonts w:ascii="Arial" w:hAnsi="Arial"/>
                <w:b/>
                <w:sz w:val="24"/>
                <w:szCs w:val="24"/>
              </w:rPr>
              <w:t>Mailing Address:</w:t>
            </w:r>
          </w:p>
        </w:tc>
        <w:tc>
          <w:tcPr>
            <w:tcW w:w="6303" w:type="dxa"/>
            <w:vAlign w:val="center"/>
          </w:tcPr>
          <w:p w:rsidR="00C9649C" w:rsidRDefault="00C9649C">
            <w:pPr>
              <w:rPr>
                <w:rFonts w:ascii="Arial" w:hAnsi="Arial"/>
                <w:sz w:val="24"/>
                <w:szCs w:val="24"/>
              </w:rPr>
            </w:pPr>
          </w:p>
          <w:p w:rsidR="0032596D" w:rsidRPr="00C9649C" w:rsidRDefault="0032596D">
            <w:pPr>
              <w:rPr>
                <w:rFonts w:ascii="Arial" w:hAnsi="Arial"/>
                <w:sz w:val="24"/>
                <w:szCs w:val="24"/>
              </w:rPr>
            </w:pPr>
            <w:r w:rsidRPr="00C9649C">
              <w:rPr>
                <w:rFonts w:ascii="Arial" w:hAnsi="Arial"/>
                <w:sz w:val="24"/>
                <w:szCs w:val="24"/>
              </w:rPr>
              <w:lastRenderedPageBreak/>
              <w:t xml:space="preserve">Therapeutic Products Directorate </w:t>
            </w:r>
            <w:r w:rsidRPr="00C9649C">
              <w:rPr>
                <w:rFonts w:ascii="Arial" w:hAnsi="Arial"/>
                <w:sz w:val="24"/>
                <w:szCs w:val="24"/>
              </w:rPr>
              <w:br/>
              <w:t>Finance Building, 2</w:t>
            </w:r>
            <w:r w:rsidRPr="00C9649C">
              <w:rPr>
                <w:rFonts w:ascii="Arial" w:hAnsi="Arial"/>
                <w:sz w:val="24"/>
                <w:szCs w:val="24"/>
                <w:vertAlign w:val="superscript"/>
              </w:rPr>
              <w:t>nd</w:t>
            </w:r>
            <w:r w:rsidRPr="00C9649C">
              <w:rPr>
                <w:rFonts w:ascii="Arial" w:hAnsi="Arial"/>
                <w:sz w:val="24"/>
                <w:szCs w:val="24"/>
              </w:rPr>
              <w:t xml:space="preserve"> Floor </w:t>
            </w:r>
            <w:r w:rsidRPr="00C9649C">
              <w:rPr>
                <w:rFonts w:ascii="Arial" w:hAnsi="Arial"/>
                <w:sz w:val="24"/>
                <w:szCs w:val="24"/>
              </w:rPr>
              <w:br/>
              <w:t xml:space="preserve">PL 0202C1, Tunney's Pasture </w:t>
            </w:r>
            <w:r w:rsidRPr="00C9649C">
              <w:rPr>
                <w:rFonts w:ascii="Arial" w:hAnsi="Arial"/>
                <w:sz w:val="24"/>
                <w:szCs w:val="24"/>
              </w:rPr>
              <w:br/>
              <w:t>Ottawa, ON, K1A 1B9</w:t>
            </w:r>
          </w:p>
        </w:tc>
      </w:tr>
    </w:tbl>
    <w:p w:rsidR="0032596D" w:rsidRDefault="0032596D">
      <w:pPr>
        <w:spacing w:line="228" w:lineRule="auto"/>
        <w:rPr>
          <w:rFonts w:ascii="Arial" w:hAnsi="Arial"/>
          <w:sz w:val="24"/>
        </w:rPr>
      </w:pPr>
    </w:p>
    <w:p w:rsidR="0032596D" w:rsidRDefault="0032596D">
      <w:pPr>
        <w:numPr>
          <w:ilvl w:val="0"/>
          <w:numId w:val="1"/>
        </w:numPr>
        <w:spacing w:line="228" w:lineRule="auto"/>
        <w:rPr>
          <w:rFonts w:ascii="Arial" w:hAnsi="Arial"/>
          <w:b/>
          <w:sz w:val="28"/>
        </w:rPr>
      </w:pPr>
      <w:r>
        <w:rPr>
          <w:rFonts w:ascii="Arial" w:hAnsi="Arial"/>
          <w:b/>
          <w:sz w:val="28"/>
        </w:rPr>
        <w:t>Reporting – N/A</w:t>
      </w:r>
    </w:p>
    <w:p w:rsidR="0032596D" w:rsidRDefault="0032596D">
      <w:pPr>
        <w:spacing w:line="228" w:lineRule="auto"/>
        <w:ind w:left="720"/>
        <w:rPr>
          <w:rFonts w:ascii="Arial" w:hAnsi="Arial"/>
          <w:sz w:val="24"/>
        </w:rPr>
      </w:pPr>
    </w:p>
    <w:p w:rsidR="0032596D" w:rsidRDefault="0032596D">
      <w:pPr>
        <w:numPr>
          <w:ilvl w:val="0"/>
          <w:numId w:val="1"/>
        </w:numPr>
        <w:spacing w:line="228" w:lineRule="auto"/>
        <w:rPr>
          <w:rFonts w:ascii="Arial" w:hAnsi="Arial"/>
          <w:b/>
          <w:sz w:val="28"/>
        </w:rPr>
      </w:pPr>
      <w:r>
        <w:rPr>
          <w:rFonts w:ascii="Arial" w:hAnsi="Arial"/>
          <w:b/>
          <w:sz w:val="28"/>
        </w:rPr>
        <w:t>Procedural Notes – N/A</w:t>
      </w:r>
    </w:p>
    <w:p w:rsidR="0032596D" w:rsidRDefault="0032596D">
      <w:pPr>
        <w:spacing w:line="228" w:lineRule="auto"/>
        <w:rPr>
          <w:rFonts w:ascii="Arial" w:hAnsi="Arial"/>
          <w:sz w:val="24"/>
        </w:rPr>
      </w:pPr>
    </w:p>
    <w:p w:rsidR="0032596D" w:rsidRDefault="0032596D">
      <w:pPr>
        <w:numPr>
          <w:ilvl w:val="0"/>
          <w:numId w:val="1"/>
        </w:numPr>
        <w:spacing w:line="228" w:lineRule="auto"/>
        <w:rPr>
          <w:rFonts w:ascii="Arial" w:hAnsi="Arial"/>
          <w:b/>
          <w:sz w:val="28"/>
        </w:rPr>
      </w:pPr>
      <w:r>
        <w:rPr>
          <w:rFonts w:ascii="Arial" w:hAnsi="Arial"/>
          <w:b/>
          <w:sz w:val="28"/>
        </w:rPr>
        <w:t>References</w:t>
      </w:r>
      <w:r w:rsidR="00016329">
        <w:rPr>
          <w:rFonts w:ascii="Arial" w:hAnsi="Arial"/>
          <w:b/>
          <w:sz w:val="28"/>
        </w:rPr>
        <w:t xml:space="preserve"> – N/A</w:t>
      </w:r>
    </w:p>
    <w:p w:rsidR="00F879AF" w:rsidRPr="00F879AF" w:rsidRDefault="00F879AF" w:rsidP="00F879AF">
      <w:pPr>
        <w:pStyle w:val="ListParagraph"/>
        <w:rPr>
          <w:rFonts w:ascii="Arial" w:hAnsi="Arial"/>
          <w:b/>
          <w:sz w:val="24"/>
        </w:rPr>
      </w:pPr>
    </w:p>
    <w:p w:rsidR="00F879AF" w:rsidRDefault="00F879AF">
      <w:pPr>
        <w:numPr>
          <w:ilvl w:val="0"/>
          <w:numId w:val="1"/>
        </w:numPr>
        <w:spacing w:line="228" w:lineRule="auto"/>
        <w:rPr>
          <w:rFonts w:ascii="Arial" w:hAnsi="Arial"/>
          <w:b/>
          <w:sz w:val="28"/>
        </w:rPr>
      </w:pPr>
      <w:r>
        <w:rPr>
          <w:rFonts w:ascii="Arial" w:hAnsi="Arial"/>
          <w:b/>
          <w:sz w:val="28"/>
        </w:rPr>
        <w:t>Revision History</w:t>
      </w:r>
    </w:p>
    <w:p w:rsidR="00F879AF" w:rsidRDefault="00F879AF" w:rsidP="00F879AF">
      <w:pPr>
        <w:pStyle w:val="ListParagraph"/>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15"/>
      </w:tblGrid>
      <w:tr w:rsidR="00F879AF" w:rsidRPr="00490A85" w:rsidTr="00490A85">
        <w:tc>
          <w:tcPr>
            <w:tcW w:w="3085" w:type="dxa"/>
            <w:shd w:val="clear" w:color="auto" w:fill="BFBFBF"/>
          </w:tcPr>
          <w:p w:rsidR="00F879AF" w:rsidRPr="00490A85" w:rsidRDefault="00F879AF" w:rsidP="00490A85">
            <w:pPr>
              <w:spacing w:line="228" w:lineRule="auto"/>
              <w:rPr>
                <w:rFonts w:ascii="Arial" w:hAnsi="Arial"/>
                <w:b/>
                <w:sz w:val="22"/>
                <w:szCs w:val="22"/>
              </w:rPr>
            </w:pPr>
            <w:r w:rsidRPr="00490A85">
              <w:rPr>
                <w:rFonts w:ascii="Arial" w:hAnsi="Arial"/>
                <w:b/>
                <w:sz w:val="22"/>
                <w:szCs w:val="22"/>
              </w:rPr>
              <w:t>Revision Date</w:t>
            </w:r>
          </w:p>
        </w:tc>
        <w:tc>
          <w:tcPr>
            <w:tcW w:w="5915" w:type="dxa"/>
            <w:shd w:val="clear" w:color="auto" w:fill="BFBFBF"/>
          </w:tcPr>
          <w:p w:rsidR="00F879AF" w:rsidRPr="00490A85" w:rsidRDefault="00F879AF" w:rsidP="00490A85">
            <w:pPr>
              <w:spacing w:line="228" w:lineRule="auto"/>
              <w:rPr>
                <w:rFonts w:ascii="Arial" w:hAnsi="Arial"/>
                <w:b/>
                <w:sz w:val="22"/>
                <w:szCs w:val="22"/>
              </w:rPr>
            </w:pPr>
            <w:r w:rsidRPr="00490A85">
              <w:rPr>
                <w:rFonts w:ascii="Arial" w:hAnsi="Arial"/>
                <w:b/>
                <w:sz w:val="22"/>
                <w:szCs w:val="22"/>
              </w:rPr>
              <w:t>Summary of Revision</w:t>
            </w:r>
          </w:p>
        </w:tc>
      </w:tr>
      <w:tr w:rsidR="00F879AF" w:rsidRPr="00490A85" w:rsidTr="00490A85">
        <w:tc>
          <w:tcPr>
            <w:tcW w:w="3085" w:type="dxa"/>
            <w:shd w:val="clear" w:color="auto" w:fill="auto"/>
          </w:tcPr>
          <w:p w:rsidR="00F879AF" w:rsidRPr="00490A85" w:rsidRDefault="00F879AF" w:rsidP="00490A85">
            <w:pPr>
              <w:spacing w:line="228" w:lineRule="auto"/>
              <w:rPr>
                <w:rFonts w:ascii="Arial" w:hAnsi="Arial"/>
                <w:sz w:val="22"/>
                <w:szCs w:val="22"/>
              </w:rPr>
            </w:pPr>
            <w:r w:rsidRPr="00490A85">
              <w:rPr>
                <w:rFonts w:ascii="Arial" w:hAnsi="Arial"/>
                <w:sz w:val="22"/>
                <w:szCs w:val="22"/>
              </w:rPr>
              <w:t>August 8, 2014</w:t>
            </w:r>
          </w:p>
        </w:tc>
        <w:tc>
          <w:tcPr>
            <w:tcW w:w="5915" w:type="dxa"/>
            <w:shd w:val="clear" w:color="auto" w:fill="auto"/>
          </w:tcPr>
          <w:p w:rsidR="00F879AF" w:rsidRPr="00490A85" w:rsidRDefault="00F879AF" w:rsidP="00490A85">
            <w:pPr>
              <w:numPr>
                <w:ilvl w:val="0"/>
                <w:numId w:val="18"/>
              </w:numPr>
              <w:spacing w:line="228" w:lineRule="auto"/>
              <w:rPr>
                <w:rFonts w:ascii="Arial" w:hAnsi="Arial"/>
                <w:sz w:val="22"/>
                <w:szCs w:val="22"/>
              </w:rPr>
            </w:pPr>
            <w:r w:rsidRPr="00490A85">
              <w:rPr>
                <w:rFonts w:ascii="Arial" w:hAnsi="Arial"/>
                <w:sz w:val="22"/>
                <w:szCs w:val="22"/>
              </w:rPr>
              <w:t>Revised name of manual</w:t>
            </w:r>
          </w:p>
          <w:p w:rsidR="00F879AF" w:rsidRPr="00490A85" w:rsidRDefault="00F879AF" w:rsidP="00490A85">
            <w:pPr>
              <w:numPr>
                <w:ilvl w:val="0"/>
                <w:numId w:val="18"/>
              </w:numPr>
              <w:spacing w:line="228" w:lineRule="auto"/>
              <w:rPr>
                <w:rFonts w:ascii="Arial" w:hAnsi="Arial"/>
                <w:sz w:val="22"/>
                <w:szCs w:val="22"/>
              </w:rPr>
            </w:pPr>
            <w:r w:rsidRPr="00490A85">
              <w:rPr>
                <w:rFonts w:ascii="Arial" w:hAnsi="Arial"/>
                <w:sz w:val="22"/>
                <w:szCs w:val="22"/>
              </w:rPr>
              <w:t>Revised section 6.0</w:t>
            </w:r>
          </w:p>
          <w:p w:rsidR="00F879AF" w:rsidRPr="00490A85" w:rsidRDefault="00F879AF" w:rsidP="00490A85">
            <w:pPr>
              <w:numPr>
                <w:ilvl w:val="0"/>
                <w:numId w:val="18"/>
              </w:numPr>
              <w:spacing w:line="228" w:lineRule="auto"/>
              <w:rPr>
                <w:rFonts w:ascii="Arial" w:hAnsi="Arial"/>
                <w:sz w:val="22"/>
                <w:szCs w:val="22"/>
              </w:rPr>
            </w:pPr>
            <w:r w:rsidRPr="00490A85">
              <w:rPr>
                <w:rFonts w:ascii="Arial" w:hAnsi="Arial"/>
                <w:sz w:val="22"/>
                <w:szCs w:val="22"/>
              </w:rPr>
              <w:t xml:space="preserve">Revised list of references </w:t>
            </w:r>
          </w:p>
        </w:tc>
      </w:tr>
    </w:tbl>
    <w:p w:rsidR="00F879AF" w:rsidRDefault="00F879AF" w:rsidP="00F879AF">
      <w:pPr>
        <w:spacing w:line="228" w:lineRule="auto"/>
        <w:rPr>
          <w:rFonts w:ascii="Arial" w:hAnsi="Arial"/>
          <w:b/>
          <w:sz w:val="28"/>
        </w:rPr>
      </w:pPr>
    </w:p>
    <w:p w:rsidR="0032596D" w:rsidRDefault="0032596D">
      <w:pPr>
        <w:rPr>
          <w:rFonts w:ascii="Arial" w:hAnsi="Arial"/>
          <w:sz w:val="24"/>
        </w:rPr>
      </w:pPr>
    </w:p>
    <w:p w:rsidR="0032596D" w:rsidRDefault="0032596D">
      <w:pPr>
        <w:jc w:val="center"/>
      </w:pPr>
    </w:p>
    <w:sectPr w:rsidR="0032596D">
      <w:headerReference w:type="default" r:id="rId10"/>
      <w:footerReference w:type="default" r:id="rId11"/>
      <w:headerReference w:type="first" r:id="rId12"/>
      <w:footerReference w:type="first" r:id="rId13"/>
      <w:pgSz w:w="12240" w:h="15840" w:code="1"/>
      <w:pgMar w:top="1267" w:right="1728" w:bottom="245" w:left="1728"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578" w:rsidRDefault="00DB0578" w:rsidP="0032596D">
      <w:r>
        <w:separator/>
      </w:r>
    </w:p>
  </w:endnote>
  <w:endnote w:type="continuationSeparator" w:id="0">
    <w:p w:rsidR="00DB0578" w:rsidRDefault="00DB0578" w:rsidP="0032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2596D">
      <w:tblPrEx>
        <w:tblCellMar>
          <w:top w:w="0" w:type="dxa"/>
          <w:bottom w:w="0" w:type="dxa"/>
        </w:tblCellMar>
      </w:tblPrEx>
      <w:trPr>
        <w:trHeight w:val="720"/>
      </w:trPr>
      <w:tc>
        <w:tcPr>
          <w:tcW w:w="1368" w:type="dxa"/>
        </w:tcPr>
        <w:p w:rsidR="0032596D" w:rsidRDefault="0032596D">
          <w:pPr>
            <w:pStyle w:val="Footer"/>
            <w:jc w:val="center"/>
            <w:rPr>
              <w:sz w:val="8"/>
            </w:rPr>
          </w:pPr>
        </w:p>
        <w:p w:rsidR="0032596D" w:rsidRDefault="0032596D">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976" w:type="dxa"/>
        </w:tcPr>
        <w:p w:rsidR="0032596D" w:rsidRDefault="0032596D">
          <w:pPr>
            <w:pStyle w:val="Footer"/>
            <w:jc w:val="center"/>
            <w:rPr>
              <w:rFonts w:ascii="Arial" w:hAnsi="Arial"/>
              <w:sz w:val="18"/>
            </w:rPr>
          </w:pPr>
        </w:p>
        <w:p w:rsidR="0032596D" w:rsidRDefault="0032596D">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32596D" w:rsidRDefault="00571B52">
          <w:pPr>
            <w:pStyle w:val="Footer"/>
            <w:jc w:val="center"/>
            <w:rPr>
              <w:rFonts w:ascii="Arial" w:hAnsi="Arial"/>
              <w:sz w:val="18"/>
            </w:rPr>
          </w:pPr>
          <w:r>
            <w:rPr>
              <w:rFonts w:ascii="Arial" w:hAnsi="Arial"/>
              <w:sz w:val="18"/>
            </w:rPr>
            <w:t>Transfusion Technical Resource</w:t>
          </w:r>
          <w:r w:rsidR="00DA1F7B">
            <w:rPr>
              <w:rFonts w:ascii="Arial" w:hAnsi="Arial"/>
              <w:sz w:val="18"/>
            </w:rPr>
            <w:t xml:space="preserve"> </w:t>
          </w:r>
          <w:r w:rsidR="0032596D">
            <w:rPr>
              <w:rFonts w:ascii="Arial" w:hAnsi="Arial"/>
              <w:sz w:val="18"/>
            </w:rPr>
            <w:t>Manual</w:t>
          </w:r>
        </w:p>
        <w:p w:rsidR="0032596D" w:rsidRDefault="0032596D">
          <w:pPr>
            <w:pStyle w:val="Footer"/>
            <w:jc w:val="center"/>
            <w:rPr>
              <w:rFonts w:ascii="Arial" w:hAnsi="Arial"/>
              <w:sz w:val="18"/>
            </w:rPr>
          </w:pPr>
        </w:p>
      </w:tc>
      <w:tc>
        <w:tcPr>
          <w:tcW w:w="1494" w:type="dxa"/>
        </w:tcPr>
        <w:p w:rsidR="0032596D" w:rsidRDefault="0032596D">
          <w:pPr>
            <w:pStyle w:val="Footer"/>
            <w:jc w:val="right"/>
            <w:rPr>
              <w:rFonts w:ascii="Arial" w:hAnsi="Arial"/>
              <w:sz w:val="18"/>
            </w:rPr>
          </w:pPr>
        </w:p>
        <w:p w:rsidR="0032596D" w:rsidRDefault="0032596D">
          <w:pPr>
            <w:pStyle w:val="Footer"/>
            <w:jc w:val="right"/>
            <w:rPr>
              <w:rFonts w:ascii="Arial" w:hAnsi="Arial"/>
              <w:sz w:val="18"/>
            </w:rPr>
          </w:pPr>
          <w:r>
            <w:rPr>
              <w:rFonts w:ascii="Arial" w:hAnsi="Arial"/>
              <w:sz w:val="18"/>
            </w:rPr>
            <w:t xml:space="preserve">IM.010 </w:t>
          </w:r>
          <w:r>
            <w:rPr>
              <w:rFonts w:ascii="Arial" w:hAnsi="Arial"/>
              <w:sz w:val="18"/>
            </w:rPr>
            <w:br/>
          </w:r>
        </w:p>
        <w:p w:rsidR="0032596D" w:rsidRDefault="0032596D">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90C3C">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90C3C">
            <w:rPr>
              <w:rFonts w:ascii="Arial" w:hAnsi="Arial"/>
              <w:noProof/>
              <w:snapToGrid w:val="0"/>
              <w:sz w:val="18"/>
            </w:rPr>
            <w:t>3</w:t>
          </w:r>
          <w:r>
            <w:rPr>
              <w:rFonts w:ascii="Arial" w:hAnsi="Arial"/>
              <w:snapToGrid w:val="0"/>
              <w:sz w:val="18"/>
            </w:rPr>
            <w:fldChar w:fldCharType="end"/>
          </w:r>
        </w:p>
      </w:tc>
    </w:tr>
  </w:tbl>
  <w:p w:rsidR="0032596D" w:rsidRDefault="00325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2596D">
      <w:tblPrEx>
        <w:tblCellMar>
          <w:top w:w="0" w:type="dxa"/>
          <w:bottom w:w="0" w:type="dxa"/>
        </w:tblCellMar>
      </w:tblPrEx>
      <w:trPr>
        <w:trHeight w:val="720"/>
      </w:trPr>
      <w:tc>
        <w:tcPr>
          <w:tcW w:w="1368" w:type="dxa"/>
        </w:tcPr>
        <w:p w:rsidR="0032596D" w:rsidRDefault="0032596D">
          <w:pPr>
            <w:pStyle w:val="Footer"/>
            <w:jc w:val="center"/>
            <w:rPr>
              <w:rFonts w:ascii="Verdana" w:hAnsi="Verdana"/>
              <w:sz w:val="8"/>
            </w:rPr>
          </w:pPr>
        </w:p>
        <w:p w:rsidR="0032596D" w:rsidRDefault="0032596D">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976" w:type="dxa"/>
        </w:tcPr>
        <w:p w:rsidR="0032596D" w:rsidRDefault="0032596D">
          <w:pPr>
            <w:pStyle w:val="Footer"/>
            <w:jc w:val="center"/>
            <w:rPr>
              <w:rFonts w:ascii="Arial" w:hAnsi="Arial"/>
              <w:sz w:val="18"/>
            </w:rPr>
          </w:pPr>
        </w:p>
        <w:p w:rsidR="0032596D" w:rsidRDefault="0032596D">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32596D" w:rsidRDefault="00F879AF">
          <w:pPr>
            <w:pStyle w:val="Footer"/>
            <w:jc w:val="center"/>
            <w:rPr>
              <w:rFonts w:ascii="Arial" w:hAnsi="Arial"/>
              <w:sz w:val="18"/>
            </w:rPr>
          </w:pPr>
          <w:r>
            <w:rPr>
              <w:rFonts w:ascii="Arial" w:hAnsi="Arial"/>
              <w:sz w:val="18"/>
            </w:rPr>
            <w:t>Transfusion Technical Resource Manual</w:t>
          </w:r>
        </w:p>
        <w:p w:rsidR="0032596D" w:rsidRDefault="0032596D">
          <w:pPr>
            <w:pStyle w:val="Footer"/>
            <w:jc w:val="center"/>
            <w:rPr>
              <w:rFonts w:ascii="Arial" w:hAnsi="Arial"/>
              <w:sz w:val="18"/>
            </w:rPr>
          </w:pPr>
        </w:p>
      </w:tc>
      <w:tc>
        <w:tcPr>
          <w:tcW w:w="1494" w:type="dxa"/>
        </w:tcPr>
        <w:p w:rsidR="0032596D" w:rsidRDefault="0032596D">
          <w:pPr>
            <w:pStyle w:val="Footer"/>
            <w:jc w:val="right"/>
            <w:rPr>
              <w:rFonts w:ascii="Arial" w:hAnsi="Arial"/>
              <w:sz w:val="18"/>
            </w:rPr>
          </w:pPr>
        </w:p>
        <w:p w:rsidR="0032596D" w:rsidRDefault="0032596D">
          <w:pPr>
            <w:pStyle w:val="Footer"/>
            <w:jc w:val="right"/>
            <w:rPr>
              <w:rFonts w:ascii="Arial" w:hAnsi="Arial"/>
              <w:sz w:val="18"/>
            </w:rPr>
          </w:pPr>
          <w:r>
            <w:rPr>
              <w:rFonts w:ascii="Arial" w:hAnsi="Arial"/>
              <w:sz w:val="18"/>
            </w:rPr>
            <w:t xml:space="preserve">IM.010 </w:t>
          </w:r>
          <w:r>
            <w:rPr>
              <w:rFonts w:ascii="Arial" w:hAnsi="Arial"/>
              <w:sz w:val="18"/>
            </w:rPr>
            <w:br/>
          </w:r>
        </w:p>
        <w:p w:rsidR="0032596D" w:rsidRDefault="0032596D">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90C3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90C3C">
            <w:rPr>
              <w:rFonts w:ascii="Arial" w:hAnsi="Arial"/>
              <w:noProof/>
              <w:snapToGrid w:val="0"/>
              <w:sz w:val="18"/>
            </w:rPr>
            <w:t>1</w:t>
          </w:r>
          <w:r>
            <w:rPr>
              <w:rFonts w:ascii="Arial" w:hAnsi="Arial"/>
              <w:snapToGrid w:val="0"/>
              <w:sz w:val="18"/>
            </w:rPr>
            <w:fldChar w:fldCharType="end"/>
          </w:r>
        </w:p>
      </w:tc>
    </w:tr>
  </w:tbl>
  <w:p w:rsidR="0032596D" w:rsidRDefault="0032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578" w:rsidRDefault="00DB0578" w:rsidP="0032596D">
      <w:r>
        <w:separator/>
      </w:r>
    </w:p>
  </w:footnote>
  <w:footnote w:type="continuationSeparator" w:id="0">
    <w:p w:rsidR="00DB0578" w:rsidRDefault="00DB0578" w:rsidP="0032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96D" w:rsidRDefault="0032596D">
    <w:pPr>
      <w:pStyle w:val="Header"/>
      <w:jc w:val="center"/>
      <w:rPr>
        <w:rFonts w:ascii="Arial" w:hAnsi="Arial"/>
        <w:b/>
        <w:sz w:val="28"/>
      </w:rPr>
    </w:pPr>
    <w:r>
      <w:rPr>
        <w:rFonts w:ascii="Arial" w:hAnsi="Arial"/>
        <w:b/>
        <w:sz w:val="28"/>
      </w:rPr>
      <w:t>Special Access Program Requests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96D" w:rsidRDefault="00C9649C">
    <w:pPr>
      <w:pStyle w:val="Header"/>
      <w:tabs>
        <w:tab w:val="clear" w:pos="8640"/>
        <w:tab w:val="left" w:pos="5057"/>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36pt">
          <v:imagedata r:id="rId1" o:title="ORBCoN Logo_EN"/>
        </v:shape>
      </w:pict>
    </w:r>
  </w:p>
  <w:p w:rsidR="0032596D" w:rsidRDefault="00C9649C">
    <w:pPr>
      <w:pStyle w:val="Header"/>
      <w:jc w:val="center"/>
      <w:rPr>
        <w:rFonts w:ascii="Arial" w:hAnsi="Arial" w:cs="Arial"/>
        <w:b/>
        <w:bCs/>
        <w:sz w:val="22"/>
      </w:rPr>
    </w:pPr>
    <w:r>
      <w:rPr>
        <w:rFonts w:ascii="Arial" w:hAnsi="Arial" w:cs="Arial"/>
        <w:b/>
        <w:bCs/>
        <w:sz w:val="22"/>
      </w:rPr>
      <w:t>Ontario Regional Blood Coordinating Network</w:t>
    </w:r>
  </w:p>
  <w:p w:rsidR="00C9649C" w:rsidRDefault="00C9649C">
    <w:pPr>
      <w:pStyle w:val="Header"/>
      <w:jc w:val="center"/>
      <w:rPr>
        <w:rFonts w:ascii="Arial" w:hAnsi="Arial" w:cs="Arial"/>
        <w:b/>
        <w:bCs/>
        <w:sz w:val="22"/>
      </w:rPr>
    </w:pPr>
    <w:r>
      <w:rPr>
        <w:rFonts w:ascii="Arial" w:hAnsi="Arial" w:cs="Arial"/>
        <w:b/>
        <w:bCs/>
        <w:sz w:val="22"/>
      </w:rPr>
      <w:t>Transfusion Technical Resource Manual</w:t>
    </w:r>
  </w:p>
  <w:p w:rsidR="0032596D" w:rsidRDefault="0032596D">
    <w:pPr>
      <w:pStyle w:val="Header"/>
      <w:jc w:val="center"/>
      <w:rPr>
        <w:rFonts w:ascii="Arial" w:hAnsi="Arial" w:cs="Arial"/>
        <w:b/>
        <w:bCs/>
        <w:sz w:val="22"/>
      </w:rPr>
    </w:pPr>
  </w:p>
  <w:p w:rsidR="0032596D" w:rsidRDefault="0032596D">
    <w:pPr>
      <w:pStyle w:val="Header"/>
      <w:tabs>
        <w:tab w:val="left" w:pos="6617"/>
      </w:tabs>
      <w:jc w:val="center"/>
      <w:rPr>
        <w:rFonts w:ascii="Arial" w:hAnsi="Arial"/>
        <w:b/>
        <w:sz w:val="28"/>
      </w:rPr>
    </w:pPr>
    <w:r>
      <w:rPr>
        <w:rFonts w:ascii="Arial" w:hAnsi="Arial"/>
        <w:b/>
        <w:sz w:val="28"/>
      </w:rPr>
      <w:t>Special Access Program Requests</w:t>
    </w:r>
  </w:p>
  <w:p w:rsidR="0032596D" w:rsidRDefault="0032596D">
    <w:pPr>
      <w:pStyle w:val="Header"/>
      <w:tabs>
        <w:tab w:val="left" w:pos="6617"/>
      </w:tabs>
      <w:jc w:val="center"/>
      <w:rPr>
        <w:rFonts w:ascii="Arial" w:hAnsi="Arial"/>
        <w:b/>
        <w:sz w:val="28"/>
      </w:rPr>
    </w:pPr>
  </w:p>
  <w:p w:rsidR="0032596D" w:rsidRDefault="0032596D">
    <w:pPr>
      <w:pStyle w:val="Header"/>
      <w:tabs>
        <w:tab w:val="left" w:pos="6617"/>
      </w:tabs>
      <w:jc w:val="center"/>
      <w:rPr>
        <w:rFonts w:ascii="Arial" w:hAnsi="Arial" w:cs="Arial"/>
        <w:b/>
        <w:bCs/>
      </w:rPr>
    </w:pPr>
    <w:r>
      <w:rPr>
        <w:rFonts w:ascii="Arial" w:hAnsi="Arial" w:cs="Arial"/>
        <w:b/>
        <w:bCs/>
      </w:rPr>
      <w:tab/>
    </w:r>
    <w:r>
      <w:rPr>
        <w:rFonts w:ascii="Arial" w:hAnsi="Arial" w:cs="Arial"/>
      </w:rPr>
      <w:pict>
        <v:line id="_x0000_s2051" style="position:absolute;left:0;text-align:left;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32596D">
      <w:tc>
        <w:tcPr>
          <w:tcW w:w="4428" w:type="dxa"/>
        </w:tcPr>
        <w:p w:rsidR="0032596D" w:rsidRDefault="0032596D">
          <w:pPr>
            <w:pStyle w:val="Header"/>
            <w:rPr>
              <w:rFonts w:ascii="Arial" w:hAnsi="Arial" w:cs="Arial"/>
            </w:rPr>
          </w:pPr>
          <w:r>
            <w:rPr>
              <w:rFonts w:ascii="Arial" w:hAnsi="Arial" w:cs="Arial"/>
            </w:rPr>
            <w:t xml:space="preserve">Approved By:  </w:t>
          </w:r>
        </w:p>
      </w:tc>
      <w:tc>
        <w:tcPr>
          <w:tcW w:w="4428" w:type="dxa"/>
        </w:tcPr>
        <w:p w:rsidR="0032596D" w:rsidRDefault="0032596D">
          <w:pPr>
            <w:pStyle w:val="Header"/>
            <w:rPr>
              <w:rFonts w:ascii="Arial" w:hAnsi="Arial" w:cs="Arial"/>
            </w:rPr>
          </w:pPr>
          <w:r>
            <w:rPr>
              <w:rFonts w:ascii="Arial" w:hAnsi="Arial" w:cs="Arial"/>
            </w:rPr>
            <w:t>Document No: IM.010</w:t>
          </w:r>
        </w:p>
      </w:tc>
    </w:tr>
    <w:tr w:rsidR="0032596D">
      <w:tc>
        <w:tcPr>
          <w:tcW w:w="4428" w:type="dxa"/>
        </w:tcPr>
        <w:p w:rsidR="0032596D" w:rsidRDefault="0032596D">
          <w:pPr>
            <w:pStyle w:val="Header"/>
            <w:rPr>
              <w:rFonts w:ascii="Arial" w:hAnsi="Arial" w:cs="Arial"/>
            </w:rPr>
          </w:pPr>
          <w:r>
            <w:rPr>
              <w:rFonts w:ascii="Arial" w:hAnsi="Arial" w:cs="Arial"/>
            </w:rPr>
            <w:t>Date Issued:  2004/04/05</w:t>
          </w:r>
        </w:p>
      </w:tc>
      <w:tc>
        <w:tcPr>
          <w:tcW w:w="4428" w:type="dxa"/>
        </w:tcPr>
        <w:p w:rsidR="0032596D" w:rsidRDefault="0032596D">
          <w:pPr>
            <w:pStyle w:val="Header"/>
            <w:rPr>
              <w:rFonts w:ascii="Arial" w:hAnsi="Arial" w:cs="Arial"/>
            </w:rPr>
          </w:pPr>
          <w:r>
            <w:rPr>
              <w:rFonts w:ascii="Arial" w:hAnsi="Arial" w:cs="Arial"/>
            </w:rPr>
            <w:t>Category:  Inventory Management</w:t>
          </w:r>
        </w:p>
      </w:tc>
    </w:tr>
    <w:tr w:rsidR="0032596D">
      <w:tc>
        <w:tcPr>
          <w:tcW w:w="4428" w:type="dxa"/>
        </w:tcPr>
        <w:p w:rsidR="0032596D" w:rsidRDefault="0032596D" w:rsidP="00C9649C">
          <w:pPr>
            <w:pStyle w:val="Header"/>
            <w:rPr>
              <w:rFonts w:ascii="Arial" w:hAnsi="Arial" w:cs="Arial"/>
            </w:rPr>
          </w:pPr>
          <w:r>
            <w:rPr>
              <w:rFonts w:ascii="Arial" w:hAnsi="Arial" w:cs="Arial"/>
            </w:rPr>
            <w:t xml:space="preserve">Date Revised:  </w:t>
          </w:r>
          <w:r w:rsidR="00F10747">
            <w:rPr>
              <w:rFonts w:ascii="Arial" w:hAnsi="Arial" w:cs="Arial"/>
            </w:rPr>
            <w:t>2009/09/01;</w:t>
          </w:r>
          <w:r>
            <w:rPr>
              <w:rFonts w:ascii="Arial" w:hAnsi="Arial" w:cs="Arial"/>
            </w:rPr>
            <w:t>20</w:t>
          </w:r>
          <w:r w:rsidR="00C9649C">
            <w:rPr>
              <w:rFonts w:ascii="Arial" w:hAnsi="Arial" w:cs="Arial"/>
            </w:rPr>
            <w:t>14/08</w:t>
          </w:r>
          <w:r w:rsidR="00571B52">
            <w:rPr>
              <w:rFonts w:ascii="Arial" w:hAnsi="Arial" w:cs="Arial"/>
            </w:rPr>
            <w:t>/</w:t>
          </w:r>
          <w:r w:rsidR="00C9649C">
            <w:rPr>
              <w:rFonts w:ascii="Arial" w:hAnsi="Arial" w:cs="Arial"/>
            </w:rPr>
            <w:t>0</w:t>
          </w:r>
          <w:r w:rsidR="00571B52">
            <w:rPr>
              <w:rFonts w:ascii="Arial" w:hAnsi="Arial" w:cs="Arial"/>
            </w:rPr>
            <w:t>8</w:t>
          </w:r>
        </w:p>
      </w:tc>
      <w:tc>
        <w:tcPr>
          <w:tcW w:w="4428" w:type="dxa"/>
        </w:tcPr>
        <w:p w:rsidR="0032596D" w:rsidRDefault="0032596D">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90C3C">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90C3C">
            <w:rPr>
              <w:rFonts w:ascii="Arial" w:hAnsi="Arial" w:cs="Arial"/>
              <w:noProof/>
            </w:rPr>
            <w:t>1</w:t>
          </w:r>
          <w:r>
            <w:rPr>
              <w:rFonts w:ascii="Arial" w:hAnsi="Arial" w:cs="Arial"/>
            </w:rPr>
            <w:fldChar w:fldCharType="end"/>
          </w:r>
        </w:p>
      </w:tc>
    </w:tr>
  </w:tbl>
  <w:p w:rsidR="0032596D" w:rsidRDefault="0032596D">
    <w:pPr>
      <w:pStyle w:val="Header"/>
      <w:rPr>
        <w:rFonts w:ascii="Arial" w:hAnsi="Arial" w:cs="Arial"/>
      </w:rPr>
    </w:pPr>
    <w:r>
      <w:rPr>
        <w:rFonts w:ascii="Arial" w:hAnsi="Arial" w:cs="Arial"/>
      </w:rPr>
      <w:pict>
        <v:line id="_x0000_s2052" style="position:absolute;z-index:2;mso-position-horizontal-relative:text;mso-position-vertical-relative:text" from="-4.95pt,9.65pt" to="436.05pt,9.65pt"/>
      </w:pict>
    </w:r>
    <w:r>
      <w:rPr>
        <w:rFonts w:ascii="Arial" w:hAnsi="Arial" w:cs="Arial"/>
      </w:rPr>
      <w:tab/>
    </w:r>
  </w:p>
  <w:p w:rsidR="0032596D" w:rsidRDefault="0032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10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454721C"/>
    <w:multiLevelType w:val="hybridMultilevel"/>
    <w:tmpl w:val="DDCC837C"/>
    <w:lvl w:ilvl="0" w:tplc="451820CE">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5770FB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31CD33C1"/>
    <w:multiLevelType w:val="singleLevel"/>
    <w:tmpl w:val="AA646ACE"/>
    <w:lvl w:ilvl="0">
      <w:start w:val="1400"/>
      <w:numFmt w:val="bullet"/>
      <w:lvlText w:val="-"/>
      <w:lvlJc w:val="left"/>
      <w:pPr>
        <w:tabs>
          <w:tab w:val="num" w:pos="1080"/>
        </w:tabs>
        <w:ind w:left="1080" w:hanging="360"/>
      </w:pPr>
      <w:rPr>
        <w:rFonts w:ascii="Times New Roman" w:hAnsi="Times New Roman" w:hint="default"/>
        <w:sz w:val="24"/>
      </w:rPr>
    </w:lvl>
  </w:abstractNum>
  <w:abstractNum w:abstractNumId="6"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34567BF1"/>
    <w:multiLevelType w:val="multilevel"/>
    <w:tmpl w:val="8BDA931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71"/>
        </w:tabs>
        <w:ind w:left="1571"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5C9256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4E721C9"/>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1"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725237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A0600F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B552CD2"/>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0"/>
  </w:num>
  <w:num w:numId="3">
    <w:abstractNumId w:val="6"/>
  </w:num>
  <w:num w:numId="4">
    <w:abstractNumId w:val="4"/>
  </w:num>
  <w:num w:numId="5">
    <w:abstractNumId w:val="14"/>
  </w:num>
  <w:num w:numId="6">
    <w:abstractNumId w:val="13"/>
  </w:num>
  <w:num w:numId="7">
    <w:abstractNumId w:val="12"/>
  </w:num>
  <w:num w:numId="8">
    <w:abstractNumId w:val="1"/>
  </w:num>
  <w:num w:numId="9">
    <w:abstractNumId w:val="11"/>
  </w:num>
  <w:num w:numId="10">
    <w:abstractNumId w:val="5"/>
  </w:num>
  <w:num w:numId="11">
    <w:abstractNumId w:val="3"/>
  </w:num>
  <w:num w:numId="12">
    <w:abstractNumId w:val="9"/>
  </w:num>
  <w:num w:numId="13">
    <w:abstractNumId w:val="0"/>
  </w:num>
  <w:num w:numId="14">
    <w:abstractNumId w:val="15"/>
  </w:num>
  <w:num w:numId="15">
    <w:abstractNumId w:val="17"/>
  </w:num>
  <w:num w:numId="16">
    <w:abstractNumId w:val="8"/>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96D"/>
    <w:rsid w:val="00016329"/>
    <w:rsid w:val="00142A4B"/>
    <w:rsid w:val="00150BDA"/>
    <w:rsid w:val="001905A9"/>
    <w:rsid w:val="002B6482"/>
    <w:rsid w:val="0032596D"/>
    <w:rsid w:val="00397CD2"/>
    <w:rsid w:val="004416F0"/>
    <w:rsid w:val="00490A85"/>
    <w:rsid w:val="00571B52"/>
    <w:rsid w:val="00676729"/>
    <w:rsid w:val="00831259"/>
    <w:rsid w:val="008A6DC7"/>
    <w:rsid w:val="009C00ED"/>
    <w:rsid w:val="00A11595"/>
    <w:rsid w:val="00A90C3C"/>
    <w:rsid w:val="00BD2E6A"/>
    <w:rsid w:val="00C86F1A"/>
    <w:rsid w:val="00C9649C"/>
    <w:rsid w:val="00DA1F7B"/>
    <w:rsid w:val="00DB0578"/>
    <w:rsid w:val="00F10747"/>
    <w:rsid w:val="00F879AF"/>
    <w:rsid w:val="00FE1C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chartTrackingRefBased/>
  <w15:docId w15:val="{74FA3FF7-09F4-4C1B-B8D3-05C8C47E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1440"/>
    </w:pPr>
    <w:rPr>
      <w:rFonts w:ascii="Arial" w:hAnsi="Arial"/>
      <w:sz w:val="24"/>
    </w:rPr>
  </w:style>
  <w:style w:type="character" w:styleId="Hyperlink">
    <w:name w:val="Hyperlink"/>
    <w:rPr>
      <w:color w:val="0000FF"/>
      <w:u w:val="single"/>
    </w:rPr>
  </w:style>
  <w:style w:type="paragraph" w:customStyle="1" w:styleId="Blockquote">
    <w:name w:val="Blockquote"/>
    <w:basedOn w:val="Normal"/>
    <w:pPr>
      <w:spacing w:before="100" w:after="100"/>
      <w:ind w:left="360" w:right="360"/>
    </w:pPr>
    <w:rPr>
      <w:snapToGrid w:val="0"/>
      <w:sz w:val="24"/>
    </w:rPr>
  </w:style>
  <w:style w:type="paragraph" w:styleId="z-TopofForm">
    <w:name w:val="HTML Top of Form"/>
    <w:next w:val="Normal"/>
    <w:hidden/>
    <w:pPr>
      <w:pBdr>
        <w:bottom w:val="double" w:sz="2" w:space="0" w:color="000000"/>
      </w:pBdr>
      <w:jc w:val="center"/>
    </w:pPr>
    <w:rPr>
      <w:rFonts w:ascii="Arial" w:hAnsi="Arial"/>
      <w:snapToGrid w:val="0"/>
      <w:vanish/>
      <w:sz w:val="16"/>
      <w:lang w:val="en-US" w:eastAsia="en-US"/>
    </w:rPr>
  </w:style>
  <w:style w:type="paragraph" w:styleId="z-BottomofForm">
    <w:name w:val="HTML Bottom of Form"/>
    <w:next w:val="Normal"/>
    <w:hidden/>
    <w:pPr>
      <w:pBdr>
        <w:top w:val="double" w:sz="2" w:space="0" w:color="000000"/>
      </w:pBdr>
      <w:jc w:val="center"/>
    </w:pPr>
    <w:rPr>
      <w:rFonts w:ascii="Arial" w:hAnsi="Arial"/>
      <w:snapToGrid w:val="0"/>
      <w:vanish/>
      <w:sz w:val="16"/>
      <w:lang w:val="en-US" w:eastAsia="en-US"/>
    </w:rPr>
  </w:style>
  <w:style w:type="paragraph" w:styleId="NormalWeb">
    <w:name w:val="Normal (Web)"/>
    <w:basedOn w:val="Normal"/>
    <w:pPr>
      <w:spacing w:before="100" w:beforeAutospacing="1" w:after="100" w:afterAutospacing="1"/>
    </w:pPr>
    <w:rPr>
      <w:color w:val="000000"/>
      <w:sz w:val="24"/>
      <w:szCs w:val="24"/>
      <w:lang w:val="en-CA"/>
    </w:rPr>
  </w:style>
  <w:style w:type="character" w:styleId="CommentReference">
    <w:name w:val="annotation reference"/>
    <w:rsid w:val="00571B52"/>
    <w:rPr>
      <w:sz w:val="16"/>
      <w:szCs w:val="16"/>
    </w:rPr>
  </w:style>
  <w:style w:type="paragraph" w:styleId="CommentText">
    <w:name w:val="annotation text"/>
    <w:basedOn w:val="Normal"/>
    <w:link w:val="CommentTextChar"/>
    <w:rsid w:val="00571B52"/>
  </w:style>
  <w:style w:type="character" w:customStyle="1" w:styleId="CommentTextChar">
    <w:name w:val="Comment Text Char"/>
    <w:basedOn w:val="DefaultParagraphFont"/>
    <w:link w:val="CommentText"/>
    <w:rsid w:val="00571B52"/>
  </w:style>
  <w:style w:type="paragraph" w:styleId="CommentSubject">
    <w:name w:val="annotation subject"/>
    <w:basedOn w:val="CommentText"/>
    <w:next w:val="CommentText"/>
    <w:link w:val="CommentSubjectChar"/>
    <w:rsid w:val="00571B52"/>
    <w:rPr>
      <w:b/>
      <w:bCs/>
      <w:lang w:val="x-none" w:eastAsia="x-none"/>
    </w:rPr>
  </w:style>
  <w:style w:type="character" w:customStyle="1" w:styleId="CommentSubjectChar">
    <w:name w:val="Comment Subject Char"/>
    <w:link w:val="CommentSubject"/>
    <w:rsid w:val="00571B52"/>
    <w:rPr>
      <w:b/>
      <w:bCs/>
    </w:rPr>
  </w:style>
  <w:style w:type="paragraph" w:styleId="BalloonText">
    <w:name w:val="Balloon Text"/>
    <w:basedOn w:val="Normal"/>
    <w:link w:val="BalloonTextChar"/>
    <w:rsid w:val="00571B52"/>
    <w:rPr>
      <w:rFonts w:ascii="Tahoma" w:hAnsi="Tahoma"/>
      <w:sz w:val="16"/>
      <w:szCs w:val="16"/>
      <w:lang w:val="x-none" w:eastAsia="x-none"/>
    </w:rPr>
  </w:style>
  <w:style w:type="character" w:customStyle="1" w:styleId="BalloonTextChar">
    <w:name w:val="Balloon Text Char"/>
    <w:link w:val="BalloonText"/>
    <w:rsid w:val="00571B52"/>
    <w:rPr>
      <w:rFonts w:ascii="Tahoma" w:hAnsi="Tahoma" w:cs="Tahoma"/>
      <w:sz w:val="16"/>
      <w:szCs w:val="16"/>
    </w:rPr>
  </w:style>
  <w:style w:type="character" w:styleId="FollowedHyperlink">
    <w:name w:val="FollowedHyperlink"/>
    <w:rsid w:val="00016329"/>
    <w:rPr>
      <w:color w:val="800080"/>
      <w:u w:val="single"/>
    </w:rPr>
  </w:style>
  <w:style w:type="paragraph" w:styleId="ListParagraph">
    <w:name w:val="List Paragraph"/>
    <w:basedOn w:val="Normal"/>
    <w:uiPriority w:val="34"/>
    <w:qFormat/>
    <w:rsid w:val="00C9649C"/>
    <w:pPr>
      <w:ind w:left="720"/>
    </w:pPr>
  </w:style>
  <w:style w:type="table" w:styleId="TableGrid">
    <w:name w:val="Table Grid"/>
    <w:basedOn w:val="TableNormal"/>
    <w:rsid w:val="00C9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PDrugs@hc-sc.g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c-sc.gc.ca/dhp-mps/alt_formats/hpfb-dgpsa/pdf/acces/sapf1_pasf1-eng.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c-sc.gc.ca/dhp-mps/acces/drugs-drogues/index-eng.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IM.010 Special Access Program Requests</vt:lpstr>
    </vt:vector>
  </TitlesOfParts>
  <Company>The Ottawa Hospital</Company>
  <LinksUpToDate>false</LinksUpToDate>
  <CharactersWithSpaces>3967</CharactersWithSpaces>
  <SharedDoc>false</SharedDoc>
  <HLinks>
    <vt:vector size="18" baseType="variant">
      <vt:variant>
        <vt:i4>4587547</vt:i4>
      </vt:variant>
      <vt:variant>
        <vt:i4>6</vt:i4>
      </vt:variant>
      <vt:variant>
        <vt:i4>0</vt:i4>
      </vt:variant>
      <vt:variant>
        <vt:i4>5</vt:i4>
      </vt:variant>
      <vt:variant>
        <vt:lpwstr>http://www.hc-sc.gc.ca/dhp-mps/acces/drugs-drogues/index-eng.php</vt:lpwstr>
      </vt:variant>
      <vt:variant>
        <vt:lpwstr/>
      </vt:variant>
      <vt:variant>
        <vt:i4>655398</vt:i4>
      </vt:variant>
      <vt:variant>
        <vt:i4>3</vt:i4>
      </vt:variant>
      <vt:variant>
        <vt:i4>0</vt:i4>
      </vt:variant>
      <vt:variant>
        <vt:i4>5</vt:i4>
      </vt:variant>
      <vt:variant>
        <vt:lpwstr>mailto:SAPDrugs@hc-sc.gc.ca</vt:lpwstr>
      </vt:variant>
      <vt:variant>
        <vt:lpwstr/>
      </vt:variant>
      <vt:variant>
        <vt:i4>1048643</vt:i4>
      </vt:variant>
      <vt:variant>
        <vt:i4>0</vt:i4>
      </vt:variant>
      <vt:variant>
        <vt:i4>0</vt:i4>
      </vt:variant>
      <vt:variant>
        <vt:i4>5</vt:i4>
      </vt:variant>
      <vt:variant>
        <vt:lpwstr>http://www.hc-sc.gc.ca/dhp-mps/alt_formats/hpfb-dgpsa/pdf/acces/sapf1_pasf1-eng.pdf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IM.010 Special Access Program Requests</dc:title>
  <dc:subject/>
  <dc:creator>TOPO</dc:creator>
  <cp:keywords/>
  <cp:lastModifiedBy>Nesrallah, Heather</cp:lastModifiedBy>
  <cp:revision>2</cp:revision>
  <cp:lastPrinted>2015-04-08T11:11:00Z</cp:lastPrinted>
  <dcterms:created xsi:type="dcterms:W3CDTF">2019-01-22T13:21:00Z</dcterms:created>
  <dcterms:modified xsi:type="dcterms:W3CDTF">2019-01-22T13:21:00Z</dcterms:modified>
</cp:coreProperties>
</file>