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70" w:rsidRDefault="007117E0" w:rsidP="00136270">
      <w:pPr>
        <w:numPr>
          <w:ilvl w:val="0"/>
          <w:numId w:val="26"/>
        </w:numPr>
        <w:ind w:left="709" w:hanging="709"/>
        <w:rPr>
          <w:rFonts w:ascii="Arial" w:hAnsi="Arial" w:cs="Arial"/>
          <w:b/>
          <w:sz w:val="28"/>
        </w:rPr>
      </w:pPr>
      <w:bookmarkStart w:id="0" w:name="_GoBack"/>
      <w:bookmarkEnd w:id="0"/>
      <w:r w:rsidRPr="007117E0">
        <w:rPr>
          <w:rFonts w:ascii="Arial" w:hAnsi="Arial" w:cs="Arial"/>
          <w:b/>
          <w:sz w:val="28"/>
        </w:rPr>
        <w:t>Principl</w:t>
      </w:r>
      <w:r w:rsidR="00136270">
        <w:rPr>
          <w:rFonts w:ascii="Arial" w:hAnsi="Arial" w:cs="Arial"/>
          <w:b/>
          <w:sz w:val="28"/>
        </w:rPr>
        <w:t>e</w:t>
      </w:r>
    </w:p>
    <w:p w:rsidR="007117E0" w:rsidRPr="00136270" w:rsidRDefault="007117E0" w:rsidP="00136270">
      <w:pPr>
        <w:ind w:left="709"/>
        <w:rPr>
          <w:rFonts w:ascii="Arial" w:hAnsi="Arial" w:cs="Arial"/>
          <w:b/>
          <w:sz w:val="28"/>
        </w:rPr>
      </w:pPr>
      <w:r w:rsidRPr="00136270">
        <w:rPr>
          <w:rFonts w:ascii="Arial" w:hAnsi="Arial" w:cs="Arial"/>
          <w:sz w:val="24"/>
        </w:rPr>
        <w:t>To provide a disposition process and the documentation of the disposition of all blood, blood components and other related products not suitable for transfusion (for facilities without a transfusion medicine computer module).</w:t>
      </w:r>
    </w:p>
    <w:p w:rsidR="007117E0" w:rsidRDefault="007117E0" w:rsidP="007117E0">
      <w:pPr>
        <w:numPr>
          <w:ilvl w:val="0"/>
          <w:numId w:val="26"/>
        </w:numPr>
        <w:ind w:left="709" w:hanging="709"/>
        <w:rPr>
          <w:rFonts w:ascii="Arial" w:hAnsi="Arial" w:cs="Arial"/>
          <w:b/>
          <w:sz w:val="40"/>
        </w:rPr>
      </w:pPr>
      <w:r w:rsidRPr="007117E0">
        <w:rPr>
          <w:rFonts w:ascii="Arial" w:hAnsi="Arial" w:cs="Arial"/>
          <w:b/>
          <w:sz w:val="28"/>
        </w:rPr>
        <w:t>Scope and Related Policies</w:t>
      </w:r>
    </w:p>
    <w:p w:rsidR="007117E0" w:rsidRDefault="007117E0" w:rsidP="00C302AC">
      <w:pPr>
        <w:numPr>
          <w:ilvl w:val="1"/>
          <w:numId w:val="26"/>
        </w:numPr>
        <w:spacing w:after="0" w:line="240" w:lineRule="auto"/>
        <w:ind w:left="1418" w:hanging="709"/>
        <w:rPr>
          <w:rFonts w:ascii="Arial" w:hAnsi="Arial" w:cs="Arial"/>
          <w:b/>
          <w:sz w:val="44"/>
        </w:rPr>
      </w:pPr>
      <w:r w:rsidRPr="007117E0">
        <w:rPr>
          <w:rFonts w:ascii="Arial" w:hAnsi="Arial" w:cs="Arial"/>
          <w:sz w:val="24"/>
        </w:rPr>
        <w:t xml:space="preserve">All blood, blood components and other related products must not be transfused if they do not pass visual inspection criteria. If an obvious abnormality is detected, the unit must not be issued and the blood supplier should be consulted regarding the final disposition of the product. Product should be returned to the blood supplier when instructed to do so. Use the appropriate form as indicated by the blood supplier. See </w:t>
      </w:r>
      <w:r>
        <w:rPr>
          <w:rFonts w:ascii="Arial" w:hAnsi="Arial" w:cs="Arial"/>
          <w:sz w:val="24"/>
        </w:rPr>
        <w:t>7.0- R</w:t>
      </w:r>
      <w:r w:rsidRPr="007117E0">
        <w:rPr>
          <w:rFonts w:ascii="Arial" w:hAnsi="Arial" w:cs="Arial"/>
          <w:sz w:val="24"/>
        </w:rPr>
        <w:t>eporting.</w:t>
      </w:r>
    </w:p>
    <w:p w:rsidR="00136270" w:rsidRPr="00136270" w:rsidRDefault="00136270" w:rsidP="00C302AC">
      <w:pPr>
        <w:spacing w:after="0" w:line="240" w:lineRule="auto"/>
        <w:ind w:left="1418"/>
        <w:rPr>
          <w:rFonts w:ascii="Arial" w:hAnsi="Arial" w:cs="Arial"/>
          <w:b/>
          <w:sz w:val="24"/>
        </w:rPr>
      </w:pPr>
    </w:p>
    <w:p w:rsidR="00A210F1" w:rsidRDefault="007117E0" w:rsidP="00C302AC">
      <w:pPr>
        <w:numPr>
          <w:ilvl w:val="1"/>
          <w:numId w:val="26"/>
        </w:numPr>
        <w:spacing w:after="0" w:line="240" w:lineRule="auto"/>
        <w:ind w:left="1418" w:hanging="709"/>
        <w:rPr>
          <w:rFonts w:ascii="Arial" w:hAnsi="Arial" w:cs="Arial"/>
          <w:b/>
          <w:sz w:val="48"/>
        </w:rPr>
      </w:pPr>
      <w:r w:rsidRPr="00A210F1">
        <w:rPr>
          <w:rFonts w:ascii="Arial" w:hAnsi="Arial" w:cs="Arial"/>
          <w:sz w:val="24"/>
        </w:rPr>
        <w:t>The records shall allow for the indefinite tracing of blood components and blood products from their source to final disposition.</w:t>
      </w:r>
      <w:r w:rsidRPr="00A210F1">
        <w:rPr>
          <w:rFonts w:ascii="Arial" w:hAnsi="Arial" w:cs="Arial"/>
          <w:sz w:val="24"/>
          <w:vertAlign w:val="superscript"/>
        </w:rPr>
        <w:t xml:space="preserve">9.1 </w:t>
      </w:r>
      <w:r w:rsidRPr="00A210F1">
        <w:rPr>
          <w:rFonts w:ascii="Arial" w:hAnsi="Arial" w:cs="Arial"/>
          <w:sz w:val="24"/>
        </w:rPr>
        <w:t xml:space="preserve"> </w:t>
      </w:r>
    </w:p>
    <w:p w:rsidR="00136270" w:rsidRPr="00136270" w:rsidRDefault="00136270" w:rsidP="00C302AC">
      <w:pPr>
        <w:spacing w:after="0" w:line="240" w:lineRule="auto"/>
        <w:ind w:left="2694"/>
        <w:rPr>
          <w:rFonts w:ascii="Arial" w:hAnsi="Arial" w:cs="Arial"/>
          <w:b/>
          <w:sz w:val="24"/>
        </w:rPr>
      </w:pPr>
    </w:p>
    <w:p w:rsidR="00A210F1" w:rsidRDefault="007117E0" w:rsidP="00C302AC">
      <w:pPr>
        <w:numPr>
          <w:ilvl w:val="2"/>
          <w:numId w:val="26"/>
        </w:numPr>
        <w:spacing w:after="0" w:line="240" w:lineRule="auto"/>
        <w:ind w:left="2694" w:hanging="851"/>
        <w:rPr>
          <w:rFonts w:ascii="Arial" w:hAnsi="Arial" w:cs="Arial"/>
          <w:b/>
          <w:sz w:val="48"/>
        </w:rPr>
      </w:pPr>
      <w:r w:rsidRPr="00A210F1">
        <w:rPr>
          <w:rFonts w:ascii="Arial" w:hAnsi="Arial" w:cs="Arial"/>
          <w:sz w:val="24"/>
        </w:rPr>
        <w:t>Records of discarded blood products and blood components shall be kept as defined by required standards.</w:t>
      </w:r>
      <w:r w:rsidRPr="00A210F1">
        <w:rPr>
          <w:rFonts w:ascii="Arial" w:hAnsi="Arial" w:cs="Arial"/>
          <w:sz w:val="24"/>
          <w:vertAlign w:val="superscript"/>
        </w:rPr>
        <w:t>9.2</w:t>
      </w:r>
    </w:p>
    <w:p w:rsidR="00136270" w:rsidRPr="00136270" w:rsidRDefault="00136270" w:rsidP="00C302AC">
      <w:pPr>
        <w:spacing w:after="0" w:line="240" w:lineRule="auto"/>
        <w:ind w:left="1418"/>
        <w:rPr>
          <w:rFonts w:ascii="Arial" w:hAnsi="Arial" w:cs="Arial"/>
          <w:b/>
          <w:sz w:val="24"/>
        </w:rPr>
      </w:pPr>
    </w:p>
    <w:p w:rsidR="00136270" w:rsidRDefault="007117E0" w:rsidP="00C302AC">
      <w:pPr>
        <w:numPr>
          <w:ilvl w:val="1"/>
          <w:numId w:val="26"/>
        </w:numPr>
        <w:spacing w:after="0" w:line="240" w:lineRule="auto"/>
        <w:ind w:left="1418" w:hanging="709"/>
        <w:rPr>
          <w:rFonts w:ascii="Arial" w:hAnsi="Arial" w:cs="Arial"/>
          <w:b/>
          <w:sz w:val="48"/>
        </w:rPr>
      </w:pPr>
      <w:r w:rsidRPr="00A210F1">
        <w:rPr>
          <w:rFonts w:ascii="Arial" w:hAnsi="Arial" w:cs="Arial"/>
          <w:sz w:val="24"/>
        </w:rPr>
        <w:t>The expiration date shall be identified as the last day on which the blood product or blood component should be used.</w:t>
      </w:r>
      <w:r w:rsidRPr="00A210F1">
        <w:rPr>
          <w:rFonts w:ascii="Arial" w:hAnsi="Arial" w:cs="Arial"/>
          <w:sz w:val="24"/>
          <w:vertAlign w:val="superscript"/>
        </w:rPr>
        <w:t>9.2</w:t>
      </w:r>
    </w:p>
    <w:p w:rsidR="00C302AC" w:rsidRPr="00C302AC" w:rsidRDefault="00C302AC" w:rsidP="00C302AC">
      <w:pPr>
        <w:spacing w:after="0" w:line="240" w:lineRule="auto"/>
        <w:ind w:left="1418"/>
        <w:rPr>
          <w:rFonts w:ascii="Arial" w:hAnsi="Arial" w:cs="Arial"/>
          <w:b/>
          <w:sz w:val="28"/>
        </w:rPr>
      </w:pPr>
    </w:p>
    <w:p w:rsidR="00A210F1" w:rsidRDefault="007117E0" w:rsidP="00A210F1">
      <w:pPr>
        <w:numPr>
          <w:ilvl w:val="0"/>
          <w:numId w:val="26"/>
        </w:numPr>
        <w:ind w:left="709" w:hanging="709"/>
        <w:rPr>
          <w:rFonts w:ascii="Arial" w:hAnsi="Arial" w:cs="Arial"/>
          <w:b/>
          <w:sz w:val="56"/>
        </w:rPr>
      </w:pPr>
      <w:r w:rsidRPr="00A210F1">
        <w:rPr>
          <w:rFonts w:ascii="Arial" w:hAnsi="Arial" w:cs="Arial"/>
          <w:b/>
          <w:sz w:val="28"/>
        </w:rPr>
        <w:t>Specimens – N/A</w:t>
      </w:r>
    </w:p>
    <w:p w:rsidR="00A210F1" w:rsidRDefault="00A210F1" w:rsidP="00A210F1">
      <w:pPr>
        <w:numPr>
          <w:ilvl w:val="0"/>
          <w:numId w:val="26"/>
        </w:numPr>
        <w:ind w:left="709" w:hanging="709"/>
        <w:rPr>
          <w:rFonts w:ascii="Arial" w:hAnsi="Arial" w:cs="Arial"/>
          <w:b/>
          <w:sz w:val="72"/>
        </w:rPr>
      </w:pPr>
      <w:r w:rsidRPr="00A210F1">
        <w:rPr>
          <w:rFonts w:ascii="Arial" w:hAnsi="Arial" w:cs="Arial"/>
          <w:b/>
          <w:sz w:val="28"/>
          <w:szCs w:val="24"/>
        </w:rPr>
        <w:lastRenderedPageBreak/>
        <w:t>Materials</w:t>
      </w:r>
    </w:p>
    <w:p w:rsidR="00136270" w:rsidRPr="00136270" w:rsidRDefault="00A210F1" w:rsidP="00136270">
      <w:pPr>
        <w:ind w:left="2160" w:hanging="1451"/>
        <w:rPr>
          <w:rFonts w:ascii="Arial" w:hAnsi="Arial" w:cs="Arial"/>
          <w:sz w:val="24"/>
          <w:szCs w:val="24"/>
        </w:rPr>
      </w:pPr>
      <w:r w:rsidRPr="00A210F1">
        <w:rPr>
          <w:rFonts w:ascii="Arial" w:hAnsi="Arial" w:cs="Arial"/>
          <w:b/>
          <w:sz w:val="24"/>
          <w:szCs w:val="24"/>
        </w:rPr>
        <w:t>Supplies:</w:t>
      </w:r>
      <w:r>
        <w:rPr>
          <w:rFonts w:ascii="Arial" w:hAnsi="Arial" w:cs="Arial"/>
          <w:sz w:val="24"/>
          <w:szCs w:val="24"/>
        </w:rPr>
        <w:t xml:space="preserve"> </w:t>
      </w:r>
      <w:r>
        <w:rPr>
          <w:rFonts w:ascii="Arial" w:hAnsi="Arial" w:cs="Arial"/>
          <w:sz w:val="24"/>
          <w:szCs w:val="24"/>
        </w:rPr>
        <w:tab/>
      </w:r>
      <w:r w:rsidRPr="00A210F1">
        <w:rPr>
          <w:rFonts w:ascii="Arial" w:hAnsi="Arial" w:cs="Arial"/>
          <w:sz w:val="24"/>
          <w:szCs w:val="24"/>
        </w:rPr>
        <w:t>Blood, blood components and/or other re</w:t>
      </w:r>
      <w:r>
        <w:rPr>
          <w:rFonts w:ascii="Arial" w:hAnsi="Arial" w:cs="Arial"/>
          <w:sz w:val="24"/>
          <w:szCs w:val="24"/>
        </w:rPr>
        <w:t xml:space="preserve">lated products </w:t>
      </w:r>
      <w:r>
        <w:rPr>
          <w:rFonts w:ascii="Arial" w:hAnsi="Arial" w:cs="Arial"/>
          <w:sz w:val="24"/>
          <w:szCs w:val="24"/>
        </w:rPr>
        <w:br/>
        <w:t>unsuitable</w:t>
      </w:r>
      <w:r w:rsidRPr="00A210F1">
        <w:rPr>
          <w:rFonts w:ascii="Arial" w:hAnsi="Arial" w:cs="Arial"/>
          <w:sz w:val="24"/>
          <w:szCs w:val="24"/>
        </w:rPr>
        <w:t xml:space="preserve"> for transfusion</w:t>
      </w:r>
      <w:r w:rsidR="00721B72">
        <w:rPr>
          <w:rFonts w:ascii="Arial" w:hAnsi="Arial" w:cs="Arial"/>
          <w:b/>
          <w:sz w:val="72"/>
        </w:rPr>
        <w:br/>
      </w:r>
      <w:r w:rsidRPr="00A210F1">
        <w:rPr>
          <w:rFonts w:ascii="Arial" w:hAnsi="Arial" w:cs="Arial"/>
          <w:sz w:val="24"/>
          <w:szCs w:val="24"/>
        </w:rPr>
        <w:t>Blood/Component and Plasma Protein Product Discard/Final Disposition Record (IM.005F)</w:t>
      </w:r>
      <w:r w:rsidR="00721B72">
        <w:rPr>
          <w:rFonts w:ascii="Arial" w:hAnsi="Arial" w:cs="Arial"/>
          <w:sz w:val="24"/>
          <w:szCs w:val="24"/>
        </w:rPr>
        <w:br/>
        <w:t>CBS Form See R</w:t>
      </w:r>
      <w:r w:rsidRPr="00A210F1">
        <w:rPr>
          <w:rFonts w:ascii="Arial" w:hAnsi="Arial" w:cs="Arial"/>
          <w:sz w:val="24"/>
          <w:szCs w:val="24"/>
        </w:rPr>
        <w:t xml:space="preserve">eporting </w:t>
      </w:r>
      <w:r w:rsidR="00721B72">
        <w:rPr>
          <w:rFonts w:ascii="Arial" w:hAnsi="Arial" w:cs="Arial"/>
          <w:sz w:val="24"/>
          <w:szCs w:val="24"/>
        </w:rPr>
        <w:t xml:space="preserve">- </w:t>
      </w:r>
      <w:r w:rsidRPr="00A210F1">
        <w:rPr>
          <w:rFonts w:ascii="Arial" w:hAnsi="Arial" w:cs="Arial"/>
          <w:sz w:val="24"/>
          <w:szCs w:val="24"/>
        </w:rPr>
        <w:t xml:space="preserve">7.0 </w:t>
      </w:r>
    </w:p>
    <w:p w:rsidR="00D22C71" w:rsidRDefault="00A210F1" w:rsidP="00D22C71">
      <w:pPr>
        <w:numPr>
          <w:ilvl w:val="0"/>
          <w:numId w:val="26"/>
        </w:numPr>
        <w:ind w:left="709" w:hanging="709"/>
        <w:rPr>
          <w:rFonts w:ascii="Arial" w:hAnsi="Arial" w:cs="Arial"/>
          <w:b/>
          <w:sz w:val="96"/>
        </w:rPr>
      </w:pPr>
      <w:r w:rsidRPr="00721B72">
        <w:rPr>
          <w:rFonts w:ascii="Arial" w:hAnsi="Arial" w:cs="Arial"/>
          <w:b/>
          <w:sz w:val="28"/>
          <w:szCs w:val="24"/>
        </w:rPr>
        <w:t>Quality Control</w:t>
      </w:r>
    </w:p>
    <w:p w:rsidR="00193FC8" w:rsidRPr="00D22C71" w:rsidRDefault="00A210F1" w:rsidP="00C302AC">
      <w:pPr>
        <w:numPr>
          <w:ilvl w:val="1"/>
          <w:numId w:val="26"/>
        </w:numPr>
        <w:spacing w:after="0" w:line="240" w:lineRule="auto"/>
        <w:ind w:left="1418" w:hanging="709"/>
        <w:rPr>
          <w:rFonts w:ascii="Arial" w:hAnsi="Arial" w:cs="Arial"/>
          <w:b/>
          <w:sz w:val="96"/>
        </w:rPr>
      </w:pPr>
      <w:r w:rsidRPr="00D22C71">
        <w:rPr>
          <w:rFonts w:ascii="Arial" w:hAnsi="Arial" w:cs="Arial"/>
          <w:sz w:val="24"/>
          <w:szCs w:val="24"/>
        </w:rPr>
        <w:t xml:space="preserve">All products must be used before the expiry date as defined by the manufacturer.  </w:t>
      </w:r>
    </w:p>
    <w:p w:rsidR="00D22C71" w:rsidRPr="00D22C71" w:rsidRDefault="00D22C71" w:rsidP="00C302AC">
      <w:pPr>
        <w:spacing w:after="0" w:line="240" w:lineRule="auto"/>
        <w:ind w:left="2694"/>
        <w:rPr>
          <w:rFonts w:ascii="Arial" w:hAnsi="Arial" w:cs="Arial"/>
          <w:b/>
          <w:sz w:val="24"/>
        </w:rPr>
      </w:pPr>
    </w:p>
    <w:p w:rsidR="00193FC8" w:rsidRDefault="00A210F1" w:rsidP="00C302AC">
      <w:pPr>
        <w:numPr>
          <w:ilvl w:val="2"/>
          <w:numId w:val="26"/>
        </w:numPr>
        <w:spacing w:after="0" w:line="240" w:lineRule="auto"/>
        <w:ind w:left="2694" w:hanging="851"/>
        <w:rPr>
          <w:rFonts w:ascii="Arial" w:hAnsi="Arial" w:cs="Arial"/>
          <w:b/>
          <w:sz w:val="96"/>
        </w:rPr>
      </w:pPr>
      <w:r w:rsidRPr="00193FC8">
        <w:rPr>
          <w:rFonts w:ascii="Arial" w:hAnsi="Arial" w:cs="Arial"/>
          <w:sz w:val="24"/>
          <w:szCs w:val="24"/>
        </w:rPr>
        <w:t xml:space="preserve">If the expiry time is not recorded on the label of a lot numbered product, discard the product at midnight of the date of expiration.  </w:t>
      </w:r>
    </w:p>
    <w:p w:rsidR="00D22C71" w:rsidRPr="00D22C71" w:rsidRDefault="00D22C71" w:rsidP="00C302AC">
      <w:pPr>
        <w:spacing w:after="0" w:line="240" w:lineRule="auto"/>
        <w:ind w:left="2694"/>
        <w:rPr>
          <w:rFonts w:ascii="Arial" w:hAnsi="Arial" w:cs="Arial"/>
          <w:b/>
          <w:sz w:val="24"/>
        </w:rPr>
      </w:pPr>
    </w:p>
    <w:p w:rsidR="00193FC8" w:rsidRPr="00D22C71" w:rsidRDefault="00A210F1" w:rsidP="00C302AC">
      <w:pPr>
        <w:numPr>
          <w:ilvl w:val="2"/>
          <w:numId w:val="26"/>
        </w:numPr>
        <w:spacing w:after="0" w:line="240" w:lineRule="auto"/>
        <w:ind w:left="2694" w:hanging="851"/>
        <w:rPr>
          <w:rFonts w:ascii="Arial" w:hAnsi="Arial" w:cs="Arial"/>
          <w:b/>
          <w:sz w:val="96"/>
        </w:rPr>
      </w:pPr>
      <w:r w:rsidRPr="00193FC8">
        <w:rPr>
          <w:rFonts w:ascii="Arial" w:hAnsi="Arial" w:cs="Arial"/>
          <w:sz w:val="24"/>
          <w:szCs w:val="24"/>
        </w:rPr>
        <w:t>If the day of expiration is not recorded on the label</w:t>
      </w:r>
      <w:r w:rsidR="00D22C71">
        <w:rPr>
          <w:rFonts w:ascii="Arial" w:hAnsi="Arial" w:cs="Arial"/>
          <w:sz w:val="24"/>
          <w:szCs w:val="24"/>
        </w:rPr>
        <w:t xml:space="preserve"> of a lot numbered product (e.g.</w:t>
      </w:r>
      <w:r w:rsidRPr="00193FC8">
        <w:rPr>
          <w:rFonts w:ascii="Arial" w:hAnsi="Arial" w:cs="Arial"/>
          <w:sz w:val="24"/>
          <w:szCs w:val="24"/>
        </w:rPr>
        <w:t xml:space="preserve"> only month and year are recorded), discard the product at midnight of the last day of the month of expiration.  </w:t>
      </w:r>
    </w:p>
    <w:p w:rsidR="00D22C71" w:rsidRPr="00D22C71" w:rsidRDefault="00D22C71" w:rsidP="00C302AC">
      <w:pPr>
        <w:spacing w:after="0"/>
        <w:rPr>
          <w:rFonts w:ascii="Arial" w:hAnsi="Arial" w:cs="Arial"/>
          <w:b/>
          <w:sz w:val="24"/>
        </w:rPr>
      </w:pPr>
    </w:p>
    <w:p w:rsidR="008020F3" w:rsidRPr="008020F3" w:rsidRDefault="00A210F1" w:rsidP="00C302AC">
      <w:pPr>
        <w:numPr>
          <w:ilvl w:val="1"/>
          <w:numId w:val="26"/>
        </w:numPr>
        <w:spacing w:after="0"/>
        <w:ind w:left="1418" w:hanging="709"/>
        <w:rPr>
          <w:rFonts w:ascii="Arial" w:hAnsi="Arial" w:cs="Arial"/>
          <w:b/>
          <w:sz w:val="96"/>
        </w:rPr>
      </w:pPr>
      <w:r w:rsidRPr="00193FC8">
        <w:rPr>
          <w:rFonts w:ascii="Arial" w:hAnsi="Arial" w:cs="Arial"/>
          <w:sz w:val="24"/>
          <w:szCs w:val="24"/>
        </w:rPr>
        <w:t xml:space="preserve">Blood products that have been manipulated in an open system must have an appropriate date and time of </w:t>
      </w:r>
      <w:r w:rsidR="00193FC8">
        <w:rPr>
          <w:rFonts w:ascii="Arial" w:hAnsi="Arial" w:cs="Arial"/>
          <w:sz w:val="24"/>
          <w:szCs w:val="24"/>
        </w:rPr>
        <w:t>expiry recorded on the product.</w:t>
      </w:r>
      <w:r w:rsidRPr="00193FC8">
        <w:rPr>
          <w:rFonts w:ascii="Arial" w:hAnsi="Arial" w:cs="Arial"/>
          <w:sz w:val="24"/>
          <w:szCs w:val="24"/>
        </w:rPr>
        <w:t xml:space="preserve"> The following is a general guide</w:t>
      </w:r>
      <w:r w:rsidR="008020F3">
        <w:rPr>
          <w:rFonts w:ascii="Arial" w:hAnsi="Arial" w:cs="Arial"/>
          <w:sz w:val="24"/>
          <w:szCs w:val="24"/>
        </w:rPr>
        <w:t>:</w:t>
      </w:r>
    </w:p>
    <w:p w:rsidR="001512D2" w:rsidRDefault="001512D2" w:rsidP="001512D2">
      <w:pPr>
        <w:spacing w:after="0" w:line="240" w:lineRule="auto"/>
        <w:ind w:left="1843"/>
        <w:rPr>
          <w:rFonts w:ascii="Arial" w:hAnsi="Arial" w:cs="Arial"/>
          <w:sz w:val="24"/>
          <w:szCs w:val="24"/>
        </w:rPr>
      </w:pPr>
    </w:p>
    <w:p w:rsidR="008020F3" w:rsidRDefault="008020F3" w:rsidP="00C302AC">
      <w:pPr>
        <w:numPr>
          <w:ilvl w:val="0"/>
          <w:numId w:val="28"/>
        </w:numPr>
        <w:spacing w:after="0" w:line="240" w:lineRule="auto"/>
        <w:ind w:left="1843" w:firstLine="0"/>
        <w:rPr>
          <w:rFonts w:ascii="Arial" w:hAnsi="Arial" w:cs="Arial"/>
          <w:sz w:val="24"/>
          <w:szCs w:val="24"/>
        </w:rPr>
      </w:pPr>
      <w:r>
        <w:rPr>
          <w:rFonts w:ascii="Arial" w:hAnsi="Arial" w:cs="Arial"/>
          <w:sz w:val="24"/>
          <w:szCs w:val="24"/>
        </w:rPr>
        <w:t>Product storage at 1-6°</w:t>
      </w:r>
      <w:r w:rsidRPr="00A210F1">
        <w:rPr>
          <w:rFonts w:ascii="Arial" w:hAnsi="Arial" w:cs="Arial"/>
          <w:sz w:val="24"/>
          <w:szCs w:val="24"/>
        </w:rPr>
        <w:t>C:   24 hour shelf life</w:t>
      </w:r>
    </w:p>
    <w:p w:rsidR="00D22C71" w:rsidRDefault="00D22C71" w:rsidP="00C302AC">
      <w:pPr>
        <w:spacing w:after="0" w:line="240" w:lineRule="auto"/>
        <w:ind w:left="1843"/>
        <w:rPr>
          <w:rFonts w:ascii="Arial" w:hAnsi="Arial" w:cs="Arial"/>
          <w:sz w:val="24"/>
          <w:szCs w:val="24"/>
        </w:rPr>
      </w:pPr>
    </w:p>
    <w:p w:rsidR="008020F3" w:rsidRDefault="008020F3" w:rsidP="00C302AC">
      <w:pPr>
        <w:numPr>
          <w:ilvl w:val="0"/>
          <w:numId w:val="28"/>
        </w:numPr>
        <w:spacing w:after="0" w:line="240" w:lineRule="auto"/>
        <w:ind w:left="1843" w:firstLine="0"/>
        <w:rPr>
          <w:rFonts w:ascii="Arial" w:hAnsi="Arial" w:cs="Arial"/>
          <w:sz w:val="24"/>
          <w:szCs w:val="24"/>
        </w:rPr>
      </w:pPr>
      <w:r>
        <w:rPr>
          <w:rFonts w:ascii="Arial" w:hAnsi="Arial" w:cs="Arial"/>
          <w:sz w:val="24"/>
          <w:szCs w:val="24"/>
        </w:rPr>
        <w:t>Product storage at 22°</w:t>
      </w:r>
      <w:r w:rsidRPr="008020F3">
        <w:rPr>
          <w:rFonts w:ascii="Arial" w:hAnsi="Arial" w:cs="Arial"/>
          <w:sz w:val="24"/>
          <w:szCs w:val="24"/>
        </w:rPr>
        <w:t>C:</w:t>
      </w:r>
      <w:r w:rsidRPr="008020F3">
        <w:rPr>
          <w:rFonts w:ascii="Arial" w:hAnsi="Arial" w:cs="Arial"/>
          <w:sz w:val="24"/>
          <w:szCs w:val="24"/>
        </w:rPr>
        <w:tab/>
      </w:r>
      <w:r w:rsidR="00C302AC">
        <w:rPr>
          <w:rFonts w:ascii="Arial" w:hAnsi="Arial" w:cs="Arial"/>
          <w:sz w:val="24"/>
          <w:szCs w:val="24"/>
        </w:rPr>
        <w:t xml:space="preserve"> </w:t>
      </w:r>
      <w:r w:rsidRPr="008020F3">
        <w:rPr>
          <w:rFonts w:ascii="Arial" w:hAnsi="Arial" w:cs="Arial"/>
          <w:sz w:val="24"/>
          <w:szCs w:val="24"/>
        </w:rPr>
        <w:t>4 hour shelf life</w:t>
      </w:r>
    </w:p>
    <w:p w:rsidR="00D22C71" w:rsidRPr="00D22C71" w:rsidRDefault="00D22C71" w:rsidP="00C302AC">
      <w:pPr>
        <w:spacing w:after="0" w:line="240" w:lineRule="auto"/>
        <w:ind w:left="1418"/>
        <w:rPr>
          <w:rFonts w:ascii="Arial" w:hAnsi="Arial" w:cs="Arial"/>
          <w:b/>
          <w:sz w:val="24"/>
        </w:rPr>
      </w:pPr>
    </w:p>
    <w:p w:rsidR="008020F3" w:rsidRDefault="00A210F1" w:rsidP="00C302AC">
      <w:pPr>
        <w:numPr>
          <w:ilvl w:val="1"/>
          <w:numId w:val="26"/>
        </w:numPr>
        <w:spacing w:after="0" w:line="240" w:lineRule="auto"/>
        <w:ind w:left="1418" w:hanging="709"/>
        <w:rPr>
          <w:rFonts w:ascii="Arial" w:hAnsi="Arial" w:cs="Arial"/>
          <w:b/>
          <w:sz w:val="96"/>
        </w:rPr>
      </w:pPr>
      <w:r w:rsidRPr="008020F3">
        <w:rPr>
          <w:rFonts w:ascii="Arial" w:hAnsi="Arial" w:cs="Arial"/>
          <w:sz w:val="24"/>
          <w:szCs w:val="24"/>
        </w:rPr>
        <w:t>The seal or port must not be broken other than through deliberate product manipulation by qualified laboratory personnel.</w:t>
      </w:r>
    </w:p>
    <w:p w:rsidR="00D22C71" w:rsidRPr="00C302AC" w:rsidRDefault="00D22C71" w:rsidP="00C302AC">
      <w:pPr>
        <w:spacing w:after="0" w:line="240" w:lineRule="auto"/>
        <w:ind w:left="1418"/>
        <w:rPr>
          <w:rFonts w:ascii="Arial" w:hAnsi="Arial" w:cs="Arial"/>
          <w:b/>
        </w:rPr>
      </w:pPr>
    </w:p>
    <w:p w:rsidR="008020F3" w:rsidRDefault="00A210F1" w:rsidP="00C302AC">
      <w:pPr>
        <w:numPr>
          <w:ilvl w:val="1"/>
          <w:numId w:val="26"/>
        </w:numPr>
        <w:spacing w:after="0" w:line="240" w:lineRule="auto"/>
        <w:ind w:left="1418" w:hanging="709"/>
        <w:rPr>
          <w:rFonts w:ascii="Arial" w:hAnsi="Arial" w:cs="Arial"/>
          <w:b/>
          <w:sz w:val="96"/>
        </w:rPr>
      </w:pPr>
      <w:r w:rsidRPr="008020F3">
        <w:rPr>
          <w:rFonts w:ascii="Arial" w:hAnsi="Arial" w:cs="Arial"/>
          <w:sz w:val="24"/>
          <w:szCs w:val="24"/>
        </w:rPr>
        <w:t>Blood components, products and modifiers must be documented using standardized nomenclature as defined by your TS. See IM.001 - Standardized Nomenclature for Blood</w:t>
      </w:r>
      <w:r w:rsidR="008020F3">
        <w:rPr>
          <w:rFonts w:ascii="Arial" w:hAnsi="Arial" w:cs="Arial"/>
          <w:sz w:val="24"/>
          <w:szCs w:val="24"/>
        </w:rPr>
        <w:t xml:space="preserve"> Components and Plasma Protein </w:t>
      </w:r>
      <w:r w:rsidRPr="008020F3">
        <w:rPr>
          <w:rFonts w:ascii="Arial" w:hAnsi="Arial" w:cs="Arial"/>
          <w:sz w:val="24"/>
          <w:szCs w:val="24"/>
        </w:rPr>
        <w:t>Products (as an example of possible mnemonics).</w:t>
      </w:r>
    </w:p>
    <w:p w:rsidR="00D22C71" w:rsidRPr="00D22C71" w:rsidRDefault="00D22C71" w:rsidP="00C302AC">
      <w:pPr>
        <w:spacing w:after="0" w:line="240" w:lineRule="auto"/>
        <w:ind w:left="1418"/>
        <w:rPr>
          <w:rFonts w:ascii="Arial" w:hAnsi="Arial" w:cs="Arial"/>
          <w:b/>
          <w:sz w:val="24"/>
        </w:rPr>
      </w:pPr>
    </w:p>
    <w:p w:rsidR="00B33069" w:rsidRPr="00D22C71" w:rsidRDefault="00A210F1" w:rsidP="00C302AC">
      <w:pPr>
        <w:numPr>
          <w:ilvl w:val="1"/>
          <w:numId w:val="26"/>
        </w:numPr>
        <w:spacing w:after="0" w:line="240" w:lineRule="auto"/>
        <w:ind w:left="1418" w:hanging="709"/>
        <w:rPr>
          <w:rFonts w:ascii="Arial" w:hAnsi="Arial" w:cs="Arial"/>
          <w:b/>
          <w:sz w:val="96"/>
        </w:rPr>
      </w:pPr>
      <w:r w:rsidRPr="008020F3">
        <w:rPr>
          <w:rFonts w:ascii="Arial" w:hAnsi="Arial" w:cs="Arial"/>
          <w:sz w:val="24"/>
          <w:szCs w:val="24"/>
        </w:rPr>
        <w:lastRenderedPageBreak/>
        <w:t>Blood components and Plasma Protein</w:t>
      </w:r>
      <w:r w:rsidR="008020F3">
        <w:rPr>
          <w:rFonts w:ascii="Arial" w:hAnsi="Arial" w:cs="Arial"/>
          <w:sz w:val="24"/>
          <w:szCs w:val="24"/>
        </w:rPr>
        <w:t xml:space="preserve"> P</w:t>
      </w:r>
      <w:r w:rsidRPr="008020F3">
        <w:rPr>
          <w:rFonts w:ascii="Arial" w:hAnsi="Arial" w:cs="Arial"/>
          <w:sz w:val="24"/>
          <w:szCs w:val="24"/>
        </w:rPr>
        <w:t>roducts that do not meet visual inspection criteria mus</w:t>
      </w:r>
      <w:r w:rsidR="008020F3">
        <w:rPr>
          <w:rFonts w:ascii="Arial" w:hAnsi="Arial" w:cs="Arial"/>
          <w:sz w:val="24"/>
          <w:szCs w:val="24"/>
        </w:rPr>
        <w:t xml:space="preserve">t not be used for transfusion. </w:t>
      </w:r>
      <w:r w:rsidRPr="008020F3">
        <w:rPr>
          <w:rFonts w:ascii="Arial" w:hAnsi="Arial" w:cs="Arial"/>
          <w:sz w:val="24"/>
          <w:szCs w:val="24"/>
        </w:rPr>
        <w:t>See IM.003 - Visual Inspection of Blood Components and Plasma Protein Products.</w:t>
      </w:r>
    </w:p>
    <w:p w:rsidR="00D22C71" w:rsidRPr="00D22C71" w:rsidRDefault="00D22C71" w:rsidP="00C302AC">
      <w:pPr>
        <w:spacing w:after="0" w:line="240" w:lineRule="auto"/>
        <w:rPr>
          <w:rFonts w:ascii="Arial" w:hAnsi="Arial" w:cs="Arial"/>
          <w:b/>
          <w:sz w:val="24"/>
        </w:rPr>
      </w:pPr>
    </w:p>
    <w:p w:rsidR="00D22C71" w:rsidRDefault="00A210F1" w:rsidP="00C302AC">
      <w:pPr>
        <w:numPr>
          <w:ilvl w:val="0"/>
          <w:numId w:val="26"/>
        </w:numPr>
        <w:spacing w:after="0" w:line="240" w:lineRule="auto"/>
        <w:ind w:left="709" w:hanging="709"/>
        <w:rPr>
          <w:rFonts w:ascii="Arial" w:hAnsi="Arial" w:cs="Arial"/>
          <w:b/>
          <w:sz w:val="144"/>
        </w:rPr>
      </w:pPr>
      <w:r w:rsidRPr="00B33069">
        <w:rPr>
          <w:rFonts w:ascii="Arial" w:hAnsi="Arial" w:cs="Arial"/>
          <w:b/>
          <w:sz w:val="28"/>
          <w:szCs w:val="24"/>
        </w:rPr>
        <w:t>Procedure</w:t>
      </w:r>
    </w:p>
    <w:p w:rsidR="00D22C71" w:rsidRPr="00C302AC" w:rsidRDefault="00D22C71" w:rsidP="00D22C71">
      <w:pPr>
        <w:ind w:left="709"/>
        <w:rPr>
          <w:rFonts w:ascii="Arial" w:hAnsi="Arial" w:cs="Arial"/>
          <w:b/>
          <w:sz w:val="10"/>
        </w:rPr>
      </w:pPr>
    </w:p>
    <w:tbl>
      <w:tblPr>
        <w:tblStyle w:val="TableGrid"/>
        <w:tblW w:w="0" w:type="auto"/>
        <w:tblInd w:w="-34" w:type="dxa"/>
        <w:tblLook w:val="04A0" w:firstRow="1" w:lastRow="0" w:firstColumn="1" w:lastColumn="0" w:noHBand="0" w:noVBand="1"/>
      </w:tblPr>
      <w:tblGrid>
        <w:gridCol w:w="5245"/>
        <w:gridCol w:w="3645"/>
      </w:tblGrid>
      <w:tr w:rsidR="00EB1D6F" w:rsidTr="00EB1D6F">
        <w:tc>
          <w:tcPr>
            <w:tcW w:w="8890" w:type="dxa"/>
            <w:gridSpan w:val="2"/>
          </w:tcPr>
          <w:p w:rsidR="00EB1D6F" w:rsidRDefault="00EB1D6F" w:rsidP="00C302AC">
            <w:pPr>
              <w:numPr>
                <w:ilvl w:val="1"/>
                <w:numId w:val="26"/>
              </w:numPr>
              <w:spacing w:after="0"/>
              <w:ind w:left="743" w:hanging="743"/>
              <w:rPr>
                <w:rFonts w:ascii="Arial" w:hAnsi="Arial" w:cs="Arial"/>
                <w:b/>
                <w:sz w:val="24"/>
                <w:szCs w:val="24"/>
              </w:rPr>
            </w:pPr>
            <w:r w:rsidRPr="00A210F1">
              <w:rPr>
                <w:rFonts w:ascii="Arial" w:hAnsi="Arial" w:cs="Arial"/>
                <w:sz w:val="24"/>
                <w:szCs w:val="24"/>
              </w:rPr>
              <w:t>Record the discard date on form IM.005F.</w:t>
            </w:r>
          </w:p>
        </w:tc>
      </w:tr>
      <w:tr w:rsidR="00EB1D6F" w:rsidTr="00EB1D6F">
        <w:tc>
          <w:tcPr>
            <w:tcW w:w="8890" w:type="dxa"/>
            <w:gridSpan w:val="2"/>
          </w:tcPr>
          <w:p w:rsidR="00EB1D6F" w:rsidRDefault="00EB1D6F" w:rsidP="00C302AC">
            <w:pPr>
              <w:numPr>
                <w:ilvl w:val="1"/>
                <w:numId w:val="26"/>
              </w:numPr>
              <w:spacing w:after="0"/>
              <w:ind w:left="743" w:hanging="743"/>
              <w:rPr>
                <w:rFonts w:ascii="Arial" w:hAnsi="Arial" w:cs="Arial"/>
                <w:b/>
                <w:sz w:val="24"/>
                <w:szCs w:val="24"/>
              </w:rPr>
            </w:pPr>
            <w:r w:rsidRPr="00A210F1">
              <w:rPr>
                <w:rFonts w:ascii="Arial" w:hAnsi="Arial" w:cs="Arial"/>
                <w:sz w:val="24"/>
                <w:szCs w:val="24"/>
              </w:rPr>
              <w:t>Record the product mnemonic and any modifiers that are associated with the product.</w:t>
            </w:r>
          </w:p>
        </w:tc>
      </w:tr>
      <w:tr w:rsidR="00EB1D6F" w:rsidTr="00EB1D6F">
        <w:tc>
          <w:tcPr>
            <w:tcW w:w="8890" w:type="dxa"/>
            <w:gridSpan w:val="2"/>
          </w:tcPr>
          <w:p w:rsidR="00C302AC" w:rsidRDefault="00EB1D6F" w:rsidP="00C302AC">
            <w:pPr>
              <w:numPr>
                <w:ilvl w:val="1"/>
                <w:numId w:val="26"/>
              </w:numPr>
              <w:spacing w:after="0"/>
              <w:ind w:left="743" w:hanging="743"/>
              <w:rPr>
                <w:rFonts w:ascii="Arial" w:hAnsi="Arial" w:cs="Arial"/>
                <w:sz w:val="24"/>
                <w:szCs w:val="24"/>
              </w:rPr>
            </w:pPr>
            <w:r w:rsidRPr="00EB1D6F">
              <w:rPr>
                <w:rFonts w:ascii="Arial" w:hAnsi="Arial" w:cs="Arial"/>
                <w:sz w:val="24"/>
                <w:szCs w:val="24"/>
              </w:rPr>
              <w:t>Record the ABO/Rh, and ISBT 128 donor unit number of (source code, year of collection, check character and unit identification number) blood components to be discarded.</w:t>
            </w:r>
          </w:p>
          <w:p w:rsidR="00C302AC" w:rsidRDefault="00C302AC" w:rsidP="00C302AC">
            <w:pPr>
              <w:spacing w:after="0"/>
              <w:ind w:left="743"/>
              <w:rPr>
                <w:rFonts w:ascii="Arial" w:hAnsi="Arial" w:cs="Arial"/>
                <w:sz w:val="24"/>
                <w:szCs w:val="24"/>
              </w:rPr>
            </w:pPr>
          </w:p>
          <w:p w:rsidR="00EB1D6F" w:rsidRPr="00C302AC" w:rsidRDefault="00EB1D6F" w:rsidP="00C302AC">
            <w:pPr>
              <w:spacing w:after="0"/>
              <w:ind w:left="743"/>
              <w:rPr>
                <w:rFonts w:ascii="Arial" w:hAnsi="Arial" w:cs="Arial"/>
                <w:sz w:val="24"/>
                <w:szCs w:val="24"/>
              </w:rPr>
            </w:pPr>
            <w:r w:rsidRPr="00C302AC">
              <w:rPr>
                <w:rFonts w:ascii="Arial" w:hAnsi="Arial" w:cs="Arial"/>
                <w:b/>
                <w:sz w:val="24"/>
                <w:szCs w:val="24"/>
              </w:rPr>
              <w:t>Note:</w:t>
            </w:r>
            <w:r w:rsidRPr="00C302AC">
              <w:rPr>
                <w:rFonts w:ascii="Arial" w:hAnsi="Arial" w:cs="Arial"/>
                <w:sz w:val="24"/>
                <w:szCs w:val="24"/>
              </w:rPr>
              <w:t xml:space="preserve"> Rh may not be indicated on frozen plasma products.</w:t>
            </w:r>
          </w:p>
        </w:tc>
      </w:tr>
      <w:tr w:rsidR="00B22FEB" w:rsidTr="00647887">
        <w:tc>
          <w:tcPr>
            <w:tcW w:w="5245" w:type="dxa"/>
          </w:tcPr>
          <w:p w:rsidR="00B22FEB" w:rsidRDefault="00B22FEB" w:rsidP="00C302AC">
            <w:pPr>
              <w:numPr>
                <w:ilvl w:val="1"/>
                <w:numId w:val="26"/>
              </w:numPr>
              <w:spacing w:after="0"/>
              <w:ind w:left="743" w:hanging="743"/>
              <w:rPr>
                <w:rFonts w:ascii="Arial" w:hAnsi="Arial" w:cs="Arial"/>
                <w:b/>
                <w:sz w:val="24"/>
                <w:szCs w:val="24"/>
              </w:rPr>
            </w:pPr>
            <w:r w:rsidRPr="00A210F1">
              <w:rPr>
                <w:rFonts w:ascii="Arial" w:hAnsi="Arial" w:cs="Arial"/>
                <w:sz w:val="24"/>
                <w:szCs w:val="24"/>
              </w:rPr>
              <w:t>Record the lot number of plasma protein products.</w:t>
            </w:r>
          </w:p>
        </w:tc>
        <w:tc>
          <w:tcPr>
            <w:tcW w:w="3645" w:type="dxa"/>
          </w:tcPr>
          <w:p w:rsidR="00B22FEB" w:rsidRDefault="00E95B51" w:rsidP="00C302AC">
            <w:pPr>
              <w:numPr>
                <w:ilvl w:val="2"/>
                <w:numId w:val="26"/>
              </w:numPr>
              <w:spacing w:after="0" w:line="240" w:lineRule="auto"/>
              <w:ind w:left="743" w:hanging="743"/>
              <w:rPr>
                <w:rFonts w:ascii="Arial" w:hAnsi="Arial" w:cs="Arial"/>
                <w:b/>
                <w:sz w:val="24"/>
                <w:szCs w:val="24"/>
              </w:rPr>
            </w:pPr>
            <w:r w:rsidRPr="00A210F1">
              <w:rPr>
                <w:rFonts w:ascii="Arial" w:hAnsi="Arial" w:cs="Arial"/>
                <w:sz w:val="24"/>
                <w:szCs w:val="24"/>
              </w:rPr>
              <w:t xml:space="preserve">If multiple vials of a lot numbered product are not suitable for transfusion, the number of vials must be documented beside the </w:t>
            </w:r>
            <w:r>
              <w:rPr>
                <w:rFonts w:ascii="Arial" w:hAnsi="Arial" w:cs="Arial"/>
                <w:sz w:val="24"/>
                <w:szCs w:val="24"/>
              </w:rPr>
              <w:t>lot number</w:t>
            </w:r>
            <w:r w:rsidR="00C302AC">
              <w:rPr>
                <w:rFonts w:ascii="Arial" w:hAnsi="Arial" w:cs="Arial"/>
                <w:sz w:val="24"/>
                <w:szCs w:val="24"/>
              </w:rPr>
              <w:t xml:space="preserve">                 </w:t>
            </w:r>
            <w:r>
              <w:rPr>
                <w:rFonts w:ascii="Arial" w:hAnsi="Arial" w:cs="Arial"/>
                <w:sz w:val="24"/>
                <w:szCs w:val="24"/>
              </w:rPr>
              <w:t xml:space="preserve"> (</w:t>
            </w:r>
            <w:r w:rsidR="00C302AC">
              <w:rPr>
                <w:rFonts w:ascii="Arial" w:hAnsi="Arial" w:cs="Arial"/>
                <w:sz w:val="24"/>
                <w:szCs w:val="24"/>
              </w:rPr>
              <w:t xml:space="preserve">e.g. C8863 </w:t>
            </w:r>
            <w:r w:rsidRPr="00A210F1">
              <w:rPr>
                <w:rFonts w:ascii="Arial" w:hAnsi="Arial" w:cs="Arial"/>
                <w:sz w:val="24"/>
                <w:szCs w:val="24"/>
              </w:rPr>
              <w:t>x</w:t>
            </w:r>
            <w:r w:rsidR="00C302AC">
              <w:rPr>
                <w:rFonts w:ascii="Arial" w:hAnsi="Arial" w:cs="Arial"/>
                <w:sz w:val="24"/>
                <w:szCs w:val="24"/>
              </w:rPr>
              <w:t xml:space="preserve"> </w:t>
            </w:r>
            <w:r w:rsidRPr="00A210F1">
              <w:rPr>
                <w:rFonts w:ascii="Arial" w:hAnsi="Arial" w:cs="Arial"/>
                <w:sz w:val="24"/>
                <w:szCs w:val="24"/>
              </w:rPr>
              <w:t>4</w:t>
            </w:r>
            <w:r>
              <w:rPr>
                <w:rFonts w:ascii="Arial" w:hAnsi="Arial" w:cs="Arial"/>
                <w:sz w:val="24"/>
                <w:szCs w:val="24"/>
              </w:rPr>
              <w:t>).</w:t>
            </w:r>
          </w:p>
        </w:tc>
      </w:tr>
      <w:tr w:rsidR="00647887" w:rsidTr="00647887">
        <w:tc>
          <w:tcPr>
            <w:tcW w:w="5245" w:type="dxa"/>
          </w:tcPr>
          <w:p w:rsidR="00C302AC" w:rsidRDefault="00647887" w:rsidP="00C302AC">
            <w:pPr>
              <w:numPr>
                <w:ilvl w:val="1"/>
                <w:numId w:val="26"/>
              </w:numPr>
              <w:spacing w:after="0" w:line="240" w:lineRule="auto"/>
              <w:ind w:left="743" w:hanging="743"/>
              <w:rPr>
                <w:rFonts w:ascii="Arial" w:hAnsi="Arial" w:cs="Arial"/>
                <w:b/>
                <w:sz w:val="24"/>
                <w:szCs w:val="24"/>
              </w:rPr>
            </w:pPr>
            <w:r w:rsidRPr="00A210F1">
              <w:rPr>
                <w:rFonts w:ascii="Arial" w:hAnsi="Arial" w:cs="Arial"/>
                <w:sz w:val="24"/>
                <w:szCs w:val="24"/>
              </w:rPr>
              <w:t>Record the reason for final disposition/discard in</w:t>
            </w:r>
            <w:r>
              <w:rPr>
                <w:rFonts w:ascii="Arial" w:hAnsi="Arial" w:cs="Arial"/>
                <w:sz w:val="24"/>
                <w:szCs w:val="24"/>
              </w:rPr>
              <w:t xml:space="preserve"> the appropriate column. Record </w:t>
            </w:r>
            <w:r w:rsidRPr="00A210F1">
              <w:rPr>
                <w:rFonts w:ascii="Arial" w:hAnsi="Arial" w:cs="Arial"/>
                <w:sz w:val="24"/>
                <w:szCs w:val="24"/>
              </w:rPr>
              <w:t>Discard Code in last column</w:t>
            </w:r>
          </w:p>
          <w:p w:rsidR="00C302AC" w:rsidRDefault="00C302AC" w:rsidP="00C302AC">
            <w:pPr>
              <w:spacing w:after="0" w:line="240" w:lineRule="auto"/>
              <w:ind w:left="743"/>
              <w:rPr>
                <w:rFonts w:ascii="Arial" w:hAnsi="Arial" w:cs="Arial"/>
                <w:b/>
                <w:sz w:val="24"/>
                <w:szCs w:val="24"/>
              </w:rPr>
            </w:pPr>
          </w:p>
          <w:p w:rsidR="00647887" w:rsidRPr="00C302AC" w:rsidRDefault="00647887" w:rsidP="00C302AC">
            <w:pPr>
              <w:spacing w:after="0" w:line="240" w:lineRule="auto"/>
              <w:ind w:left="743"/>
              <w:rPr>
                <w:rFonts w:ascii="Arial" w:hAnsi="Arial" w:cs="Arial"/>
                <w:b/>
                <w:sz w:val="24"/>
                <w:szCs w:val="24"/>
              </w:rPr>
            </w:pPr>
            <w:r w:rsidRPr="00C302AC">
              <w:rPr>
                <w:rFonts w:ascii="Arial" w:hAnsi="Arial" w:cs="Arial"/>
                <w:sz w:val="24"/>
                <w:szCs w:val="24"/>
              </w:rPr>
              <w:t xml:space="preserve">Examples: </w:t>
            </w:r>
          </w:p>
          <w:p w:rsidR="00136270" w:rsidRDefault="00136270" w:rsidP="00C302AC">
            <w:pPr>
              <w:spacing w:after="0" w:line="240" w:lineRule="auto"/>
              <w:ind w:left="1211"/>
              <w:rPr>
                <w:rFonts w:ascii="Arial" w:hAnsi="Arial" w:cs="Arial"/>
                <w:sz w:val="24"/>
                <w:szCs w:val="24"/>
              </w:rPr>
            </w:pPr>
          </w:p>
          <w:p w:rsidR="00647887" w:rsidRDefault="00647887" w:rsidP="00C302AC">
            <w:pPr>
              <w:numPr>
                <w:ilvl w:val="1"/>
                <w:numId w:val="30"/>
              </w:numPr>
              <w:spacing w:after="0" w:line="240" w:lineRule="auto"/>
              <w:rPr>
                <w:rFonts w:ascii="Arial" w:hAnsi="Arial" w:cs="Arial"/>
                <w:sz w:val="24"/>
                <w:szCs w:val="24"/>
              </w:rPr>
            </w:pPr>
            <w:r w:rsidRPr="00A210F1">
              <w:rPr>
                <w:rFonts w:ascii="Arial" w:hAnsi="Arial" w:cs="Arial"/>
                <w:sz w:val="24"/>
                <w:szCs w:val="24"/>
              </w:rPr>
              <w:t>Broken</w:t>
            </w:r>
          </w:p>
          <w:p w:rsidR="00647887" w:rsidRDefault="00647887" w:rsidP="00C302AC">
            <w:pPr>
              <w:numPr>
                <w:ilvl w:val="1"/>
                <w:numId w:val="30"/>
              </w:numPr>
              <w:spacing w:after="0" w:line="240" w:lineRule="auto"/>
              <w:rPr>
                <w:rFonts w:ascii="Arial" w:hAnsi="Arial" w:cs="Arial"/>
                <w:sz w:val="24"/>
                <w:szCs w:val="24"/>
              </w:rPr>
            </w:pPr>
            <w:r>
              <w:rPr>
                <w:rFonts w:ascii="Arial" w:hAnsi="Arial" w:cs="Arial"/>
                <w:sz w:val="24"/>
                <w:szCs w:val="24"/>
              </w:rPr>
              <w:t>Inappropriate storage (e.g.</w:t>
            </w:r>
            <w:r w:rsidRPr="00A210F1">
              <w:rPr>
                <w:rFonts w:ascii="Arial" w:hAnsi="Arial" w:cs="Arial"/>
                <w:sz w:val="24"/>
                <w:szCs w:val="24"/>
              </w:rPr>
              <w:t xml:space="preserve"> out of fridge too long, not hung within 30 minutes of issue, fridge or freezer malfunction)</w:t>
            </w:r>
          </w:p>
          <w:p w:rsidR="00647887" w:rsidRDefault="00647887" w:rsidP="00C302AC">
            <w:pPr>
              <w:numPr>
                <w:ilvl w:val="1"/>
                <w:numId w:val="30"/>
              </w:numPr>
              <w:spacing w:after="0" w:line="240" w:lineRule="auto"/>
              <w:rPr>
                <w:rFonts w:ascii="Arial" w:hAnsi="Arial" w:cs="Arial"/>
                <w:sz w:val="24"/>
                <w:szCs w:val="24"/>
              </w:rPr>
            </w:pPr>
            <w:r w:rsidRPr="00A210F1">
              <w:rPr>
                <w:rFonts w:ascii="Arial" w:hAnsi="Arial" w:cs="Arial"/>
                <w:sz w:val="24"/>
                <w:szCs w:val="24"/>
              </w:rPr>
              <w:t>Failed visual inspection criteria</w:t>
            </w:r>
          </w:p>
          <w:p w:rsidR="00647887" w:rsidRDefault="00647887" w:rsidP="00C302AC">
            <w:pPr>
              <w:numPr>
                <w:ilvl w:val="1"/>
                <w:numId w:val="30"/>
              </w:numPr>
              <w:spacing w:after="0" w:line="240" w:lineRule="auto"/>
              <w:rPr>
                <w:rFonts w:ascii="Arial" w:hAnsi="Arial" w:cs="Arial"/>
                <w:sz w:val="24"/>
                <w:szCs w:val="24"/>
              </w:rPr>
            </w:pPr>
            <w:r>
              <w:rPr>
                <w:rFonts w:ascii="Arial" w:hAnsi="Arial" w:cs="Arial"/>
                <w:sz w:val="24"/>
                <w:szCs w:val="24"/>
              </w:rPr>
              <w:t>Quality control failure (e.g.</w:t>
            </w:r>
            <w:r w:rsidRPr="00A210F1">
              <w:rPr>
                <w:rFonts w:ascii="Arial" w:hAnsi="Arial" w:cs="Arial"/>
                <w:sz w:val="24"/>
                <w:szCs w:val="24"/>
              </w:rPr>
              <w:t xml:space="preserve"> positive direct antiglobulin test on unit, </w:t>
            </w:r>
            <w:r w:rsidRPr="00A210F1">
              <w:rPr>
                <w:rFonts w:ascii="Arial" w:hAnsi="Arial" w:cs="Arial"/>
                <w:sz w:val="24"/>
                <w:szCs w:val="24"/>
              </w:rPr>
              <w:lastRenderedPageBreak/>
              <w:t>icteric, inadequate or incorrect labeling, hemolysis, illegible date stamp)</w:t>
            </w:r>
          </w:p>
          <w:p w:rsidR="00647887" w:rsidRDefault="00647887" w:rsidP="00C302AC">
            <w:pPr>
              <w:numPr>
                <w:ilvl w:val="1"/>
                <w:numId w:val="30"/>
              </w:numPr>
              <w:spacing w:after="0" w:line="240" w:lineRule="auto"/>
              <w:rPr>
                <w:rFonts w:ascii="Arial" w:hAnsi="Arial" w:cs="Arial"/>
                <w:sz w:val="24"/>
                <w:szCs w:val="24"/>
              </w:rPr>
            </w:pPr>
            <w:r w:rsidRPr="00647887">
              <w:rPr>
                <w:rFonts w:ascii="Arial" w:hAnsi="Arial" w:cs="Arial"/>
                <w:sz w:val="24"/>
                <w:szCs w:val="24"/>
              </w:rPr>
              <w:t xml:space="preserve">Unit “opened or entered” through both ports on the bag (no port </w:t>
            </w:r>
            <w:r>
              <w:rPr>
                <w:rFonts w:ascii="Arial" w:hAnsi="Arial" w:cs="Arial"/>
                <w:sz w:val="24"/>
                <w:szCs w:val="24"/>
              </w:rPr>
              <w:t>available for administration)</w:t>
            </w:r>
          </w:p>
          <w:p w:rsidR="00647887" w:rsidRDefault="00647887" w:rsidP="00C302AC">
            <w:pPr>
              <w:numPr>
                <w:ilvl w:val="1"/>
                <w:numId w:val="30"/>
              </w:numPr>
              <w:spacing w:after="0" w:line="240" w:lineRule="auto"/>
              <w:rPr>
                <w:rFonts w:ascii="Arial" w:hAnsi="Arial" w:cs="Arial"/>
                <w:sz w:val="24"/>
                <w:szCs w:val="24"/>
              </w:rPr>
            </w:pPr>
            <w:r w:rsidRPr="00647887">
              <w:rPr>
                <w:rFonts w:ascii="Arial" w:hAnsi="Arial" w:cs="Arial"/>
                <w:sz w:val="24"/>
                <w:szCs w:val="24"/>
              </w:rPr>
              <w:t>Problem encountered in the reconstitution process (e.g. no vacuum in lyophilized bottle - did not dissolve)</w:t>
            </w:r>
          </w:p>
          <w:p w:rsidR="00647887" w:rsidRDefault="00647887" w:rsidP="00C302AC">
            <w:pPr>
              <w:numPr>
                <w:ilvl w:val="1"/>
                <w:numId w:val="30"/>
              </w:numPr>
              <w:spacing w:after="0" w:line="240" w:lineRule="auto"/>
              <w:rPr>
                <w:rFonts w:ascii="Arial" w:hAnsi="Arial" w:cs="Arial"/>
                <w:sz w:val="24"/>
                <w:szCs w:val="24"/>
              </w:rPr>
            </w:pPr>
            <w:r w:rsidRPr="00647887">
              <w:rPr>
                <w:rFonts w:ascii="Arial" w:hAnsi="Arial" w:cs="Arial"/>
                <w:sz w:val="24"/>
                <w:szCs w:val="24"/>
              </w:rPr>
              <w:t>Component or product used other than for transfusion (e.g. QC purposes)</w:t>
            </w:r>
          </w:p>
          <w:p w:rsidR="00647887" w:rsidRDefault="00647887" w:rsidP="00C302AC">
            <w:pPr>
              <w:numPr>
                <w:ilvl w:val="1"/>
                <w:numId w:val="30"/>
              </w:numPr>
              <w:spacing w:after="0" w:line="240" w:lineRule="auto"/>
              <w:rPr>
                <w:rFonts w:ascii="Arial" w:hAnsi="Arial" w:cs="Arial"/>
                <w:sz w:val="24"/>
                <w:szCs w:val="24"/>
              </w:rPr>
            </w:pPr>
            <w:r w:rsidRPr="00647887">
              <w:rPr>
                <w:rFonts w:ascii="Arial" w:hAnsi="Arial" w:cs="Arial"/>
                <w:sz w:val="24"/>
                <w:szCs w:val="24"/>
              </w:rPr>
              <w:t>No available segments on red cell unit(s) for crossmatch purposes</w:t>
            </w:r>
          </w:p>
          <w:p w:rsidR="00647887" w:rsidRDefault="00647887" w:rsidP="00C302AC">
            <w:pPr>
              <w:numPr>
                <w:ilvl w:val="1"/>
                <w:numId w:val="30"/>
              </w:numPr>
              <w:spacing w:after="0" w:line="240" w:lineRule="auto"/>
              <w:rPr>
                <w:rFonts w:ascii="Arial" w:hAnsi="Arial" w:cs="Arial"/>
                <w:b/>
                <w:sz w:val="24"/>
                <w:szCs w:val="24"/>
              </w:rPr>
            </w:pPr>
            <w:r w:rsidRPr="00647887">
              <w:rPr>
                <w:rFonts w:ascii="Arial" w:hAnsi="Arial" w:cs="Arial"/>
                <w:sz w:val="24"/>
                <w:szCs w:val="24"/>
              </w:rPr>
              <w:t>Units recalled by the blood supplier</w:t>
            </w:r>
          </w:p>
        </w:tc>
        <w:tc>
          <w:tcPr>
            <w:tcW w:w="3645" w:type="dxa"/>
          </w:tcPr>
          <w:p w:rsidR="00647887" w:rsidRPr="00647887" w:rsidRDefault="00647887" w:rsidP="00647887">
            <w:pPr>
              <w:numPr>
                <w:ilvl w:val="2"/>
                <w:numId w:val="26"/>
              </w:numPr>
              <w:ind w:left="742" w:hanging="742"/>
              <w:rPr>
                <w:rFonts w:ascii="Arial" w:hAnsi="Arial" w:cs="Arial"/>
                <w:sz w:val="24"/>
                <w:szCs w:val="24"/>
              </w:rPr>
            </w:pPr>
            <w:r w:rsidRPr="00647887">
              <w:rPr>
                <w:rFonts w:ascii="Arial" w:hAnsi="Arial" w:cs="Arial"/>
                <w:sz w:val="24"/>
                <w:szCs w:val="24"/>
              </w:rPr>
              <w:lastRenderedPageBreak/>
              <w:t>Discard Codes:</w:t>
            </w:r>
          </w:p>
          <w:p w:rsidR="00647887" w:rsidRDefault="00647887" w:rsidP="00C302AC">
            <w:pPr>
              <w:numPr>
                <w:ilvl w:val="0"/>
                <w:numId w:val="32"/>
              </w:numPr>
              <w:spacing w:after="0" w:line="240" w:lineRule="auto"/>
              <w:ind w:left="1168"/>
              <w:rPr>
                <w:rFonts w:ascii="Arial" w:hAnsi="Arial" w:cs="Arial"/>
                <w:sz w:val="24"/>
                <w:szCs w:val="24"/>
              </w:rPr>
            </w:pPr>
            <w:r w:rsidRPr="00647887">
              <w:rPr>
                <w:rFonts w:ascii="Arial" w:hAnsi="Arial" w:cs="Arial"/>
                <w:sz w:val="24"/>
                <w:szCs w:val="24"/>
              </w:rPr>
              <w:t>Document “E” whenever a component or lot numbered product is outdated (expired).</w:t>
            </w:r>
          </w:p>
          <w:p w:rsidR="00647887" w:rsidRDefault="00647887" w:rsidP="00C302AC">
            <w:pPr>
              <w:spacing w:after="0" w:line="240" w:lineRule="auto"/>
              <w:ind w:left="1168"/>
              <w:rPr>
                <w:rFonts w:ascii="Arial" w:hAnsi="Arial" w:cs="Arial"/>
                <w:sz w:val="24"/>
                <w:szCs w:val="24"/>
              </w:rPr>
            </w:pPr>
          </w:p>
          <w:p w:rsidR="00647887" w:rsidRPr="00647887" w:rsidRDefault="00647887" w:rsidP="00C302AC">
            <w:pPr>
              <w:numPr>
                <w:ilvl w:val="0"/>
                <w:numId w:val="32"/>
              </w:numPr>
              <w:spacing w:after="0" w:line="240" w:lineRule="auto"/>
              <w:ind w:left="1168"/>
              <w:rPr>
                <w:rFonts w:ascii="Arial" w:hAnsi="Arial" w:cs="Arial"/>
                <w:sz w:val="24"/>
                <w:szCs w:val="24"/>
              </w:rPr>
            </w:pPr>
            <w:r w:rsidRPr="00647887">
              <w:rPr>
                <w:rFonts w:ascii="Arial" w:hAnsi="Arial" w:cs="Arial"/>
                <w:sz w:val="24"/>
                <w:szCs w:val="24"/>
              </w:rPr>
              <w:t xml:space="preserve">Document “D” whenever a blood component or lot numbered product is disposed of or returned to the manufacturer or </w:t>
            </w:r>
            <w:r w:rsidRPr="00647887">
              <w:rPr>
                <w:rFonts w:ascii="Arial" w:hAnsi="Arial" w:cs="Arial"/>
                <w:sz w:val="24"/>
                <w:szCs w:val="24"/>
              </w:rPr>
              <w:lastRenderedPageBreak/>
              <w:t>blood supplier.</w:t>
            </w:r>
          </w:p>
        </w:tc>
      </w:tr>
      <w:tr w:rsidR="00EB1D6F" w:rsidTr="00EB1D6F">
        <w:tc>
          <w:tcPr>
            <w:tcW w:w="8890" w:type="dxa"/>
            <w:gridSpan w:val="2"/>
          </w:tcPr>
          <w:p w:rsidR="00EB1D6F" w:rsidRDefault="00136270" w:rsidP="00C302AC">
            <w:pPr>
              <w:numPr>
                <w:ilvl w:val="1"/>
                <w:numId w:val="26"/>
              </w:numPr>
              <w:spacing w:after="0"/>
              <w:ind w:left="743" w:hanging="743"/>
              <w:rPr>
                <w:rFonts w:ascii="Arial" w:hAnsi="Arial" w:cs="Arial"/>
                <w:b/>
                <w:sz w:val="24"/>
                <w:szCs w:val="24"/>
              </w:rPr>
            </w:pPr>
            <w:r w:rsidRPr="00A210F1">
              <w:rPr>
                <w:rFonts w:ascii="Arial" w:hAnsi="Arial" w:cs="Arial"/>
                <w:sz w:val="24"/>
                <w:szCs w:val="24"/>
              </w:rPr>
              <w:lastRenderedPageBreak/>
              <w:t>Discard the blood product (if not returned to the supplier) in an appropriate biohazard receptacle.</w:t>
            </w:r>
          </w:p>
        </w:tc>
      </w:tr>
    </w:tbl>
    <w:p w:rsidR="001512D2" w:rsidRDefault="001512D2" w:rsidP="001512D2">
      <w:pPr>
        <w:spacing w:after="0" w:line="240" w:lineRule="auto"/>
        <w:ind w:left="709"/>
        <w:rPr>
          <w:rFonts w:ascii="Arial" w:hAnsi="Arial" w:cs="Arial"/>
          <w:b/>
          <w:sz w:val="28"/>
          <w:szCs w:val="28"/>
        </w:rPr>
      </w:pPr>
    </w:p>
    <w:p w:rsidR="00136270" w:rsidRDefault="00A210F1" w:rsidP="00C302AC">
      <w:pPr>
        <w:numPr>
          <w:ilvl w:val="0"/>
          <w:numId w:val="26"/>
        </w:numPr>
        <w:spacing w:after="0" w:line="240" w:lineRule="auto"/>
        <w:ind w:left="709" w:hanging="709"/>
        <w:rPr>
          <w:rFonts w:ascii="Arial" w:hAnsi="Arial" w:cs="Arial"/>
          <w:b/>
          <w:sz w:val="28"/>
          <w:szCs w:val="28"/>
        </w:rPr>
      </w:pPr>
      <w:r w:rsidRPr="00136270">
        <w:rPr>
          <w:rFonts w:ascii="Arial" w:hAnsi="Arial" w:cs="Arial"/>
          <w:b/>
          <w:sz w:val="28"/>
          <w:szCs w:val="28"/>
        </w:rPr>
        <w:t>Reporting</w:t>
      </w:r>
    </w:p>
    <w:p w:rsidR="00136270" w:rsidRPr="00C302AC" w:rsidRDefault="00136270" w:rsidP="00C302AC">
      <w:pPr>
        <w:spacing w:after="0" w:line="240" w:lineRule="auto"/>
        <w:ind w:left="709"/>
        <w:rPr>
          <w:rFonts w:ascii="Arial" w:hAnsi="Arial" w:cs="Arial"/>
          <w:szCs w:val="24"/>
        </w:rPr>
      </w:pPr>
    </w:p>
    <w:p w:rsidR="00136270" w:rsidRDefault="00136270" w:rsidP="00C302AC">
      <w:pPr>
        <w:spacing w:after="0" w:line="240" w:lineRule="auto"/>
        <w:ind w:left="709"/>
        <w:rPr>
          <w:rFonts w:ascii="Arial" w:hAnsi="Arial" w:cs="Arial"/>
          <w:sz w:val="24"/>
          <w:szCs w:val="24"/>
        </w:rPr>
      </w:pPr>
      <w:r w:rsidRPr="00A210F1">
        <w:rPr>
          <w:rFonts w:ascii="Arial" w:hAnsi="Arial" w:cs="Arial"/>
          <w:sz w:val="24"/>
          <w:szCs w:val="24"/>
        </w:rPr>
        <w:t>When directed by the blood supplier, return blood product(s) and blood component(s) using the appropriate documentation loca</w:t>
      </w:r>
      <w:r>
        <w:rPr>
          <w:rFonts w:ascii="Arial" w:hAnsi="Arial" w:cs="Arial"/>
          <w:sz w:val="24"/>
          <w:szCs w:val="24"/>
        </w:rPr>
        <w:t>ted on the blood supplier’s web</w:t>
      </w:r>
      <w:r w:rsidRPr="00A210F1">
        <w:rPr>
          <w:rFonts w:ascii="Arial" w:hAnsi="Arial" w:cs="Arial"/>
          <w:sz w:val="24"/>
          <w:szCs w:val="24"/>
        </w:rPr>
        <w:t xml:space="preserve">site </w:t>
      </w:r>
      <w:r>
        <w:rPr>
          <w:rFonts w:ascii="Arial" w:hAnsi="Arial" w:cs="Arial"/>
          <w:sz w:val="24"/>
          <w:szCs w:val="24"/>
        </w:rPr>
        <w:t>(</w:t>
      </w:r>
      <w:r w:rsidRPr="00A210F1">
        <w:rPr>
          <w:rFonts w:ascii="Arial" w:hAnsi="Arial" w:cs="Arial"/>
          <w:sz w:val="24"/>
          <w:szCs w:val="24"/>
        </w:rPr>
        <w:t>www.blood.ca</w:t>
      </w:r>
      <w:r>
        <w:rPr>
          <w:rFonts w:ascii="Arial" w:hAnsi="Arial" w:cs="Arial"/>
          <w:sz w:val="24"/>
          <w:szCs w:val="24"/>
        </w:rPr>
        <w:t>)</w:t>
      </w:r>
      <w:r w:rsidRPr="00A210F1">
        <w:rPr>
          <w:rFonts w:ascii="Arial" w:hAnsi="Arial" w:cs="Arial"/>
          <w:sz w:val="24"/>
          <w:szCs w:val="24"/>
        </w:rPr>
        <w:t xml:space="preserve"> under hospital customer forms.  </w:t>
      </w:r>
    </w:p>
    <w:p w:rsidR="00136270" w:rsidRDefault="00136270" w:rsidP="00C302AC">
      <w:pPr>
        <w:spacing w:after="0" w:line="240" w:lineRule="auto"/>
        <w:ind w:left="709"/>
        <w:rPr>
          <w:rFonts w:ascii="Arial" w:hAnsi="Arial" w:cs="Arial"/>
          <w:b/>
          <w:sz w:val="28"/>
          <w:szCs w:val="28"/>
        </w:rPr>
      </w:pPr>
    </w:p>
    <w:p w:rsidR="00136270" w:rsidRDefault="00A210F1" w:rsidP="00C302AC">
      <w:pPr>
        <w:numPr>
          <w:ilvl w:val="0"/>
          <w:numId w:val="26"/>
        </w:numPr>
        <w:spacing w:after="0" w:line="240" w:lineRule="auto"/>
        <w:ind w:left="709" w:hanging="709"/>
        <w:rPr>
          <w:rFonts w:ascii="Arial" w:hAnsi="Arial" w:cs="Arial"/>
          <w:b/>
          <w:sz w:val="32"/>
          <w:szCs w:val="28"/>
        </w:rPr>
      </w:pPr>
      <w:r w:rsidRPr="00136270">
        <w:rPr>
          <w:rFonts w:ascii="Arial" w:hAnsi="Arial" w:cs="Arial"/>
          <w:b/>
          <w:sz w:val="28"/>
          <w:szCs w:val="24"/>
        </w:rPr>
        <w:t>Procedural Notes – N/A</w:t>
      </w:r>
    </w:p>
    <w:p w:rsidR="00C302AC" w:rsidRDefault="00C302AC" w:rsidP="00C302AC">
      <w:pPr>
        <w:spacing w:after="0"/>
        <w:ind w:left="709"/>
        <w:rPr>
          <w:rFonts w:ascii="Arial" w:hAnsi="Arial" w:cs="Arial"/>
          <w:b/>
          <w:sz w:val="28"/>
          <w:szCs w:val="28"/>
        </w:rPr>
      </w:pPr>
    </w:p>
    <w:p w:rsidR="00136270" w:rsidRDefault="00A210F1" w:rsidP="007C5CA7">
      <w:pPr>
        <w:numPr>
          <w:ilvl w:val="0"/>
          <w:numId w:val="26"/>
        </w:numPr>
        <w:spacing w:after="0" w:line="240" w:lineRule="auto"/>
        <w:ind w:left="709" w:hanging="709"/>
        <w:rPr>
          <w:rFonts w:ascii="Arial" w:hAnsi="Arial" w:cs="Arial"/>
          <w:b/>
          <w:sz w:val="28"/>
          <w:szCs w:val="28"/>
        </w:rPr>
      </w:pPr>
      <w:r w:rsidRPr="00136270">
        <w:rPr>
          <w:rFonts w:ascii="Arial" w:hAnsi="Arial" w:cs="Arial"/>
          <w:b/>
          <w:sz w:val="28"/>
          <w:szCs w:val="28"/>
        </w:rPr>
        <w:t>References</w:t>
      </w:r>
    </w:p>
    <w:p w:rsidR="00136270" w:rsidRPr="00136270" w:rsidRDefault="00136270" w:rsidP="007C5CA7">
      <w:pPr>
        <w:spacing w:after="0" w:line="240" w:lineRule="auto"/>
        <w:ind w:left="1418"/>
        <w:rPr>
          <w:rFonts w:ascii="Arial" w:hAnsi="Arial" w:cs="Arial"/>
          <w:b/>
          <w:sz w:val="28"/>
          <w:szCs w:val="28"/>
        </w:rPr>
      </w:pPr>
    </w:p>
    <w:p w:rsidR="00136270" w:rsidRDefault="00A210F1" w:rsidP="007C5CA7">
      <w:pPr>
        <w:numPr>
          <w:ilvl w:val="1"/>
          <w:numId w:val="26"/>
        </w:numPr>
        <w:spacing w:after="0" w:line="240" w:lineRule="auto"/>
        <w:ind w:left="1418" w:hanging="709"/>
        <w:rPr>
          <w:rFonts w:ascii="Arial" w:hAnsi="Arial" w:cs="Arial"/>
          <w:b/>
          <w:sz w:val="28"/>
          <w:szCs w:val="28"/>
        </w:rPr>
      </w:pPr>
      <w:r w:rsidRPr="00136270">
        <w:rPr>
          <w:rFonts w:ascii="Arial" w:hAnsi="Arial" w:cs="Arial"/>
          <w:sz w:val="24"/>
          <w:szCs w:val="24"/>
        </w:rPr>
        <w:t>CSTM Standards for Hospital Transfusion Services Version 3 – February 2011. Canadian Society for Transfusion Medicine, 6.3.5.</w:t>
      </w:r>
    </w:p>
    <w:p w:rsidR="00136270" w:rsidRDefault="00136270" w:rsidP="007C5CA7">
      <w:pPr>
        <w:spacing w:after="0" w:line="240" w:lineRule="auto"/>
        <w:ind w:left="1418"/>
        <w:rPr>
          <w:rFonts w:ascii="Arial" w:hAnsi="Arial" w:cs="Arial"/>
          <w:b/>
          <w:sz w:val="28"/>
          <w:szCs w:val="28"/>
        </w:rPr>
      </w:pPr>
    </w:p>
    <w:p w:rsidR="007117E0" w:rsidRPr="00136270" w:rsidRDefault="00A210F1" w:rsidP="007C5CA7">
      <w:pPr>
        <w:numPr>
          <w:ilvl w:val="1"/>
          <w:numId w:val="26"/>
        </w:numPr>
        <w:spacing w:after="0" w:line="240" w:lineRule="auto"/>
        <w:ind w:left="1418" w:hanging="709"/>
        <w:rPr>
          <w:rFonts w:ascii="Arial" w:hAnsi="Arial" w:cs="Arial"/>
          <w:b/>
          <w:sz w:val="28"/>
          <w:szCs w:val="28"/>
        </w:rPr>
      </w:pPr>
      <w:r w:rsidRPr="00136270">
        <w:rPr>
          <w:rFonts w:ascii="Arial" w:hAnsi="Arial" w:cs="Arial"/>
          <w:sz w:val="24"/>
          <w:szCs w:val="24"/>
        </w:rPr>
        <w:t>Blood and Blood Components. CAN/CSA</w:t>
      </w:r>
      <w:r w:rsidR="00136270">
        <w:rPr>
          <w:rFonts w:ascii="Arial" w:hAnsi="Arial" w:cs="Arial"/>
          <w:sz w:val="24"/>
          <w:szCs w:val="24"/>
        </w:rPr>
        <w:t xml:space="preserve"> Z902-10 February 2010. Table 4 -</w:t>
      </w:r>
      <w:r w:rsidRPr="00136270">
        <w:rPr>
          <w:rFonts w:ascii="Arial" w:hAnsi="Arial" w:cs="Arial"/>
          <w:sz w:val="24"/>
          <w:szCs w:val="24"/>
        </w:rPr>
        <w:t xml:space="preserve"> </w:t>
      </w:r>
      <w:r w:rsidR="00136270">
        <w:rPr>
          <w:rFonts w:ascii="Arial" w:hAnsi="Arial" w:cs="Arial"/>
          <w:sz w:val="24"/>
          <w:szCs w:val="24"/>
        </w:rPr>
        <w:t>D</w:t>
      </w:r>
      <w:r w:rsidRPr="00136270">
        <w:rPr>
          <w:rFonts w:ascii="Arial" w:hAnsi="Arial" w:cs="Arial"/>
          <w:sz w:val="24"/>
          <w:szCs w:val="24"/>
        </w:rPr>
        <w:t>efinitions.</w:t>
      </w:r>
    </w:p>
    <w:p w:rsidR="00136270" w:rsidRDefault="00136270" w:rsidP="007C5CA7">
      <w:pPr>
        <w:pStyle w:val="ListParagraph"/>
        <w:spacing w:after="0" w:line="240" w:lineRule="auto"/>
        <w:rPr>
          <w:rFonts w:ascii="Arial" w:hAnsi="Arial" w:cs="Arial"/>
          <w:b/>
          <w:sz w:val="28"/>
          <w:szCs w:val="28"/>
        </w:rPr>
      </w:pPr>
    </w:p>
    <w:p w:rsidR="00A42589" w:rsidRDefault="00A42589" w:rsidP="007C5CA7">
      <w:pPr>
        <w:pStyle w:val="ListParagraph"/>
        <w:spacing w:after="0" w:line="240" w:lineRule="auto"/>
        <w:rPr>
          <w:rFonts w:ascii="Arial" w:hAnsi="Arial" w:cs="Arial"/>
          <w:b/>
          <w:sz w:val="28"/>
          <w:szCs w:val="28"/>
        </w:rPr>
      </w:pPr>
    </w:p>
    <w:p w:rsidR="00A42589" w:rsidRDefault="00A42589" w:rsidP="007C5CA7">
      <w:pPr>
        <w:pStyle w:val="ListParagraph"/>
        <w:spacing w:after="0" w:line="240" w:lineRule="auto"/>
        <w:rPr>
          <w:rFonts w:ascii="Arial" w:hAnsi="Arial" w:cs="Arial"/>
          <w:b/>
          <w:sz w:val="28"/>
          <w:szCs w:val="28"/>
        </w:rPr>
      </w:pPr>
    </w:p>
    <w:p w:rsidR="00136270" w:rsidRDefault="00136270" w:rsidP="007C5CA7">
      <w:pPr>
        <w:numPr>
          <w:ilvl w:val="0"/>
          <w:numId w:val="26"/>
        </w:numPr>
        <w:spacing w:after="0" w:line="240" w:lineRule="auto"/>
        <w:ind w:left="709" w:hanging="709"/>
        <w:rPr>
          <w:rFonts w:ascii="Arial" w:hAnsi="Arial" w:cs="Arial"/>
          <w:b/>
          <w:sz w:val="28"/>
          <w:szCs w:val="28"/>
        </w:rPr>
      </w:pPr>
      <w:r>
        <w:rPr>
          <w:rFonts w:ascii="Arial" w:hAnsi="Arial" w:cs="Arial"/>
          <w:b/>
          <w:sz w:val="28"/>
          <w:szCs w:val="28"/>
        </w:rPr>
        <w:lastRenderedPageBreak/>
        <w:t>Revision History</w:t>
      </w:r>
    </w:p>
    <w:p w:rsidR="00136270" w:rsidRPr="007C5CA7" w:rsidRDefault="00136270" w:rsidP="00136270">
      <w:pPr>
        <w:rPr>
          <w:rFonts w:ascii="Arial" w:hAnsi="Arial" w:cs="Arial"/>
          <w:b/>
          <w:sz w:val="14"/>
          <w:szCs w:val="28"/>
        </w:rPr>
      </w:pPr>
    </w:p>
    <w:tbl>
      <w:tblPr>
        <w:tblStyle w:val="TableGrid"/>
        <w:tblW w:w="0" w:type="auto"/>
        <w:tblLook w:val="04A0" w:firstRow="1" w:lastRow="0" w:firstColumn="1" w:lastColumn="0" w:noHBand="0" w:noVBand="1"/>
      </w:tblPr>
      <w:tblGrid>
        <w:gridCol w:w="3085"/>
        <w:gridCol w:w="5771"/>
      </w:tblGrid>
      <w:tr w:rsidR="00136270" w:rsidTr="007C5CA7">
        <w:trPr>
          <w:trHeight w:val="49"/>
        </w:trPr>
        <w:tc>
          <w:tcPr>
            <w:tcW w:w="3085" w:type="dxa"/>
            <w:shd w:val="clear" w:color="auto" w:fill="BFBFBF" w:themeFill="background1" w:themeFillShade="BF"/>
          </w:tcPr>
          <w:p w:rsidR="00136270" w:rsidRPr="007C5CA7" w:rsidRDefault="00136270" w:rsidP="007C5CA7">
            <w:pPr>
              <w:spacing w:after="0"/>
              <w:jc w:val="center"/>
              <w:rPr>
                <w:rFonts w:ascii="Arial" w:hAnsi="Arial" w:cs="Arial"/>
                <w:b/>
                <w:sz w:val="10"/>
              </w:rPr>
            </w:pPr>
            <w:r w:rsidRPr="00136270">
              <w:rPr>
                <w:rFonts w:ascii="Arial" w:hAnsi="Arial" w:cs="Arial"/>
                <w:b/>
              </w:rPr>
              <w:t>Revision Date</w:t>
            </w:r>
          </w:p>
        </w:tc>
        <w:tc>
          <w:tcPr>
            <w:tcW w:w="5771" w:type="dxa"/>
            <w:shd w:val="clear" w:color="auto" w:fill="BFBFBF" w:themeFill="background1" w:themeFillShade="BF"/>
          </w:tcPr>
          <w:p w:rsidR="00136270" w:rsidRPr="00136270" w:rsidRDefault="00136270" w:rsidP="007C5CA7">
            <w:pPr>
              <w:spacing w:after="0" w:line="240" w:lineRule="auto"/>
              <w:jc w:val="center"/>
              <w:rPr>
                <w:rFonts w:ascii="Arial" w:hAnsi="Arial" w:cs="Arial"/>
                <w:b/>
              </w:rPr>
            </w:pPr>
            <w:r w:rsidRPr="00136270">
              <w:rPr>
                <w:rFonts w:ascii="Arial" w:hAnsi="Arial" w:cs="Arial"/>
                <w:b/>
              </w:rPr>
              <w:t>Summary of Revision</w:t>
            </w:r>
          </w:p>
        </w:tc>
      </w:tr>
      <w:tr w:rsidR="00136270" w:rsidTr="00136270">
        <w:tc>
          <w:tcPr>
            <w:tcW w:w="3085" w:type="dxa"/>
          </w:tcPr>
          <w:p w:rsidR="00136270" w:rsidRDefault="00136270" w:rsidP="00136270">
            <w:pPr>
              <w:rPr>
                <w:rFonts w:ascii="Arial" w:hAnsi="Arial" w:cs="Arial"/>
              </w:rPr>
            </w:pPr>
            <w:r>
              <w:rPr>
                <w:rFonts w:ascii="Arial" w:hAnsi="Arial" w:cs="Arial"/>
              </w:rPr>
              <w:t>August 8, 2014</w:t>
            </w:r>
          </w:p>
        </w:tc>
        <w:tc>
          <w:tcPr>
            <w:tcW w:w="5771" w:type="dxa"/>
          </w:tcPr>
          <w:p w:rsidR="00136270" w:rsidRDefault="00136270" w:rsidP="007C5CA7">
            <w:pPr>
              <w:numPr>
                <w:ilvl w:val="0"/>
                <w:numId w:val="33"/>
              </w:numPr>
              <w:spacing w:after="0"/>
              <w:ind w:left="357" w:hanging="357"/>
              <w:rPr>
                <w:rFonts w:ascii="Arial" w:hAnsi="Arial" w:cs="Arial"/>
              </w:rPr>
            </w:pPr>
            <w:r>
              <w:rPr>
                <w:rFonts w:ascii="Arial" w:hAnsi="Arial" w:cs="Arial"/>
              </w:rPr>
              <w:t>Revised name of manual</w:t>
            </w:r>
          </w:p>
          <w:p w:rsidR="00136270" w:rsidRDefault="00136270" w:rsidP="007C5CA7">
            <w:pPr>
              <w:numPr>
                <w:ilvl w:val="0"/>
                <w:numId w:val="33"/>
              </w:numPr>
              <w:spacing w:after="0"/>
              <w:ind w:left="357" w:hanging="357"/>
              <w:rPr>
                <w:rFonts w:ascii="Arial" w:hAnsi="Arial" w:cs="Arial"/>
              </w:rPr>
            </w:pPr>
            <w:r>
              <w:rPr>
                <w:rFonts w:ascii="Arial" w:hAnsi="Arial" w:cs="Arial"/>
              </w:rPr>
              <w:t>Revised name of document</w:t>
            </w:r>
          </w:p>
          <w:p w:rsidR="00136270" w:rsidRDefault="00136270" w:rsidP="007C5CA7">
            <w:pPr>
              <w:numPr>
                <w:ilvl w:val="0"/>
                <w:numId w:val="33"/>
              </w:numPr>
              <w:spacing w:after="0"/>
              <w:ind w:left="357" w:hanging="357"/>
              <w:rPr>
                <w:rFonts w:ascii="Arial" w:hAnsi="Arial" w:cs="Arial"/>
              </w:rPr>
            </w:pPr>
            <w:r>
              <w:rPr>
                <w:rFonts w:ascii="Arial" w:hAnsi="Arial" w:cs="Arial"/>
              </w:rPr>
              <w:t>Revised sections 2.0, 5.0 &amp; 7.0</w:t>
            </w:r>
          </w:p>
          <w:p w:rsidR="00136270" w:rsidRDefault="00136270" w:rsidP="007C5CA7">
            <w:pPr>
              <w:numPr>
                <w:ilvl w:val="0"/>
                <w:numId w:val="33"/>
              </w:numPr>
              <w:spacing w:after="0"/>
              <w:ind w:left="357" w:hanging="357"/>
              <w:rPr>
                <w:rFonts w:ascii="Arial" w:hAnsi="Arial" w:cs="Arial"/>
              </w:rPr>
            </w:pPr>
            <w:r>
              <w:rPr>
                <w:rFonts w:ascii="Arial" w:hAnsi="Arial" w:cs="Arial"/>
              </w:rPr>
              <w:t xml:space="preserve">Added “See 7.0 – Reporting” to section 4.0- Materials </w:t>
            </w:r>
          </w:p>
          <w:p w:rsidR="00136270" w:rsidRDefault="00136270" w:rsidP="007C5CA7">
            <w:pPr>
              <w:numPr>
                <w:ilvl w:val="0"/>
                <w:numId w:val="33"/>
              </w:numPr>
              <w:spacing w:after="0"/>
              <w:ind w:left="357" w:hanging="357"/>
              <w:rPr>
                <w:rFonts w:ascii="Arial" w:hAnsi="Arial" w:cs="Arial"/>
              </w:rPr>
            </w:pPr>
            <w:r>
              <w:rPr>
                <w:rFonts w:ascii="Arial" w:hAnsi="Arial" w:cs="Arial"/>
              </w:rPr>
              <w:t>Revised and renumbered section 6.0</w:t>
            </w:r>
          </w:p>
          <w:p w:rsidR="00136270" w:rsidRDefault="00136270" w:rsidP="007C5CA7">
            <w:pPr>
              <w:numPr>
                <w:ilvl w:val="0"/>
                <w:numId w:val="33"/>
              </w:numPr>
              <w:spacing w:after="0"/>
              <w:ind w:left="357" w:hanging="357"/>
              <w:rPr>
                <w:rFonts w:ascii="Arial" w:hAnsi="Arial" w:cs="Arial"/>
              </w:rPr>
            </w:pPr>
            <w:r>
              <w:rPr>
                <w:rFonts w:ascii="Arial" w:hAnsi="Arial" w:cs="Arial"/>
              </w:rPr>
              <w:t>Updated list of references to include most recent editions</w:t>
            </w:r>
          </w:p>
        </w:tc>
      </w:tr>
    </w:tbl>
    <w:p w:rsidR="000B2CF7" w:rsidRDefault="000B2CF7">
      <w:pPr>
        <w:rPr>
          <w:rFonts w:ascii="Arial" w:hAnsi="Arial"/>
        </w:rPr>
      </w:pPr>
    </w:p>
    <w:sectPr w:rsidR="000B2CF7" w:rsidSect="001512D2">
      <w:headerReference w:type="even" r:id="rId8"/>
      <w:headerReference w:type="default" r:id="rId9"/>
      <w:footerReference w:type="even" r:id="rId10"/>
      <w:footerReference w:type="default" r:id="rId11"/>
      <w:headerReference w:type="first" r:id="rId12"/>
      <w:footerReference w:type="first" r:id="rId13"/>
      <w:pgSz w:w="12240" w:h="15840" w:code="1"/>
      <w:pgMar w:top="1166" w:right="1800" w:bottom="662" w:left="1800"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FD" w:rsidRDefault="009943FD" w:rsidP="000B2CF7">
      <w:r>
        <w:separator/>
      </w:r>
    </w:p>
  </w:endnote>
  <w:endnote w:type="continuationSeparator" w:id="0">
    <w:p w:rsidR="009943FD" w:rsidRDefault="009943FD" w:rsidP="000B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D40" w:rsidRDefault="007C2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0B2CF7" w:rsidRPr="00266C6C">
      <w:tc>
        <w:tcPr>
          <w:tcW w:w="1512" w:type="dxa"/>
        </w:tcPr>
        <w:p w:rsidR="000B2CF7" w:rsidRPr="00266C6C" w:rsidRDefault="000B2CF7">
          <w:pPr>
            <w:pStyle w:val="Footer"/>
            <w:jc w:val="center"/>
            <w:rPr>
              <w:rFonts w:ascii="Verdana" w:eastAsia="Cambria" w:hAnsi="Verdana"/>
              <w:sz w:val="8"/>
            </w:rPr>
          </w:pPr>
        </w:p>
        <w:p w:rsidR="000B2CF7" w:rsidRPr="00266C6C" w:rsidRDefault="007A3E65">
          <w:pPr>
            <w:pStyle w:val="Footer"/>
            <w:jc w:val="center"/>
            <w:rPr>
              <w:rFonts w:ascii="Verdana" w:eastAsia="Cambria" w:hAnsi="Verdana"/>
              <w:sz w:val="8"/>
            </w:rPr>
          </w:pPr>
          <w:r>
            <w:rPr>
              <w:rFonts w:ascii="Cambria" w:eastAsia="Cambria" w:hAnsi="Cambria"/>
              <w:noProof/>
            </w:rPr>
            <w:drawing>
              <wp:inline distT="0" distB="0" distL="0" distR="0">
                <wp:extent cx="654050" cy="448310"/>
                <wp:effectExtent l="0" t="0" r="0" b="889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448310"/>
                        </a:xfrm>
                        <a:prstGeom prst="rect">
                          <a:avLst/>
                        </a:prstGeom>
                        <a:noFill/>
                        <a:ln>
                          <a:noFill/>
                        </a:ln>
                      </pic:spPr>
                    </pic:pic>
                  </a:graphicData>
                </a:graphic>
              </wp:inline>
            </w:drawing>
          </w:r>
        </w:p>
      </w:tc>
      <w:tc>
        <w:tcPr>
          <w:tcW w:w="5832" w:type="dxa"/>
        </w:tcPr>
        <w:p w:rsidR="00136270" w:rsidRDefault="00136270" w:rsidP="001512D2">
          <w:pPr>
            <w:pStyle w:val="Footer"/>
            <w:spacing w:after="0"/>
            <w:rPr>
              <w:rFonts w:ascii="Verdana" w:eastAsia="Cambria" w:hAnsi="Verdana"/>
              <w:sz w:val="16"/>
            </w:rPr>
          </w:pPr>
        </w:p>
        <w:p w:rsidR="001512D2" w:rsidRDefault="001512D2" w:rsidP="001512D2">
          <w:pPr>
            <w:pStyle w:val="Footer"/>
            <w:spacing w:after="0"/>
            <w:rPr>
              <w:rFonts w:ascii="Verdana" w:eastAsia="Cambria" w:hAnsi="Verdana"/>
              <w:sz w:val="16"/>
            </w:rPr>
          </w:pPr>
        </w:p>
        <w:p w:rsidR="000B2CF7" w:rsidRPr="00266C6C" w:rsidRDefault="000B2CF7" w:rsidP="001512D2">
          <w:pPr>
            <w:pStyle w:val="Footer"/>
            <w:spacing w:after="0"/>
            <w:jc w:val="center"/>
            <w:rPr>
              <w:rFonts w:ascii="Arial" w:eastAsia="Cambria" w:hAnsi="Arial"/>
              <w:sz w:val="18"/>
            </w:rPr>
          </w:pPr>
          <w:r w:rsidRPr="00266C6C">
            <w:rPr>
              <w:rFonts w:ascii="Arial" w:eastAsia="Cambria" w:hAnsi="Arial"/>
              <w:sz w:val="18"/>
            </w:rPr>
            <w:t>Ontario Regional Blood Coordinating Network</w:t>
          </w:r>
        </w:p>
        <w:p w:rsidR="000B2CF7" w:rsidRPr="00266C6C" w:rsidRDefault="00910D7D" w:rsidP="001512D2">
          <w:pPr>
            <w:pStyle w:val="Footer"/>
            <w:spacing w:after="0"/>
            <w:jc w:val="center"/>
            <w:rPr>
              <w:rFonts w:ascii="Arial" w:eastAsia="Cambria" w:hAnsi="Arial"/>
              <w:sz w:val="18"/>
            </w:rPr>
          </w:pPr>
          <w:r w:rsidRPr="00266C6C">
            <w:rPr>
              <w:rFonts w:ascii="Arial" w:eastAsia="Cambria" w:hAnsi="Arial"/>
              <w:sz w:val="18"/>
            </w:rPr>
            <w:t>Transfusion Technical Resource</w:t>
          </w:r>
          <w:r w:rsidR="00E0468F" w:rsidRPr="00266C6C">
            <w:rPr>
              <w:rFonts w:ascii="Arial" w:eastAsia="Cambria" w:hAnsi="Arial"/>
              <w:sz w:val="18"/>
            </w:rPr>
            <w:t xml:space="preserve"> </w:t>
          </w:r>
          <w:r w:rsidR="000B2CF7" w:rsidRPr="00266C6C">
            <w:rPr>
              <w:rFonts w:ascii="Arial" w:eastAsia="Cambria" w:hAnsi="Arial"/>
              <w:sz w:val="18"/>
            </w:rPr>
            <w:t>Manual</w:t>
          </w:r>
        </w:p>
      </w:tc>
      <w:tc>
        <w:tcPr>
          <w:tcW w:w="1494" w:type="dxa"/>
        </w:tcPr>
        <w:p w:rsidR="000B2CF7" w:rsidRPr="00266C6C" w:rsidRDefault="000B2CF7">
          <w:pPr>
            <w:pStyle w:val="Footer"/>
            <w:jc w:val="right"/>
            <w:rPr>
              <w:rFonts w:ascii="Verdana" w:eastAsia="Cambria" w:hAnsi="Verdana"/>
              <w:sz w:val="16"/>
            </w:rPr>
          </w:pPr>
        </w:p>
        <w:p w:rsidR="000B2CF7" w:rsidRPr="00266C6C" w:rsidRDefault="000B2CF7">
          <w:pPr>
            <w:pStyle w:val="Footer"/>
            <w:jc w:val="right"/>
            <w:rPr>
              <w:rFonts w:ascii="Arial" w:eastAsia="Cambria" w:hAnsi="Arial"/>
              <w:sz w:val="18"/>
            </w:rPr>
          </w:pPr>
          <w:r w:rsidRPr="00266C6C">
            <w:rPr>
              <w:rFonts w:ascii="Arial" w:eastAsia="Cambria" w:hAnsi="Arial"/>
              <w:sz w:val="18"/>
            </w:rPr>
            <w:t>IM.005</w:t>
          </w:r>
        </w:p>
        <w:p w:rsidR="000B2CF7" w:rsidRPr="00266C6C" w:rsidRDefault="000B2CF7">
          <w:pPr>
            <w:pStyle w:val="Footer"/>
            <w:jc w:val="right"/>
            <w:rPr>
              <w:rFonts w:ascii="Verdana" w:eastAsia="Cambria" w:hAnsi="Verdana"/>
              <w:sz w:val="16"/>
            </w:rPr>
          </w:pPr>
        </w:p>
        <w:p w:rsidR="000B2CF7" w:rsidRPr="00266C6C" w:rsidRDefault="000B2CF7">
          <w:pPr>
            <w:pStyle w:val="Footer"/>
            <w:jc w:val="right"/>
            <w:rPr>
              <w:rFonts w:ascii="Arial" w:eastAsia="Cambria" w:hAnsi="Arial"/>
              <w:sz w:val="18"/>
            </w:rPr>
          </w:pPr>
          <w:r w:rsidRPr="00266C6C">
            <w:rPr>
              <w:rFonts w:ascii="Arial" w:eastAsia="Cambria" w:hAnsi="Arial"/>
              <w:snapToGrid w:val="0"/>
              <w:sz w:val="18"/>
            </w:rPr>
            <w:t xml:space="preserve">Page </w:t>
          </w:r>
          <w:r w:rsidR="003F3C6C" w:rsidRPr="00266C6C">
            <w:rPr>
              <w:rFonts w:ascii="Arial" w:eastAsia="Cambria" w:hAnsi="Arial"/>
              <w:snapToGrid w:val="0"/>
              <w:sz w:val="18"/>
            </w:rPr>
            <w:fldChar w:fldCharType="begin"/>
          </w:r>
          <w:r w:rsidRPr="00266C6C">
            <w:rPr>
              <w:rFonts w:ascii="Arial" w:eastAsia="Cambria" w:hAnsi="Arial"/>
              <w:snapToGrid w:val="0"/>
              <w:sz w:val="18"/>
            </w:rPr>
            <w:instrText xml:space="preserve"> PAGE </w:instrText>
          </w:r>
          <w:r w:rsidR="003F3C6C" w:rsidRPr="00266C6C">
            <w:rPr>
              <w:rFonts w:ascii="Arial" w:eastAsia="Cambria" w:hAnsi="Arial"/>
              <w:snapToGrid w:val="0"/>
              <w:sz w:val="18"/>
            </w:rPr>
            <w:fldChar w:fldCharType="separate"/>
          </w:r>
          <w:r w:rsidR="007A3E65">
            <w:rPr>
              <w:rFonts w:ascii="Arial" w:eastAsia="Cambria" w:hAnsi="Arial"/>
              <w:noProof/>
              <w:snapToGrid w:val="0"/>
              <w:sz w:val="18"/>
            </w:rPr>
            <w:t>5</w:t>
          </w:r>
          <w:r w:rsidR="003F3C6C" w:rsidRPr="00266C6C">
            <w:rPr>
              <w:rFonts w:ascii="Arial" w:eastAsia="Cambria" w:hAnsi="Arial"/>
              <w:snapToGrid w:val="0"/>
              <w:sz w:val="18"/>
            </w:rPr>
            <w:fldChar w:fldCharType="end"/>
          </w:r>
          <w:r w:rsidRPr="00266C6C">
            <w:rPr>
              <w:rFonts w:ascii="Arial" w:eastAsia="Cambria" w:hAnsi="Arial"/>
              <w:snapToGrid w:val="0"/>
              <w:sz w:val="18"/>
            </w:rPr>
            <w:t xml:space="preserve"> of </w:t>
          </w:r>
          <w:r w:rsidR="003F3C6C" w:rsidRPr="00266C6C">
            <w:rPr>
              <w:rFonts w:ascii="Arial" w:eastAsia="Cambria" w:hAnsi="Arial"/>
              <w:snapToGrid w:val="0"/>
              <w:sz w:val="18"/>
            </w:rPr>
            <w:fldChar w:fldCharType="begin"/>
          </w:r>
          <w:r w:rsidRPr="00266C6C">
            <w:rPr>
              <w:rFonts w:ascii="Arial" w:eastAsia="Cambria" w:hAnsi="Arial"/>
              <w:snapToGrid w:val="0"/>
              <w:sz w:val="18"/>
            </w:rPr>
            <w:instrText xml:space="preserve"> NUMPAGES </w:instrText>
          </w:r>
          <w:r w:rsidR="003F3C6C" w:rsidRPr="00266C6C">
            <w:rPr>
              <w:rFonts w:ascii="Arial" w:eastAsia="Cambria" w:hAnsi="Arial"/>
              <w:snapToGrid w:val="0"/>
              <w:sz w:val="18"/>
            </w:rPr>
            <w:fldChar w:fldCharType="separate"/>
          </w:r>
          <w:r w:rsidR="007A3E65">
            <w:rPr>
              <w:rFonts w:ascii="Arial" w:eastAsia="Cambria" w:hAnsi="Arial"/>
              <w:noProof/>
              <w:snapToGrid w:val="0"/>
              <w:sz w:val="18"/>
            </w:rPr>
            <w:t>5</w:t>
          </w:r>
          <w:r w:rsidR="003F3C6C" w:rsidRPr="00266C6C">
            <w:rPr>
              <w:rFonts w:ascii="Arial" w:eastAsia="Cambria" w:hAnsi="Arial"/>
              <w:snapToGrid w:val="0"/>
              <w:sz w:val="18"/>
            </w:rPr>
            <w:fldChar w:fldCharType="end"/>
          </w:r>
        </w:p>
      </w:tc>
    </w:tr>
  </w:tbl>
  <w:p w:rsidR="000B2CF7" w:rsidRDefault="000B2CF7">
    <w:pPr>
      <w:pStyle w:val="Foote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0B2CF7" w:rsidRPr="00266C6C">
      <w:tc>
        <w:tcPr>
          <w:tcW w:w="1512" w:type="dxa"/>
        </w:tcPr>
        <w:p w:rsidR="000B2CF7" w:rsidRPr="00266C6C" w:rsidRDefault="000B2CF7">
          <w:pPr>
            <w:pStyle w:val="Footer"/>
            <w:jc w:val="center"/>
            <w:rPr>
              <w:rFonts w:ascii="Verdana" w:eastAsia="Cambria" w:hAnsi="Verdana"/>
              <w:sz w:val="8"/>
            </w:rPr>
          </w:pPr>
        </w:p>
        <w:p w:rsidR="000B2CF7" w:rsidRPr="00266C6C" w:rsidRDefault="007A3E65">
          <w:pPr>
            <w:pStyle w:val="Footer"/>
            <w:jc w:val="center"/>
            <w:rPr>
              <w:rFonts w:ascii="Verdana" w:eastAsia="Cambria" w:hAnsi="Verdana"/>
              <w:sz w:val="8"/>
            </w:rPr>
          </w:pPr>
          <w:r>
            <w:rPr>
              <w:rFonts w:ascii="Cambria" w:eastAsia="Cambria" w:hAnsi="Cambria"/>
              <w:noProof/>
            </w:rPr>
            <w:drawing>
              <wp:inline distT="0" distB="0" distL="0" distR="0">
                <wp:extent cx="654050" cy="448310"/>
                <wp:effectExtent l="0" t="0" r="0" b="889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448310"/>
                        </a:xfrm>
                        <a:prstGeom prst="rect">
                          <a:avLst/>
                        </a:prstGeom>
                        <a:noFill/>
                        <a:ln>
                          <a:noFill/>
                        </a:ln>
                      </pic:spPr>
                    </pic:pic>
                  </a:graphicData>
                </a:graphic>
              </wp:inline>
            </w:drawing>
          </w:r>
        </w:p>
      </w:tc>
      <w:tc>
        <w:tcPr>
          <w:tcW w:w="5832" w:type="dxa"/>
        </w:tcPr>
        <w:p w:rsidR="00136270" w:rsidRDefault="00136270" w:rsidP="001512D2">
          <w:pPr>
            <w:pStyle w:val="Footer"/>
            <w:spacing w:after="0"/>
            <w:jc w:val="center"/>
            <w:rPr>
              <w:rFonts w:ascii="Verdana" w:eastAsia="Cambria" w:hAnsi="Verdana"/>
              <w:sz w:val="16"/>
            </w:rPr>
          </w:pPr>
        </w:p>
        <w:p w:rsidR="001512D2" w:rsidRDefault="001512D2" w:rsidP="001512D2">
          <w:pPr>
            <w:pStyle w:val="Footer"/>
            <w:spacing w:after="0"/>
            <w:jc w:val="center"/>
            <w:rPr>
              <w:rFonts w:ascii="Verdana" w:eastAsia="Cambria" w:hAnsi="Verdana"/>
              <w:sz w:val="16"/>
            </w:rPr>
          </w:pPr>
        </w:p>
        <w:p w:rsidR="000B2CF7" w:rsidRPr="00266C6C" w:rsidRDefault="000B2CF7" w:rsidP="001512D2">
          <w:pPr>
            <w:pStyle w:val="Footer"/>
            <w:spacing w:after="0"/>
            <w:jc w:val="center"/>
            <w:rPr>
              <w:rFonts w:ascii="Arial" w:eastAsia="Cambria" w:hAnsi="Arial"/>
              <w:sz w:val="18"/>
            </w:rPr>
          </w:pPr>
          <w:r w:rsidRPr="00266C6C">
            <w:rPr>
              <w:rFonts w:ascii="Arial" w:eastAsia="Cambria" w:hAnsi="Arial"/>
              <w:sz w:val="18"/>
            </w:rPr>
            <w:t>Ontario Regional Blood Coordinating Network</w:t>
          </w:r>
        </w:p>
        <w:p w:rsidR="000B2CF7" w:rsidRPr="00266C6C" w:rsidRDefault="00891D45" w:rsidP="001512D2">
          <w:pPr>
            <w:pStyle w:val="Footer"/>
            <w:spacing w:after="0"/>
            <w:jc w:val="center"/>
            <w:rPr>
              <w:rFonts w:ascii="Arial" w:eastAsia="Cambria" w:hAnsi="Arial"/>
              <w:sz w:val="18"/>
            </w:rPr>
          </w:pPr>
          <w:r w:rsidRPr="00266C6C">
            <w:rPr>
              <w:rFonts w:ascii="Arial" w:eastAsia="Cambria" w:hAnsi="Arial"/>
              <w:sz w:val="18"/>
            </w:rPr>
            <w:t>Transfusion Technical Resource</w:t>
          </w:r>
          <w:r w:rsidR="000B2CF7" w:rsidRPr="00266C6C">
            <w:rPr>
              <w:rFonts w:ascii="Arial" w:eastAsia="Cambria" w:hAnsi="Arial"/>
              <w:sz w:val="18"/>
            </w:rPr>
            <w:t xml:space="preserve"> Manual</w:t>
          </w:r>
        </w:p>
      </w:tc>
      <w:tc>
        <w:tcPr>
          <w:tcW w:w="1494" w:type="dxa"/>
        </w:tcPr>
        <w:p w:rsidR="000B2CF7" w:rsidRPr="00266C6C" w:rsidRDefault="000B2CF7">
          <w:pPr>
            <w:pStyle w:val="Footer"/>
            <w:jc w:val="right"/>
            <w:rPr>
              <w:rFonts w:ascii="Verdana" w:eastAsia="Cambria" w:hAnsi="Verdana"/>
              <w:sz w:val="16"/>
            </w:rPr>
          </w:pPr>
        </w:p>
        <w:p w:rsidR="000B2CF7" w:rsidRPr="00266C6C" w:rsidRDefault="000B2CF7">
          <w:pPr>
            <w:pStyle w:val="Footer"/>
            <w:jc w:val="right"/>
            <w:rPr>
              <w:rFonts w:ascii="Arial" w:eastAsia="Cambria" w:hAnsi="Arial"/>
              <w:sz w:val="18"/>
            </w:rPr>
          </w:pPr>
          <w:r w:rsidRPr="00266C6C">
            <w:rPr>
              <w:rFonts w:ascii="Arial" w:eastAsia="Cambria" w:hAnsi="Arial"/>
              <w:sz w:val="18"/>
            </w:rPr>
            <w:t>IM.005</w:t>
          </w:r>
        </w:p>
        <w:p w:rsidR="000B2CF7" w:rsidRPr="00266C6C" w:rsidRDefault="000B2CF7">
          <w:pPr>
            <w:pStyle w:val="Footer"/>
            <w:jc w:val="right"/>
            <w:rPr>
              <w:rFonts w:ascii="Verdana" w:eastAsia="Cambria" w:hAnsi="Verdana"/>
              <w:sz w:val="16"/>
            </w:rPr>
          </w:pPr>
        </w:p>
        <w:p w:rsidR="000B2CF7" w:rsidRPr="00266C6C" w:rsidRDefault="000B2CF7">
          <w:pPr>
            <w:pStyle w:val="Footer"/>
            <w:jc w:val="right"/>
            <w:rPr>
              <w:rFonts w:ascii="Arial" w:eastAsia="Cambria" w:hAnsi="Arial"/>
              <w:sz w:val="18"/>
            </w:rPr>
          </w:pPr>
          <w:r w:rsidRPr="00266C6C">
            <w:rPr>
              <w:rFonts w:ascii="Arial" w:eastAsia="Cambria" w:hAnsi="Arial"/>
              <w:snapToGrid w:val="0"/>
              <w:sz w:val="18"/>
            </w:rPr>
            <w:t xml:space="preserve">Page </w:t>
          </w:r>
          <w:r w:rsidR="003F3C6C" w:rsidRPr="00266C6C">
            <w:rPr>
              <w:rFonts w:ascii="Arial" w:eastAsia="Cambria" w:hAnsi="Arial"/>
              <w:snapToGrid w:val="0"/>
              <w:sz w:val="18"/>
            </w:rPr>
            <w:fldChar w:fldCharType="begin"/>
          </w:r>
          <w:r w:rsidRPr="00266C6C">
            <w:rPr>
              <w:rFonts w:ascii="Arial" w:eastAsia="Cambria" w:hAnsi="Arial"/>
              <w:snapToGrid w:val="0"/>
              <w:sz w:val="18"/>
            </w:rPr>
            <w:instrText xml:space="preserve"> PAGE </w:instrText>
          </w:r>
          <w:r w:rsidR="003F3C6C" w:rsidRPr="00266C6C">
            <w:rPr>
              <w:rFonts w:ascii="Arial" w:eastAsia="Cambria" w:hAnsi="Arial"/>
              <w:snapToGrid w:val="0"/>
              <w:sz w:val="18"/>
            </w:rPr>
            <w:fldChar w:fldCharType="separate"/>
          </w:r>
          <w:r w:rsidR="007A3E65">
            <w:rPr>
              <w:rFonts w:ascii="Arial" w:eastAsia="Cambria" w:hAnsi="Arial"/>
              <w:noProof/>
              <w:snapToGrid w:val="0"/>
              <w:sz w:val="18"/>
            </w:rPr>
            <w:t>1</w:t>
          </w:r>
          <w:r w:rsidR="003F3C6C" w:rsidRPr="00266C6C">
            <w:rPr>
              <w:rFonts w:ascii="Arial" w:eastAsia="Cambria" w:hAnsi="Arial"/>
              <w:snapToGrid w:val="0"/>
              <w:sz w:val="18"/>
            </w:rPr>
            <w:fldChar w:fldCharType="end"/>
          </w:r>
          <w:r w:rsidRPr="00266C6C">
            <w:rPr>
              <w:rFonts w:ascii="Arial" w:eastAsia="Cambria" w:hAnsi="Arial"/>
              <w:snapToGrid w:val="0"/>
              <w:sz w:val="18"/>
            </w:rPr>
            <w:t xml:space="preserve"> of </w:t>
          </w:r>
          <w:r w:rsidR="003F3C6C" w:rsidRPr="00266C6C">
            <w:rPr>
              <w:rFonts w:ascii="Arial" w:eastAsia="Cambria" w:hAnsi="Arial"/>
              <w:snapToGrid w:val="0"/>
              <w:sz w:val="18"/>
            </w:rPr>
            <w:fldChar w:fldCharType="begin"/>
          </w:r>
          <w:r w:rsidRPr="00266C6C">
            <w:rPr>
              <w:rFonts w:ascii="Arial" w:eastAsia="Cambria" w:hAnsi="Arial"/>
              <w:snapToGrid w:val="0"/>
              <w:sz w:val="18"/>
            </w:rPr>
            <w:instrText xml:space="preserve"> NUMPAGES </w:instrText>
          </w:r>
          <w:r w:rsidR="003F3C6C" w:rsidRPr="00266C6C">
            <w:rPr>
              <w:rFonts w:ascii="Arial" w:eastAsia="Cambria" w:hAnsi="Arial"/>
              <w:snapToGrid w:val="0"/>
              <w:sz w:val="18"/>
            </w:rPr>
            <w:fldChar w:fldCharType="separate"/>
          </w:r>
          <w:r w:rsidR="007A3E65">
            <w:rPr>
              <w:rFonts w:ascii="Arial" w:eastAsia="Cambria" w:hAnsi="Arial"/>
              <w:noProof/>
              <w:snapToGrid w:val="0"/>
              <w:sz w:val="18"/>
            </w:rPr>
            <w:t>5</w:t>
          </w:r>
          <w:r w:rsidR="003F3C6C" w:rsidRPr="00266C6C">
            <w:rPr>
              <w:rFonts w:ascii="Arial" w:eastAsia="Cambria" w:hAnsi="Arial"/>
              <w:snapToGrid w:val="0"/>
              <w:sz w:val="18"/>
            </w:rPr>
            <w:fldChar w:fldCharType="end"/>
          </w:r>
        </w:p>
      </w:tc>
    </w:tr>
  </w:tbl>
  <w:p w:rsidR="000B2CF7" w:rsidRDefault="000B2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FD" w:rsidRDefault="009943FD" w:rsidP="000B2CF7">
      <w:r>
        <w:separator/>
      </w:r>
    </w:p>
  </w:footnote>
  <w:footnote w:type="continuationSeparator" w:id="0">
    <w:p w:rsidR="009943FD" w:rsidRDefault="009943FD" w:rsidP="000B2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D40" w:rsidRDefault="007C2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838"/>
    </w:tblGrid>
    <w:tr w:rsidR="000B2CF7" w:rsidRPr="00266C6C">
      <w:trPr>
        <w:trHeight w:val="640"/>
      </w:trPr>
      <w:tc>
        <w:tcPr>
          <w:tcW w:w="8838" w:type="dxa"/>
        </w:tcPr>
        <w:p w:rsidR="000B2CF7" w:rsidRPr="00266C6C" w:rsidRDefault="000B2CF7">
          <w:pPr>
            <w:pStyle w:val="Header"/>
            <w:jc w:val="center"/>
            <w:rPr>
              <w:rFonts w:ascii="Arial" w:eastAsia="Cambria" w:hAnsi="Arial"/>
              <w:b/>
              <w:sz w:val="28"/>
            </w:rPr>
          </w:pPr>
          <w:r w:rsidRPr="00266C6C">
            <w:rPr>
              <w:rFonts w:ascii="Arial" w:eastAsia="Cambria" w:hAnsi="Arial"/>
              <w:b/>
              <w:sz w:val="28"/>
            </w:rPr>
            <w:t xml:space="preserve">Final Disposition of Blood Components and </w:t>
          </w:r>
          <w:r w:rsidR="007A2A98">
            <w:rPr>
              <w:rFonts w:ascii="Arial" w:eastAsia="Cambria" w:hAnsi="Arial"/>
              <w:b/>
              <w:sz w:val="28"/>
            </w:rPr>
            <w:t>Plasma Protein</w:t>
          </w:r>
          <w:r w:rsidRPr="00266C6C">
            <w:rPr>
              <w:rFonts w:ascii="Arial" w:eastAsia="Cambria" w:hAnsi="Arial"/>
              <w:b/>
              <w:sz w:val="28"/>
            </w:rPr>
            <w:t xml:space="preserve"> Products Not Suitable for Transfusion  </w:t>
          </w:r>
        </w:p>
        <w:p w:rsidR="000B2CF7" w:rsidRPr="00266C6C" w:rsidRDefault="000B2CF7">
          <w:pPr>
            <w:pStyle w:val="Header"/>
            <w:jc w:val="center"/>
            <w:rPr>
              <w:rFonts w:ascii="Arial" w:eastAsia="Cambria" w:hAnsi="Arial"/>
            </w:rPr>
          </w:pPr>
          <w:r w:rsidRPr="00266C6C">
            <w:rPr>
              <w:rFonts w:ascii="Arial" w:eastAsia="Cambria" w:hAnsi="Arial"/>
              <w:b/>
              <w:sz w:val="28"/>
            </w:rPr>
            <w:t>Manual Procedure</w:t>
          </w:r>
        </w:p>
      </w:tc>
    </w:tr>
  </w:tbl>
  <w:p w:rsidR="000B2CF7" w:rsidRDefault="000B2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5C" w:rsidRDefault="007A3E65" w:rsidP="0055605C">
    <w:pPr>
      <w:pStyle w:val="Header"/>
    </w:pPr>
    <w:r>
      <w:rPr>
        <w:noProof/>
      </w:rPr>
      <w:drawing>
        <wp:inline distT="0" distB="0" distL="0" distR="0">
          <wp:extent cx="1132205" cy="460375"/>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460375"/>
                  </a:xfrm>
                  <a:prstGeom prst="rect">
                    <a:avLst/>
                  </a:prstGeom>
                  <a:noFill/>
                  <a:ln>
                    <a:noFill/>
                  </a:ln>
                </pic:spPr>
              </pic:pic>
            </a:graphicData>
          </a:graphic>
        </wp:inline>
      </w:drawing>
    </w:r>
  </w:p>
  <w:p w:rsidR="0055605C" w:rsidRDefault="0055605C" w:rsidP="00C302AC">
    <w:pPr>
      <w:pStyle w:val="Header"/>
      <w:spacing w:after="0" w:line="240" w:lineRule="auto"/>
      <w:jc w:val="center"/>
      <w:rPr>
        <w:rFonts w:ascii="Arial" w:hAnsi="Arial" w:cs="Arial"/>
        <w:b/>
        <w:bCs/>
      </w:rPr>
    </w:pPr>
    <w:r>
      <w:rPr>
        <w:rFonts w:ascii="Arial" w:hAnsi="Arial" w:cs="Arial"/>
        <w:b/>
        <w:bCs/>
      </w:rPr>
      <w:t>Ontario Regional Blood Coordinating Network</w:t>
    </w:r>
  </w:p>
  <w:p w:rsidR="000B2CF7" w:rsidRDefault="0055605C" w:rsidP="00C302AC">
    <w:pPr>
      <w:pStyle w:val="Header"/>
      <w:spacing w:after="0" w:line="240" w:lineRule="auto"/>
      <w:jc w:val="center"/>
      <w:rPr>
        <w:rFonts w:ascii="Arial" w:hAnsi="Arial" w:cs="Arial"/>
        <w:b/>
        <w:bCs/>
      </w:rPr>
    </w:pPr>
    <w:r>
      <w:rPr>
        <w:rFonts w:ascii="Arial" w:hAnsi="Arial" w:cs="Arial"/>
        <w:b/>
        <w:bCs/>
      </w:rPr>
      <w:t>Transfusion Technical Resource Manual</w:t>
    </w:r>
  </w:p>
  <w:p w:rsidR="0055605C" w:rsidRPr="00C302AC" w:rsidRDefault="0055605C" w:rsidP="00C302AC">
    <w:pPr>
      <w:pStyle w:val="Header"/>
      <w:spacing w:after="0" w:line="240" w:lineRule="auto"/>
      <w:jc w:val="center"/>
      <w:rPr>
        <w:rFonts w:ascii="Arial" w:hAnsi="Arial"/>
        <w:b/>
        <w:sz w:val="20"/>
      </w:rPr>
    </w:pPr>
  </w:p>
  <w:p w:rsidR="000B2CF7" w:rsidRDefault="000B2CF7" w:rsidP="00C302AC">
    <w:pPr>
      <w:pStyle w:val="Header"/>
      <w:spacing w:after="0" w:line="240" w:lineRule="auto"/>
      <w:jc w:val="center"/>
      <w:rPr>
        <w:rFonts w:ascii="Arial" w:hAnsi="Arial"/>
        <w:b/>
        <w:sz w:val="28"/>
      </w:rPr>
    </w:pPr>
    <w:r>
      <w:rPr>
        <w:rFonts w:ascii="Arial" w:hAnsi="Arial"/>
        <w:b/>
        <w:sz w:val="28"/>
      </w:rPr>
      <w:t xml:space="preserve">Final Disposition of Blood Components and </w:t>
    </w:r>
    <w:r w:rsidR="00387A55">
      <w:rPr>
        <w:rFonts w:ascii="Arial" w:hAnsi="Arial"/>
        <w:b/>
        <w:sz w:val="28"/>
      </w:rPr>
      <w:t>Plasma Protein</w:t>
    </w:r>
    <w:r>
      <w:rPr>
        <w:rFonts w:ascii="Arial" w:hAnsi="Arial"/>
        <w:b/>
        <w:sz w:val="28"/>
      </w:rPr>
      <w:t xml:space="preserve"> Products Not Suitable for Transfusion  </w:t>
    </w:r>
  </w:p>
  <w:p w:rsidR="00C302AC" w:rsidRPr="00C302AC" w:rsidRDefault="00C302AC" w:rsidP="00C302AC">
    <w:pPr>
      <w:pStyle w:val="Header"/>
      <w:spacing w:after="0" w:line="240" w:lineRule="auto"/>
      <w:jc w:val="center"/>
      <w:rPr>
        <w:rFonts w:ascii="Arial" w:hAnsi="Arial"/>
        <w:b/>
        <w:sz w:val="16"/>
      </w:rPr>
    </w:pPr>
  </w:p>
  <w:p w:rsidR="000B2CF7" w:rsidRDefault="000B2CF7" w:rsidP="00C302AC">
    <w:pPr>
      <w:pStyle w:val="Header"/>
      <w:spacing w:after="0" w:line="240" w:lineRule="auto"/>
      <w:jc w:val="center"/>
      <w:rPr>
        <w:rFonts w:ascii="Arial" w:hAnsi="Arial"/>
        <w:b/>
        <w:sz w:val="28"/>
      </w:rPr>
    </w:pPr>
    <w:r>
      <w:rPr>
        <w:rFonts w:ascii="Arial" w:hAnsi="Arial"/>
        <w:b/>
        <w:sz w:val="28"/>
      </w:rPr>
      <w:t>Manual Procedure</w:t>
    </w:r>
  </w:p>
  <w:p w:rsidR="000B2CF7" w:rsidRDefault="007A3E65">
    <w:pPr>
      <w:pStyle w:val="Header"/>
      <w:tabs>
        <w:tab w:val="left" w:pos="6617"/>
      </w:tabs>
      <w:jc w:val="center"/>
      <w:rPr>
        <w:rFonts w:ascii="Arial" w:hAnsi="Arial" w:cs="Arial"/>
        <w:b/>
        <w:bCs/>
        <w:sz w:val="20"/>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139065</wp:posOffset>
              </wp:positionV>
              <wp:extent cx="56007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95pt" to="43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"/>
          </w:pict>
        </mc:Fallback>
      </mc:AlternateContent>
    </w:r>
    <w:r w:rsidR="000B2CF7">
      <w:rPr>
        <w:rFonts w:ascii="Arial" w:hAnsi="Arial" w:cs="Arial"/>
        <w:b/>
        <w:bCs/>
        <w:sz w:val="20"/>
      </w:rPr>
      <w:tab/>
    </w:r>
  </w:p>
  <w:tbl>
    <w:tblPr>
      <w:tblW w:w="0" w:type="auto"/>
      <w:tblLook w:val="0000" w:firstRow="0" w:lastRow="0" w:firstColumn="0" w:lastColumn="0" w:noHBand="0" w:noVBand="0"/>
    </w:tblPr>
    <w:tblGrid>
      <w:gridCol w:w="4428"/>
      <w:gridCol w:w="4428"/>
    </w:tblGrid>
    <w:tr w:rsidR="000B2CF7" w:rsidRPr="00266C6C" w:rsidTr="007C2D40">
      <w:trPr>
        <w:trHeight w:val="238"/>
      </w:trPr>
      <w:tc>
        <w:tcPr>
          <w:tcW w:w="4428" w:type="dxa"/>
        </w:tcPr>
        <w:p w:rsidR="000B2CF7" w:rsidRPr="00266C6C" w:rsidRDefault="000B2CF7" w:rsidP="007C2D40">
          <w:pPr>
            <w:pStyle w:val="Header"/>
            <w:spacing w:after="0"/>
            <w:rPr>
              <w:rFonts w:ascii="Arial" w:eastAsia="Cambria" w:hAnsi="Arial" w:cs="Arial"/>
              <w:sz w:val="20"/>
            </w:rPr>
          </w:pPr>
          <w:r w:rsidRPr="00266C6C">
            <w:rPr>
              <w:rFonts w:ascii="Arial" w:eastAsia="Cambria" w:hAnsi="Arial" w:cs="Arial"/>
              <w:sz w:val="20"/>
            </w:rPr>
            <w:t xml:space="preserve">Approved By:  </w:t>
          </w:r>
        </w:p>
      </w:tc>
      <w:tc>
        <w:tcPr>
          <w:tcW w:w="4428" w:type="dxa"/>
        </w:tcPr>
        <w:p w:rsidR="000B2CF7" w:rsidRPr="00266C6C" w:rsidRDefault="000B2CF7" w:rsidP="007C2D40">
          <w:pPr>
            <w:pStyle w:val="Header"/>
            <w:spacing w:after="0"/>
            <w:rPr>
              <w:rFonts w:ascii="Arial" w:eastAsia="Cambria" w:hAnsi="Arial" w:cs="Arial"/>
              <w:sz w:val="20"/>
            </w:rPr>
          </w:pPr>
          <w:r w:rsidRPr="00266C6C">
            <w:rPr>
              <w:rFonts w:ascii="Arial" w:eastAsia="Cambria" w:hAnsi="Arial" w:cs="Arial"/>
              <w:sz w:val="20"/>
            </w:rPr>
            <w:t>Document No: IM.005</w:t>
          </w:r>
        </w:p>
      </w:tc>
    </w:tr>
    <w:tr w:rsidR="000B2CF7" w:rsidRPr="00266C6C">
      <w:tc>
        <w:tcPr>
          <w:tcW w:w="4428" w:type="dxa"/>
        </w:tcPr>
        <w:p w:rsidR="000B2CF7" w:rsidRPr="00266C6C" w:rsidRDefault="000B2CF7" w:rsidP="007C2D40">
          <w:pPr>
            <w:pStyle w:val="Header"/>
            <w:spacing w:after="0"/>
            <w:rPr>
              <w:rFonts w:ascii="Arial" w:eastAsia="Cambria" w:hAnsi="Arial" w:cs="Arial"/>
              <w:sz w:val="20"/>
            </w:rPr>
          </w:pPr>
          <w:r w:rsidRPr="00266C6C">
            <w:rPr>
              <w:rFonts w:ascii="Arial" w:eastAsia="Cambria" w:hAnsi="Arial" w:cs="Arial"/>
              <w:sz w:val="20"/>
            </w:rPr>
            <w:t>Date Issued:  2004/04/05</w:t>
          </w:r>
        </w:p>
      </w:tc>
      <w:tc>
        <w:tcPr>
          <w:tcW w:w="4428" w:type="dxa"/>
        </w:tcPr>
        <w:p w:rsidR="000B2CF7" w:rsidRPr="00266C6C" w:rsidRDefault="000B2CF7" w:rsidP="007C2D40">
          <w:pPr>
            <w:pStyle w:val="Header"/>
            <w:spacing w:after="0"/>
            <w:rPr>
              <w:rFonts w:ascii="Arial" w:eastAsia="Cambria" w:hAnsi="Arial" w:cs="Arial"/>
              <w:sz w:val="20"/>
            </w:rPr>
          </w:pPr>
          <w:r w:rsidRPr="00266C6C">
            <w:rPr>
              <w:rFonts w:ascii="Arial" w:eastAsia="Cambria" w:hAnsi="Arial" w:cs="Arial"/>
              <w:sz w:val="20"/>
            </w:rPr>
            <w:t>Category:  Inventory Management</w:t>
          </w:r>
        </w:p>
      </w:tc>
    </w:tr>
    <w:tr w:rsidR="000B2CF7" w:rsidRPr="00266C6C">
      <w:tc>
        <w:tcPr>
          <w:tcW w:w="4428" w:type="dxa"/>
        </w:tcPr>
        <w:p w:rsidR="000B2CF7" w:rsidRPr="00266C6C" w:rsidRDefault="000B2CF7" w:rsidP="007C2D40">
          <w:pPr>
            <w:pStyle w:val="Header"/>
            <w:spacing w:after="0"/>
            <w:rPr>
              <w:rFonts w:ascii="Arial" w:eastAsia="Cambria" w:hAnsi="Arial" w:cs="Arial"/>
              <w:sz w:val="20"/>
            </w:rPr>
          </w:pPr>
          <w:r w:rsidRPr="00266C6C">
            <w:rPr>
              <w:rFonts w:ascii="Arial" w:eastAsia="Cambria" w:hAnsi="Arial" w:cs="Arial"/>
              <w:sz w:val="20"/>
            </w:rPr>
            <w:t xml:space="preserve">Date Revised: </w:t>
          </w:r>
          <w:r w:rsidR="00C75C5D">
            <w:rPr>
              <w:rFonts w:ascii="Arial" w:eastAsia="Cambria" w:hAnsi="Arial" w:cs="Arial"/>
              <w:sz w:val="20"/>
            </w:rPr>
            <w:t>09/09/01;</w:t>
          </w:r>
          <w:r w:rsidR="007117E0">
            <w:rPr>
              <w:rFonts w:ascii="Arial" w:eastAsia="Cambria" w:hAnsi="Arial" w:cs="Arial"/>
              <w:sz w:val="20"/>
            </w:rPr>
            <w:t xml:space="preserve">  </w:t>
          </w:r>
          <w:r w:rsidRPr="00266C6C">
            <w:rPr>
              <w:rFonts w:ascii="Arial" w:eastAsia="Cambria" w:hAnsi="Arial" w:cs="Arial"/>
              <w:sz w:val="20"/>
            </w:rPr>
            <w:t>20</w:t>
          </w:r>
          <w:r w:rsidR="00891D45" w:rsidRPr="00266C6C">
            <w:rPr>
              <w:rFonts w:ascii="Arial" w:eastAsia="Cambria" w:hAnsi="Arial" w:cs="Arial"/>
              <w:sz w:val="20"/>
            </w:rPr>
            <w:t>14/0</w:t>
          </w:r>
          <w:r w:rsidR="007117E0">
            <w:rPr>
              <w:rFonts w:ascii="Arial" w:eastAsia="Cambria" w:hAnsi="Arial" w:cs="Arial"/>
              <w:sz w:val="20"/>
            </w:rPr>
            <w:t>8</w:t>
          </w:r>
          <w:r w:rsidR="00891D45" w:rsidRPr="00266C6C">
            <w:rPr>
              <w:rFonts w:ascii="Arial" w:eastAsia="Cambria" w:hAnsi="Arial" w:cs="Arial"/>
              <w:sz w:val="20"/>
            </w:rPr>
            <w:t>/08</w:t>
          </w:r>
        </w:p>
      </w:tc>
      <w:tc>
        <w:tcPr>
          <w:tcW w:w="4428" w:type="dxa"/>
        </w:tcPr>
        <w:p w:rsidR="000B2CF7" w:rsidRPr="00266C6C" w:rsidRDefault="000B2CF7" w:rsidP="007C2D40">
          <w:pPr>
            <w:pStyle w:val="Header"/>
            <w:spacing w:after="0"/>
            <w:rPr>
              <w:rFonts w:ascii="Arial" w:eastAsia="Cambria" w:hAnsi="Arial" w:cs="Arial"/>
              <w:sz w:val="20"/>
            </w:rPr>
          </w:pPr>
          <w:r w:rsidRPr="00266C6C">
            <w:rPr>
              <w:rFonts w:ascii="Arial" w:eastAsia="Cambria" w:hAnsi="Arial" w:cs="Arial"/>
              <w:sz w:val="20"/>
            </w:rPr>
            <w:t xml:space="preserve">Page </w:t>
          </w:r>
          <w:r w:rsidR="003F3C6C" w:rsidRPr="00266C6C">
            <w:rPr>
              <w:rFonts w:ascii="Arial" w:eastAsia="Cambria" w:hAnsi="Arial" w:cs="Arial"/>
              <w:sz w:val="20"/>
            </w:rPr>
            <w:fldChar w:fldCharType="begin"/>
          </w:r>
          <w:r w:rsidRPr="00266C6C">
            <w:rPr>
              <w:rFonts w:ascii="Arial" w:eastAsia="Cambria" w:hAnsi="Arial" w:cs="Arial"/>
              <w:sz w:val="20"/>
            </w:rPr>
            <w:instrText xml:space="preserve"> PAGE </w:instrText>
          </w:r>
          <w:r w:rsidR="003F3C6C" w:rsidRPr="00266C6C">
            <w:rPr>
              <w:rFonts w:ascii="Arial" w:eastAsia="Cambria" w:hAnsi="Arial" w:cs="Arial"/>
              <w:sz w:val="20"/>
            </w:rPr>
            <w:fldChar w:fldCharType="separate"/>
          </w:r>
          <w:r w:rsidR="007A3E65">
            <w:rPr>
              <w:rFonts w:ascii="Arial" w:eastAsia="Cambria" w:hAnsi="Arial" w:cs="Arial"/>
              <w:noProof/>
              <w:sz w:val="20"/>
            </w:rPr>
            <w:t>1</w:t>
          </w:r>
          <w:r w:rsidR="003F3C6C" w:rsidRPr="00266C6C">
            <w:rPr>
              <w:rFonts w:ascii="Arial" w:eastAsia="Cambria" w:hAnsi="Arial" w:cs="Arial"/>
              <w:sz w:val="20"/>
            </w:rPr>
            <w:fldChar w:fldCharType="end"/>
          </w:r>
          <w:r w:rsidRPr="00266C6C">
            <w:rPr>
              <w:rFonts w:ascii="Arial" w:eastAsia="Cambria" w:hAnsi="Arial" w:cs="Arial"/>
              <w:sz w:val="20"/>
            </w:rPr>
            <w:t xml:space="preserve"> of </w:t>
          </w:r>
          <w:r w:rsidR="003F3C6C" w:rsidRPr="00266C6C">
            <w:rPr>
              <w:rFonts w:ascii="Arial" w:eastAsia="Cambria" w:hAnsi="Arial" w:cs="Arial"/>
              <w:sz w:val="20"/>
            </w:rPr>
            <w:fldChar w:fldCharType="begin"/>
          </w:r>
          <w:r w:rsidRPr="00266C6C">
            <w:rPr>
              <w:rFonts w:ascii="Arial" w:eastAsia="Cambria" w:hAnsi="Arial" w:cs="Arial"/>
              <w:sz w:val="20"/>
            </w:rPr>
            <w:instrText xml:space="preserve"> NUMPAGES </w:instrText>
          </w:r>
          <w:r w:rsidR="003F3C6C" w:rsidRPr="00266C6C">
            <w:rPr>
              <w:rFonts w:ascii="Arial" w:eastAsia="Cambria" w:hAnsi="Arial" w:cs="Arial"/>
              <w:sz w:val="20"/>
            </w:rPr>
            <w:fldChar w:fldCharType="separate"/>
          </w:r>
          <w:r w:rsidR="007A3E65">
            <w:rPr>
              <w:rFonts w:ascii="Arial" w:eastAsia="Cambria" w:hAnsi="Arial" w:cs="Arial"/>
              <w:noProof/>
              <w:sz w:val="20"/>
            </w:rPr>
            <w:t>5</w:t>
          </w:r>
          <w:r w:rsidR="003F3C6C" w:rsidRPr="00266C6C">
            <w:rPr>
              <w:rFonts w:ascii="Arial" w:eastAsia="Cambria" w:hAnsi="Arial" w:cs="Arial"/>
              <w:sz w:val="20"/>
            </w:rPr>
            <w:fldChar w:fldCharType="end"/>
          </w:r>
        </w:p>
      </w:tc>
    </w:tr>
  </w:tbl>
  <w:p w:rsidR="000B2CF7" w:rsidRDefault="007A3E65">
    <w:pPr>
      <w:pStyle w:val="Header"/>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9lXp8R&#10;AgAAKAQAAA4AAAAAAAAAAAAAAAAALgIAAGRycy9lMm9Eb2MueG1sUEsBAi0AFAAGAAgAAAAhAB89&#10;mnTcAAAACAEAAA8AAAAAAAAAAAAAAAAAawQAAGRycy9kb3ducmV2LnhtbFBLBQYAAAAABAAEAPMA&#10;AAB0BQAAAAA=&#10;"/>
          </w:pict>
        </mc:Fallback>
      </mc:AlternateContent>
    </w:r>
    <w:r w:rsidR="000B2CF7">
      <w:rPr>
        <w:rFonts w:ascii="Arial" w:hAnsi="Arial" w:cs="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D0A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nsid w:val="06AD43FC"/>
    <w:multiLevelType w:val="hybridMultilevel"/>
    <w:tmpl w:val="C804F1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491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6D42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8F6944"/>
    <w:multiLevelType w:val="hybridMultilevel"/>
    <w:tmpl w:val="4C98D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55C30E0"/>
    <w:multiLevelType w:val="multilevel"/>
    <w:tmpl w:val="81A298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6D0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4A46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042260"/>
    <w:multiLevelType w:val="multilevel"/>
    <w:tmpl w:val="C5C0CE0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6705990"/>
    <w:multiLevelType w:val="hybridMultilevel"/>
    <w:tmpl w:val="01E8872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211"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BA46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0614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14D09CB"/>
    <w:multiLevelType w:val="multilevel"/>
    <w:tmpl w:val="1118481A"/>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5">
    <w:nsid w:val="32DF4A0A"/>
    <w:multiLevelType w:val="multilevel"/>
    <w:tmpl w:val="3D4CDE4E"/>
    <w:lvl w:ilvl="0">
      <w:start w:val="1"/>
      <w:numFmt w:val="decimal"/>
      <w:lvlText w:val="%1.0"/>
      <w:lvlJc w:val="left"/>
      <w:pPr>
        <w:ind w:left="1080" w:hanging="360"/>
      </w:pPr>
      <w:rPr>
        <w:rFonts w:hint="default"/>
        <w:sz w:val="28"/>
        <w:szCs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6">
    <w:nsid w:val="45C31C72"/>
    <w:multiLevelType w:val="multilevel"/>
    <w:tmpl w:val="0E344840"/>
    <w:lvl w:ilvl="0">
      <w:start w:val="1"/>
      <w:numFmt w:val="decimal"/>
      <w:lvlText w:val="%1.0"/>
      <w:lvlJc w:val="left"/>
      <w:pPr>
        <w:ind w:left="1080" w:hanging="360"/>
      </w:pPr>
      <w:rPr>
        <w:rFonts w:hint="default"/>
        <w:sz w:val="24"/>
        <w:szCs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nsid w:val="4DB90358"/>
    <w:multiLevelType w:val="multilevel"/>
    <w:tmpl w:val="D4D0B0CA"/>
    <w:lvl w:ilvl="0">
      <w:start w:val="7"/>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18">
    <w:nsid w:val="57440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283245"/>
    <w:multiLevelType w:val="hybridMultilevel"/>
    <w:tmpl w:val="87C8A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F050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43045F9"/>
    <w:multiLevelType w:val="multilevel"/>
    <w:tmpl w:val="2670E4F2"/>
    <w:lvl w:ilvl="0">
      <w:start w:val="5"/>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22">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3">
    <w:nsid w:val="6A0479F2"/>
    <w:multiLevelType w:val="multilevel"/>
    <w:tmpl w:val="50902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4">
    <w:nsid w:val="6AF63FD4"/>
    <w:multiLevelType w:val="hybridMultilevel"/>
    <w:tmpl w:val="EAF200C8"/>
    <w:lvl w:ilvl="0" w:tplc="93D4C924">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448" w:hanging="360"/>
      </w:pPr>
      <w:rPr>
        <w:rFonts w:ascii="Courier New" w:hAnsi="Courier New" w:cs="Courier New" w:hint="default"/>
      </w:rPr>
    </w:lvl>
    <w:lvl w:ilvl="2" w:tplc="10090005" w:tentative="1">
      <w:start w:val="1"/>
      <w:numFmt w:val="bullet"/>
      <w:lvlText w:val=""/>
      <w:lvlJc w:val="left"/>
      <w:pPr>
        <w:ind w:left="1168" w:hanging="360"/>
      </w:pPr>
      <w:rPr>
        <w:rFonts w:ascii="Wingdings" w:hAnsi="Wingdings" w:hint="default"/>
      </w:rPr>
    </w:lvl>
    <w:lvl w:ilvl="3" w:tplc="10090001" w:tentative="1">
      <w:start w:val="1"/>
      <w:numFmt w:val="bullet"/>
      <w:lvlText w:val=""/>
      <w:lvlJc w:val="left"/>
      <w:pPr>
        <w:ind w:left="1888" w:hanging="360"/>
      </w:pPr>
      <w:rPr>
        <w:rFonts w:ascii="Symbol" w:hAnsi="Symbol" w:hint="default"/>
      </w:rPr>
    </w:lvl>
    <w:lvl w:ilvl="4" w:tplc="10090003" w:tentative="1">
      <w:start w:val="1"/>
      <w:numFmt w:val="bullet"/>
      <w:lvlText w:val="o"/>
      <w:lvlJc w:val="left"/>
      <w:pPr>
        <w:ind w:left="2608" w:hanging="360"/>
      </w:pPr>
      <w:rPr>
        <w:rFonts w:ascii="Courier New" w:hAnsi="Courier New" w:cs="Courier New" w:hint="default"/>
      </w:rPr>
    </w:lvl>
    <w:lvl w:ilvl="5" w:tplc="10090005" w:tentative="1">
      <w:start w:val="1"/>
      <w:numFmt w:val="bullet"/>
      <w:lvlText w:val=""/>
      <w:lvlJc w:val="left"/>
      <w:pPr>
        <w:ind w:left="3328" w:hanging="360"/>
      </w:pPr>
      <w:rPr>
        <w:rFonts w:ascii="Wingdings" w:hAnsi="Wingdings" w:hint="default"/>
      </w:rPr>
    </w:lvl>
    <w:lvl w:ilvl="6" w:tplc="10090001" w:tentative="1">
      <w:start w:val="1"/>
      <w:numFmt w:val="bullet"/>
      <w:lvlText w:val=""/>
      <w:lvlJc w:val="left"/>
      <w:pPr>
        <w:ind w:left="4048" w:hanging="360"/>
      </w:pPr>
      <w:rPr>
        <w:rFonts w:ascii="Symbol" w:hAnsi="Symbol" w:hint="default"/>
      </w:rPr>
    </w:lvl>
    <w:lvl w:ilvl="7" w:tplc="10090003" w:tentative="1">
      <w:start w:val="1"/>
      <w:numFmt w:val="bullet"/>
      <w:lvlText w:val="o"/>
      <w:lvlJc w:val="left"/>
      <w:pPr>
        <w:ind w:left="4768" w:hanging="360"/>
      </w:pPr>
      <w:rPr>
        <w:rFonts w:ascii="Courier New" w:hAnsi="Courier New" w:cs="Courier New" w:hint="default"/>
      </w:rPr>
    </w:lvl>
    <w:lvl w:ilvl="8" w:tplc="10090005" w:tentative="1">
      <w:start w:val="1"/>
      <w:numFmt w:val="bullet"/>
      <w:lvlText w:val=""/>
      <w:lvlJc w:val="left"/>
      <w:pPr>
        <w:ind w:left="5488" w:hanging="360"/>
      </w:pPr>
      <w:rPr>
        <w:rFonts w:ascii="Wingdings" w:hAnsi="Wingdings" w:hint="default"/>
      </w:rPr>
    </w:lvl>
  </w:abstractNum>
  <w:abstractNum w:abstractNumId="25">
    <w:nsid w:val="6B933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EF31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FB96520"/>
    <w:multiLevelType w:val="multilevel"/>
    <w:tmpl w:val="3D4CDE4E"/>
    <w:lvl w:ilvl="0">
      <w:start w:val="1"/>
      <w:numFmt w:val="decimal"/>
      <w:lvlText w:val="%1.0"/>
      <w:lvlJc w:val="left"/>
      <w:pPr>
        <w:ind w:left="1080" w:hanging="360"/>
      </w:pPr>
      <w:rPr>
        <w:rFonts w:hint="default"/>
        <w:sz w:val="28"/>
        <w:szCs w:val="28"/>
      </w:rPr>
    </w:lvl>
    <w:lvl w:ilvl="1">
      <w:start w:val="1"/>
      <w:numFmt w:val="decimal"/>
      <w:lvlText w:val="%1.%2"/>
      <w:lvlJc w:val="left"/>
      <w:pPr>
        <w:ind w:left="1800" w:hanging="36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8">
    <w:nsid w:val="72655634"/>
    <w:multiLevelType w:val="multilevel"/>
    <w:tmpl w:val="4C6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9">
    <w:nsid w:val="72672341"/>
    <w:multiLevelType w:val="hybridMultilevel"/>
    <w:tmpl w:val="5750198A"/>
    <w:lvl w:ilvl="0" w:tplc="10090001">
      <w:start w:val="1"/>
      <w:numFmt w:val="bullet"/>
      <w:lvlText w:val=""/>
      <w:lvlJc w:val="left"/>
      <w:pPr>
        <w:ind w:left="1352" w:hanging="360"/>
      </w:pPr>
      <w:rPr>
        <w:rFonts w:ascii="Symbol" w:hAnsi="Symbol"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30">
    <w:nsid w:val="73D92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DF03520"/>
    <w:multiLevelType w:val="multilevel"/>
    <w:tmpl w:val="5F000D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2"/>
  </w:num>
  <w:num w:numId="2">
    <w:abstractNumId w:val="28"/>
  </w:num>
  <w:num w:numId="3">
    <w:abstractNumId w:val="23"/>
  </w:num>
  <w:num w:numId="4">
    <w:abstractNumId w:val="22"/>
  </w:num>
  <w:num w:numId="5">
    <w:abstractNumId w:val="31"/>
  </w:num>
  <w:num w:numId="6">
    <w:abstractNumId w:val="14"/>
  </w:num>
  <w:num w:numId="7">
    <w:abstractNumId w:val="14"/>
  </w:num>
  <w:num w:numId="8">
    <w:abstractNumId w:val="21"/>
  </w:num>
  <w:num w:numId="9">
    <w:abstractNumId w:val="13"/>
  </w:num>
  <w:num w:numId="10">
    <w:abstractNumId w:val="9"/>
  </w:num>
  <w:num w:numId="1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8"/>
  </w:num>
  <w:num w:numId="13">
    <w:abstractNumId w:val="5"/>
  </w:num>
  <w:num w:numId="14">
    <w:abstractNumId w:val="25"/>
  </w:num>
  <w:num w:numId="15">
    <w:abstractNumId w:val="20"/>
  </w:num>
  <w:num w:numId="16">
    <w:abstractNumId w:val="26"/>
  </w:num>
  <w:num w:numId="17">
    <w:abstractNumId w:val="18"/>
  </w:num>
  <w:num w:numId="18">
    <w:abstractNumId w:val="4"/>
  </w:num>
  <w:num w:numId="19">
    <w:abstractNumId w:val="7"/>
  </w:num>
  <w:num w:numId="20">
    <w:abstractNumId w:val="17"/>
  </w:num>
  <w:num w:numId="21">
    <w:abstractNumId w:val="30"/>
  </w:num>
  <w:num w:numId="22">
    <w:abstractNumId w:val="12"/>
  </w:num>
  <w:num w:numId="23">
    <w:abstractNumId w:val="10"/>
  </w:num>
  <w:num w:numId="24">
    <w:abstractNumId w:val="0"/>
  </w:num>
  <w:num w:numId="25">
    <w:abstractNumId w:val="19"/>
  </w:num>
  <w:num w:numId="26">
    <w:abstractNumId w:val="15"/>
  </w:num>
  <w:num w:numId="27">
    <w:abstractNumId w:val="3"/>
  </w:num>
  <w:num w:numId="28">
    <w:abstractNumId w:val="6"/>
  </w:num>
  <w:num w:numId="29">
    <w:abstractNumId w:val="16"/>
  </w:num>
  <w:num w:numId="30">
    <w:abstractNumId w:val="11"/>
  </w:num>
  <w:num w:numId="31">
    <w:abstractNumId w:val="27"/>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F7"/>
    <w:rsid w:val="00000058"/>
    <w:rsid w:val="000B2CF7"/>
    <w:rsid w:val="00136270"/>
    <w:rsid w:val="001512D2"/>
    <w:rsid w:val="00193FC8"/>
    <w:rsid w:val="00266C6C"/>
    <w:rsid w:val="002B6042"/>
    <w:rsid w:val="00387A55"/>
    <w:rsid w:val="003F3C6C"/>
    <w:rsid w:val="00424343"/>
    <w:rsid w:val="0055605C"/>
    <w:rsid w:val="00647887"/>
    <w:rsid w:val="007117E0"/>
    <w:rsid w:val="00721B72"/>
    <w:rsid w:val="007A2A98"/>
    <w:rsid w:val="007A3E65"/>
    <w:rsid w:val="007B67D0"/>
    <w:rsid w:val="007C2D40"/>
    <w:rsid w:val="007C5CA7"/>
    <w:rsid w:val="008020F3"/>
    <w:rsid w:val="00866CF6"/>
    <w:rsid w:val="00891D45"/>
    <w:rsid w:val="00910D7D"/>
    <w:rsid w:val="009943FD"/>
    <w:rsid w:val="009E27B2"/>
    <w:rsid w:val="00A17A6F"/>
    <w:rsid w:val="00A210F1"/>
    <w:rsid w:val="00A42589"/>
    <w:rsid w:val="00B22FEB"/>
    <w:rsid w:val="00B33069"/>
    <w:rsid w:val="00B76DE0"/>
    <w:rsid w:val="00C302AC"/>
    <w:rsid w:val="00C443A3"/>
    <w:rsid w:val="00C75C5D"/>
    <w:rsid w:val="00D22C71"/>
    <w:rsid w:val="00D84378"/>
    <w:rsid w:val="00E0468F"/>
    <w:rsid w:val="00E95B51"/>
    <w:rsid w:val="00EB1D6F"/>
    <w:rsid w:val="00F26D09"/>
    <w:rsid w:val="00F83EC9"/>
    <w:rsid w:val="00FF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pPr>
        <w:ind w:left="743" w:hanging="743"/>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E65"/>
    <w:pPr>
      <w:spacing w:after="200" w:line="276" w:lineRule="auto"/>
      <w:ind w:left="0" w:firstLine="0"/>
    </w:pPr>
    <w:rPr>
      <w:rFonts w:asciiTheme="minorHAnsi" w:eastAsiaTheme="minorHAnsi" w:hAnsiTheme="minorHAnsi" w:cstheme="minorBidi"/>
      <w:sz w:val="22"/>
      <w:szCs w:val="22"/>
      <w:lang w:val="en-US" w:eastAsia="en-US"/>
    </w:rPr>
  </w:style>
  <w:style w:type="paragraph" w:styleId="Heading1">
    <w:name w:val="heading 1"/>
    <w:basedOn w:val="Normal"/>
    <w:next w:val="Normal"/>
    <w:autoRedefine/>
    <w:qFormat/>
    <w:rsid w:val="002B6042"/>
    <w:pPr>
      <w:keepNext/>
      <w:numPr>
        <w:numId w:val="7"/>
      </w:numPr>
      <w:spacing w:after="240"/>
      <w:outlineLvl w:val="0"/>
    </w:pPr>
    <w:rPr>
      <w:rFonts w:ascii="Arial" w:hAnsi="Arial"/>
      <w:b/>
      <w:kern w:val="32"/>
      <w:sz w:val="28"/>
    </w:rPr>
  </w:style>
  <w:style w:type="paragraph" w:styleId="Heading2">
    <w:name w:val="heading 2"/>
    <w:basedOn w:val="Normal"/>
    <w:next w:val="Normal"/>
    <w:qFormat/>
    <w:rsid w:val="002B6042"/>
    <w:pPr>
      <w:keepNext/>
      <w:numPr>
        <w:ilvl w:val="1"/>
        <w:numId w:val="7"/>
      </w:numPr>
      <w:spacing w:after="240"/>
      <w:outlineLvl w:val="1"/>
    </w:pPr>
    <w:rPr>
      <w:rFonts w:ascii="Verdana" w:hAnsi="Verdana"/>
      <w:snapToGrid w:val="0"/>
    </w:rPr>
  </w:style>
  <w:style w:type="paragraph" w:styleId="Heading3">
    <w:name w:val="heading 3"/>
    <w:basedOn w:val="Normal"/>
    <w:next w:val="Normal"/>
    <w:qFormat/>
    <w:rsid w:val="002B6042"/>
    <w:pPr>
      <w:keepNext/>
      <w:numPr>
        <w:ilvl w:val="2"/>
        <w:numId w:val="7"/>
      </w:numPr>
      <w:spacing w:after="240"/>
      <w:outlineLvl w:val="2"/>
    </w:pPr>
  </w:style>
  <w:style w:type="paragraph" w:styleId="Heading4">
    <w:name w:val="heading 4"/>
    <w:basedOn w:val="Normal"/>
    <w:next w:val="Normal"/>
    <w:qFormat/>
    <w:rsid w:val="002B6042"/>
    <w:pPr>
      <w:keepNext/>
      <w:numPr>
        <w:ilvl w:val="3"/>
        <w:numId w:val="7"/>
      </w:numPr>
      <w:spacing w:after="240"/>
      <w:outlineLvl w:val="3"/>
    </w:pPr>
    <w:rPr>
      <w:snapToGrid w:val="0"/>
    </w:rPr>
  </w:style>
  <w:style w:type="paragraph" w:styleId="Heading5">
    <w:name w:val="heading 5"/>
    <w:basedOn w:val="Normal"/>
    <w:next w:val="Normal"/>
    <w:qFormat/>
    <w:rsid w:val="002B6042"/>
    <w:pPr>
      <w:keepNext/>
      <w:numPr>
        <w:ilvl w:val="4"/>
        <w:numId w:val="7"/>
      </w:numPr>
      <w:spacing w:after="240"/>
      <w:outlineLvl w:val="4"/>
    </w:pPr>
    <w:rPr>
      <w:rFonts w:ascii="Verdana" w:hAnsi="Verdana"/>
      <w:i/>
      <w:snapToGrid w:val="0"/>
    </w:rPr>
  </w:style>
  <w:style w:type="paragraph" w:styleId="Heading6">
    <w:name w:val="heading 6"/>
    <w:basedOn w:val="Normal"/>
    <w:next w:val="Normal"/>
    <w:qFormat/>
    <w:rsid w:val="002B6042"/>
    <w:pPr>
      <w:keepNext/>
      <w:numPr>
        <w:ilvl w:val="5"/>
        <w:numId w:val="7"/>
      </w:numPr>
      <w:spacing w:after="240"/>
      <w:outlineLvl w:val="5"/>
    </w:pPr>
    <w:rPr>
      <w:snapToGrid w:val="0"/>
    </w:rPr>
  </w:style>
  <w:style w:type="paragraph" w:styleId="Heading7">
    <w:name w:val="heading 7"/>
    <w:basedOn w:val="Normal"/>
    <w:next w:val="Normal"/>
    <w:qFormat/>
    <w:rsid w:val="002B6042"/>
    <w:pPr>
      <w:keepNext/>
      <w:outlineLvl w:val="6"/>
    </w:pPr>
    <w:rPr>
      <w:rFonts w:ascii="Verdana" w:hAnsi="Verdana"/>
      <w:b/>
      <w:sz w:val="28"/>
    </w:rPr>
  </w:style>
  <w:style w:type="paragraph" w:styleId="Heading8">
    <w:name w:val="heading 8"/>
    <w:basedOn w:val="Normal"/>
    <w:next w:val="Normal"/>
    <w:qFormat/>
    <w:rsid w:val="002B6042"/>
    <w:pPr>
      <w:keepNext/>
      <w:outlineLvl w:val="7"/>
    </w:pPr>
    <w:rPr>
      <w:rFonts w:ascii="Arial" w:hAnsi="Arial"/>
      <w:b/>
    </w:rPr>
  </w:style>
  <w:style w:type="paragraph" w:styleId="Heading9">
    <w:name w:val="heading 9"/>
    <w:basedOn w:val="Normal"/>
    <w:next w:val="Normal"/>
    <w:qFormat/>
    <w:rsid w:val="002B6042"/>
    <w:pPr>
      <w:keepNext/>
      <w:jc w:val="center"/>
      <w:outlineLvl w:val="8"/>
    </w:pPr>
    <w:rPr>
      <w:b/>
    </w:rPr>
  </w:style>
  <w:style w:type="character" w:default="1" w:styleId="DefaultParagraphFont">
    <w:name w:val="Default Paragraph Font"/>
    <w:uiPriority w:val="1"/>
    <w:semiHidden/>
    <w:unhideWhenUsed/>
    <w:rsid w:val="007A3E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3E65"/>
  </w:style>
  <w:style w:type="paragraph" w:styleId="Header">
    <w:name w:val="header"/>
    <w:basedOn w:val="Normal"/>
    <w:rsid w:val="002B6042"/>
    <w:pPr>
      <w:tabs>
        <w:tab w:val="center" w:pos="4320"/>
        <w:tab w:val="right" w:pos="8640"/>
      </w:tabs>
    </w:pPr>
  </w:style>
  <w:style w:type="paragraph" w:styleId="Footer">
    <w:name w:val="footer"/>
    <w:basedOn w:val="Normal"/>
    <w:rsid w:val="002B6042"/>
    <w:pPr>
      <w:tabs>
        <w:tab w:val="center" w:pos="4320"/>
        <w:tab w:val="right" w:pos="8640"/>
      </w:tabs>
    </w:pPr>
  </w:style>
  <w:style w:type="paragraph" w:styleId="BodyTextIndent">
    <w:name w:val="Body Text Indent"/>
    <w:basedOn w:val="Normal"/>
    <w:rsid w:val="002B6042"/>
    <w:pPr>
      <w:ind w:left="110" w:hanging="110"/>
    </w:pPr>
  </w:style>
  <w:style w:type="paragraph" w:styleId="BodyTextIndent2">
    <w:name w:val="Body Text Indent 2"/>
    <w:basedOn w:val="Normal"/>
    <w:rsid w:val="002B6042"/>
    <w:pPr>
      <w:ind w:left="-126"/>
    </w:pPr>
  </w:style>
  <w:style w:type="character" w:styleId="PageNumber">
    <w:name w:val="page number"/>
    <w:basedOn w:val="DefaultParagraphFont"/>
    <w:rsid w:val="002B6042"/>
  </w:style>
  <w:style w:type="paragraph" w:customStyle="1" w:styleId="HTML">
    <w:name w:val="HTML"/>
    <w:basedOn w:val="Normal"/>
    <w:rsid w:val="002B6042"/>
    <w:rPr>
      <w:strike/>
    </w:rPr>
  </w:style>
  <w:style w:type="character" w:styleId="Hyperlink">
    <w:name w:val="Hyperlink"/>
    <w:rsid w:val="002B6042"/>
    <w:rPr>
      <w:color w:val="0000FF"/>
      <w:u w:val="single"/>
    </w:rPr>
  </w:style>
  <w:style w:type="paragraph" w:styleId="BodyTextIndent3">
    <w:name w:val="Body Text Indent 3"/>
    <w:basedOn w:val="Normal"/>
    <w:rsid w:val="002B6042"/>
    <w:pPr>
      <w:ind w:left="1872"/>
    </w:pPr>
  </w:style>
  <w:style w:type="paragraph" w:styleId="BodyText">
    <w:name w:val="Body Text"/>
    <w:basedOn w:val="Normal"/>
    <w:rsid w:val="002B6042"/>
    <w:rPr>
      <w:color w:val="000080"/>
    </w:rPr>
  </w:style>
  <w:style w:type="paragraph" w:styleId="BalloonText">
    <w:name w:val="Balloon Text"/>
    <w:basedOn w:val="Normal"/>
    <w:semiHidden/>
    <w:rsid w:val="000B2CF7"/>
    <w:rPr>
      <w:rFonts w:ascii="Tahoma" w:hAnsi="Tahoma" w:cs="Tahoma"/>
      <w:sz w:val="16"/>
      <w:szCs w:val="16"/>
    </w:rPr>
  </w:style>
  <w:style w:type="character" w:styleId="CommentReference">
    <w:name w:val="annotation reference"/>
    <w:rsid w:val="00891D45"/>
    <w:rPr>
      <w:sz w:val="16"/>
      <w:szCs w:val="16"/>
    </w:rPr>
  </w:style>
  <w:style w:type="paragraph" w:styleId="CommentText">
    <w:name w:val="annotation text"/>
    <w:basedOn w:val="Normal"/>
    <w:link w:val="CommentTextChar"/>
    <w:rsid w:val="00891D45"/>
    <w:rPr>
      <w:sz w:val="20"/>
    </w:rPr>
  </w:style>
  <w:style w:type="character" w:customStyle="1" w:styleId="CommentTextChar">
    <w:name w:val="Comment Text Char"/>
    <w:link w:val="CommentText"/>
    <w:rsid w:val="00891D45"/>
    <w:rPr>
      <w:rFonts w:ascii="Georgia" w:hAnsi="Georgia"/>
      <w:kern w:val="24"/>
    </w:rPr>
  </w:style>
  <w:style w:type="paragraph" w:styleId="CommentSubject">
    <w:name w:val="annotation subject"/>
    <w:basedOn w:val="CommentText"/>
    <w:next w:val="CommentText"/>
    <w:link w:val="CommentSubjectChar"/>
    <w:rsid w:val="00891D45"/>
    <w:rPr>
      <w:b/>
      <w:bCs/>
    </w:rPr>
  </w:style>
  <w:style w:type="character" w:customStyle="1" w:styleId="CommentSubjectChar">
    <w:name w:val="Comment Subject Char"/>
    <w:link w:val="CommentSubject"/>
    <w:rsid w:val="00891D45"/>
    <w:rPr>
      <w:rFonts w:ascii="Georgia" w:hAnsi="Georgia"/>
      <w:b/>
      <w:bCs/>
      <w:kern w:val="24"/>
    </w:rPr>
  </w:style>
  <w:style w:type="paragraph" w:styleId="Revision">
    <w:name w:val="Revision"/>
    <w:hidden/>
    <w:uiPriority w:val="71"/>
    <w:rsid w:val="00E0468F"/>
    <w:rPr>
      <w:rFonts w:ascii="Cambria" w:eastAsia="Cambria" w:hAnsi="Cambria"/>
      <w:sz w:val="22"/>
      <w:szCs w:val="22"/>
      <w:lang w:eastAsia="en-US"/>
    </w:rPr>
  </w:style>
  <w:style w:type="paragraph" w:styleId="ListParagraph">
    <w:name w:val="List Paragraph"/>
    <w:basedOn w:val="Normal"/>
    <w:uiPriority w:val="72"/>
    <w:rsid w:val="008020F3"/>
    <w:pPr>
      <w:ind w:left="720"/>
    </w:pPr>
  </w:style>
  <w:style w:type="table" w:styleId="TableGrid">
    <w:name w:val="Table Grid"/>
    <w:basedOn w:val="TableNormal"/>
    <w:rsid w:val="00EB1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pPr>
        <w:ind w:left="743" w:hanging="743"/>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E65"/>
    <w:pPr>
      <w:spacing w:after="200" w:line="276" w:lineRule="auto"/>
      <w:ind w:left="0" w:firstLine="0"/>
    </w:pPr>
    <w:rPr>
      <w:rFonts w:asciiTheme="minorHAnsi" w:eastAsiaTheme="minorHAnsi" w:hAnsiTheme="minorHAnsi" w:cstheme="minorBidi"/>
      <w:sz w:val="22"/>
      <w:szCs w:val="22"/>
      <w:lang w:val="en-US" w:eastAsia="en-US"/>
    </w:rPr>
  </w:style>
  <w:style w:type="paragraph" w:styleId="Heading1">
    <w:name w:val="heading 1"/>
    <w:basedOn w:val="Normal"/>
    <w:next w:val="Normal"/>
    <w:autoRedefine/>
    <w:qFormat/>
    <w:rsid w:val="002B6042"/>
    <w:pPr>
      <w:keepNext/>
      <w:numPr>
        <w:numId w:val="7"/>
      </w:numPr>
      <w:spacing w:after="240"/>
      <w:outlineLvl w:val="0"/>
    </w:pPr>
    <w:rPr>
      <w:rFonts w:ascii="Arial" w:hAnsi="Arial"/>
      <w:b/>
      <w:kern w:val="32"/>
      <w:sz w:val="28"/>
    </w:rPr>
  </w:style>
  <w:style w:type="paragraph" w:styleId="Heading2">
    <w:name w:val="heading 2"/>
    <w:basedOn w:val="Normal"/>
    <w:next w:val="Normal"/>
    <w:qFormat/>
    <w:rsid w:val="002B6042"/>
    <w:pPr>
      <w:keepNext/>
      <w:numPr>
        <w:ilvl w:val="1"/>
        <w:numId w:val="7"/>
      </w:numPr>
      <w:spacing w:after="240"/>
      <w:outlineLvl w:val="1"/>
    </w:pPr>
    <w:rPr>
      <w:rFonts w:ascii="Verdana" w:hAnsi="Verdana"/>
      <w:snapToGrid w:val="0"/>
    </w:rPr>
  </w:style>
  <w:style w:type="paragraph" w:styleId="Heading3">
    <w:name w:val="heading 3"/>
    <w:basedOn w:val="Normal"/>
    <w:next w:val="Normal"/>
    <w:qFormat/>
    <w:rsid w:val="002B6042"/>
    <w:pPr>
      <w:keepNext/>
      <w:numPr>
        <w:ilvl w:val="2"/>
        <w:numId w:val="7"/>
      </w:numPr>
      <w:spacing w:after="240"/>
      <w:outlineLvl w:val="2"/>
    </w:pPr>
  </w:style>
  <w:style w:type="paragraph" w:styleId="Heading4">
    <w:name w:val="heading 4"/>
    <w:basedOn w:val="Normal"/>
    <w:next w:val="Normal"/>
    <w:qFormat/>
    <w:rsid w:val="002B6042"/>
    <w:pPr>
      <w:keepNext/>
      <w:numPr>
        <w:ilvl w:val="3"/>
        <w:numId w:val="7"/>
      </w:numPr>
      <w:spacing w:after="240"/>
      <w:outlineLvl w:val="3"/>
    </w:pPr>
    <w:rPr>
      <w:snapToGrid w:val="0"/>
    </w:rPr>
  </w:style>
  <w:style w:type="paragraph" w:styleId="Heading5">
    <w:name w:val="heading 5"/>
    <w:basedOn w:val="Normal"/>
    <w:next w:val="Normal"/>
    <w:qFormat/>
    <w:rsid w:val="002B6042"/>
    <w:pPr>
      <w:keepNext/>
      <w:numPr>
        <w:ilvl w:val="4"/>
        <w:numId w:val="7"/>
      </w:numPr>
      <w:spacing w:after="240"/>
      <w:outlineLvl w:val="4"/>
    </w:pPr>
    <w:rPr>
      <w:rFonts w:ascii="Verdana" w:hAnsi="Verdana"/>
      <w:i/>
      <w:snapToGrid w:val="0"/>
    </w:rPr>
  </w:style>
  <w:style w:type="paragraph" w:styleId="Heading6">
    <w:name w:val="heading 6"/>
    <w:basedOn w:val="Normal"/>
    <w:next w:val="Normal"/>
    <w:qFormat/>
    <w:rsid w:val="002B6042"/>
    <w:pPr>
      <w:keepNext/>
      <w:numPr>
        <w:ilvl w:val="5"/>
        <w:numId w:val="7"/>
      </w:numPr>
      <w:spacing w:after="240"/>
      <w:outlineLvl w:val="5"/>
    </w:pPr>
    <w:rPr>
      <w:snapToGrid w:val="0"/>
    </w:rPr>
  </w:style>
  <w:style w:type="paragraph" w:styleId="Heading7">
    <w:name w:val="heading 7"/>
    <w:basedOn w:val="Normal"/>
    <w:next w:val="Normal"/>
    <w:qFormat/>
    <w:rsid w:val="002B6042"/>
    <w:pPr>
      <w:keepNext/>
      <w:outlineLvl w:val="6"/>
    </w:pPr>
    <w:rPr>
      <w:rFonts w:ascii="Verdana" w:hAnsi="Verdana"/>
      <w:b/>
      <w:sz w:val="28"/>
    </w:rPr>
  </w:style>
  <w:style w:type="paragraph" w:styleId="Heading8">
    <w:name w:val="heading 8"/>
    <w:basedOn w:val="Normal"/>
    <w:next w:val="Normal"/>
    <w:qFormat/>
    <w:rsid w:val="002B6042"/>
    <w:pPr>
      <w:keepNext/>
      <w:outlineLvl w:val="7"/>
    </w:pPr>
    <w:rPr>
      <w:rFonts w:ascii="Arial" w:hAnsi="Arial"/>
      <w:b/>
    </w:rPr>
  </w:style>
  <w:style w:type="paragraph" w:styleId="Heading9">
    <w:name w:val="heading 9"/>
    <w:basedOn w:val="Normal"/>
    <w:next w:val="Normal"/>
    <w:qFormat/>
    <w:rsid w:val="002B6042"/>
    <w:pPr>
      <w:keepNext/>
      <w:jc w:val="center"/>
      <w:outlineLvl w:val="8"/>
    </w:pPr>
    <w:rPr>
      <w:b/>
    </w:rPr>
  </w:style>
  <w:style w:type="character" w:default="1" w:styleId="DefaultParagraphFont">
    <w:name w:val="Default Paragraph Font"/>
    <w:uiPriority w:val="1"/>
    <w:semiHidden/>
    <w:unhideWhenUsed/>
    <w:rsid w:val="007A3E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3E65"/>
  </w:style>
  <w:style w:type="paragraph" w:styleId="Header">
    <w:name w:val="header"/>
    <w:basedOn w:val="Normal"/>
    <w:rsid w:val="002B6042"/>
    <w:pPr>
      <w:tabs>
        <w:tab w:val="center" w:pos="4320"/>
        <w:tab w:val="right" w:pos="8640"/>
      </w:tabs>
    </w:pPr>
  </w:style>
  <w:style w:type="paragraph" w:styleId="Footer">
    <w:name w:val="footer"/>
    <w:basedOn w:val="Normal"/>
    <w:rsid w:val="002B6042"/>
    <w:pPr>
      <w:tabs>
        <w:tab w:val="center" w:pos="4320"/>
        <w:tab w:val="right" w:pos="8640"/>
      </w:tabs>
    </w:pPr>
  </w:style>
  <w:style w:type="paragraph" w:styleId="BodyTextIndent">
    <w:name w:val="Body Text Indent"/>
    <w:basedOn w:val="Normal"/>
    <w:rsid w:val="002B6042"/>
    <w:pPr>
      <w:ind w:left="110" w:hanging="110"/>
    </w:pPr>
  </w:style>
  <w:style w:type="paragraph" w:styleId="BodyTextIndent2">
    <w:name w:val="Body Text Indent 2"/>
    <w:basedOn w:val="Normal"/>
    <w:rsid w:val="002B6042"/>
    <w:pPr>
      <w:ind w:left="-126"/>
    </w:pPr>
  </w:style>
  <w:style w:type="character" w:styleId="PageNumber">
    <w:name w:val="page number"/>
    <w:basedOn w:val="DefaultParagraphFont"/>
    <w:rsid w:val="002B6042"/>
  </w:style>
  <w:style w:type="paragraph" w:customStyle="1" w:styleId="HTML">
    <w:name w:val="HTML"/>
    <w:basedOn w:val="Normal"/>
    <w:rsid w:val="002B6042"/>
    <w:rPr>
      <w:strike/>
    </w:rPr>
  </w:style>
  <w:style w:type="character" w:styleId="Hyperlink">
    <w:name w:val="Hyperlink"/>
    <w:rsid w:val="002B6042"/>
    <w:rPr>
      <w:color w:val="0000FF"/>
      <w:u w:val="single"/>
    </w:rPr>
  </w:style>
  <w:style w:type="paragraph" w:styleId="BodyTextIndent3">
    <w:name w:val="Body Text Indent 3"/>
    <w:basedOn w:val="Normal"/>
    <w:rsid w:val="002B6042"/>
    <w:pPr>
      <w:ind w:left="1872"/>
    </w:pPr>
  </w:style>
  <w:style w:type="paragraph" w:styleId="BodyText">
    <w:name w:val="Body Text"/>
    <w:basedOn w:val="Normal"/>
    <w:rsid w:val="002B6042"/>
    <w:rPr>
      <w:color w:val="000080"/>
    </w:rPr>
  </w:style>
  <w:style w:type="paragraph" w:styleId="BalloonText">
    <w:name w:val="Balloon Text"/>
    <w:basedOn w:val="Normal"/>
    <w:semiHidden/>
    <w:rsid w:val="000B2CF7"/>
    <w:rPr>
      <w:rFonts w:ascii="Tahoma" w:hAnsi="Tahoma" w:cs="Tahoma"/>
      <w:sz w:val="16"/>
      <w:szCs w:val="16"/>
    </w:rPr>
  </w:style>
  <w:style w:type="character" w:styleId="CommentReference">
    <w:name w:val="annotation reference"/>
    <w:rsid w:val="00891D45"/>
    <w:rPr>
      <w:sz w:val="16"/>
      <w:szCs w:val="16"/>
    </w:rPr>
  </w:style>
  <w:style w:type="paragraph" w:styleId="CommentText">
    <w:name w:val="annotation text"/>
    <w:basedOn w:val="Normal"/>
    <w:link w:val="CommentTextChar"/>
    <w:rsid w:val="00891D45"/>
    <w:rPr>
      <w:sz w:val="20"/>
    </w:rPr>
  </w:style>
  <w:style w:type="character" w:customStyle="1" w:styleId="CommentTextChar">
    <w:name w:val="Comment Text Char"/>
    <w:link w:val="CommentText"/>
    <w:rsid w:val="00891D45"/>
    <w:rPr>
      <w:rFonts w:ascii="Georgia" w:hAnsi="Georgia"/>
      <w:kern w:val="24"/>
    </w:rPr>
  </w:style>
  <w:style w:type="paragraph" w:styleId="CommentSubject">
    <w:name w:val="annotation subject"/>
    <w:basedOn w:val="CommentText"/>
    <w:next w:val="CommentText"/>
    <w:link w:val="CommentSubjectChar"/>
    <w:rsid w:val="00891D45"/>
    <w:rPr>
      <w:b/>
      <w:bCs/>
    </w:rPr>
  </w:style>
  <w:style w:type="character" w:customStyle="1" w:styleId="CommentSubjectChar">
    <w:name w:val="Comment Subject Char"/>
    <w:link w:val="CommentSubject"/>
    <w:rsid w:val="00891D45"/>
    <w:rPr>
      <w:rFonts w:ascii="Georgia" w:hAnsi="Georgia"/>
      <w:b/>
      <w:bCs/>
      <w:kern w:val="24"/>
    </w:rPr>
  </w:style>
  <w:style w:type="paragraph" w:styleId="Revision">
    <w:name w:val="Revision"/>
    <w:hidden/>
    <w:uiPriority w:val="71"/>
    <w:rsid w:val="00E0468F"/>
    <w:rPr>
      <w:rFonts w:ascii="Cambria" w:eastAsia="Cambria" w:hAnsi="Cambria"/>
      <w:sz w:val="22"/>
      <w:szCs w:val="22"/>
      <w:lang w:eastAsia="en-US"/>
    </w:rPr>
  </w:style>
  <w:style w:type="paragraph" w:styleId="ListParagraph">
    <w:name w:val="List Paragraph"/>
    <w:basedOn w:val="Normal"/>
    <w:uiPriority w:val="72"/>
    <w:rsid w:val="008020F3"/>
    <w:pPr>
      <w:ind w:left="720"/>
    </w:pPr>
  </w:style>
  <w:style w:type="table" w:styleId="TableGrid">
    <w:name w:val="Table Grid"/>
    <w:basedOn w:val="TableNormal"/>
    <w:rsid w:val="00EB1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IM.005 - Manual Final Disposition of Blood, Blood Components and Other Related Products Not Suitable for Transfusion</vt:lpstr>
    </vt:vector>
  </TitlesOfParts>
  <Company>The Ottawa Hospital</Company>
  <LinksUpToDate>false</LinksUpToDate>
  <CharactersWithSpaces>5063</CharactersWithSpaces>
  <SharedDoc>false</SharedDoc>
  <HLinks>
    <vt:vector size="6" baseType="variant">
      <vt:variant>
        <vt:i4>917532</vt:i4>
      </vt:variant>
      <vt:variant>
        <vt:i4>0</vt:i4>
      </vt:variant>
      <vt:variant>
        <vt:i4>0</vt:i4>
      </vt:variant>
      <vt:variant>
        <vt:i4>5</vt:i4>
      </vt:variant>
      <vt:variant>
        <vt:lpwstr>http://www.blood.ca/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IM.005 - Manual Final Disposition of Blood, Blood Components and Other Related Products Not Suitable for Transfusion</dc:title>
  <dc:creator>Transfusion Ontario Program Office</dc:creator>
  <cp:lastModifiedBy>Mantifel, Lisa</cp:lastModifiedBy>
  <cp:revision>2</cp:revision>
  <cp:lastPrinted>2003-01-27T05:04:00Z</cp:lastPrinted>
  <dcterms:created xsi:type="dcterms:W3CDTF">2016-11-04T14:01:00Z</dcterms:created>
  <dcterms:modified xsi:type="dcterms:W3CDTF">2016-11-04T14:01:00Z</dcterms:modified>
</cp:coreProperties>
</file>