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5FE4" w14:textId="39959443" w:rsidR="00A95112" w:rsidRDefault="317C9040" w:rsidP="00294A93">
      <w:pPr>
        <w:pStyle w:val="ListParagraph"/>
        <w:numPr>
          <w:ilvl w:val="0"/>
          <w:numId w:val="1"/>
        </w:numPr>
        <w:ind w:left="709" w:hanging="709"/>
        <w:rPr>
          <w:rFonts w:ascii="Arial" w:eastAsia="Arial" w:hAnsi="Arial" w:cs="Arial"/>
          <w:b/>
          <w:bCs/>
          <w:sz w:val="28"/>
          <w:szCs w:val="28"/>
        </w:rPr>
      </w:pPr>
      <w:r w:rsidRPr="317C9040">
        <w:rPr>
          <w:rFonts w:ascii="Arial" w:hAnsi="Arial"/>
          <w:b/>
          <w:bCs/>
          <w:sz w:val="28"/>
          <w:szCs w:val="28"/>
        </w:rPr>
        <w:t>P</w:t>
      </w:r>
      <w:r w:rsidR="00E31522">
        <w:rPr>
          <w:rFonts w:ascii="Arial" w:hAnsi="Arial"/>
          <w:b/>
          <w:bCs/>
          <w:sz w:val="28"/>
          <w:szCs w:val="28"/>
        </w:rPr>
        <w:t>RINCIPLE</w:t>
      </w:r>
      <w:r w:rsidRPr="317C9040">
        <w:rPr>
          <w:rFonts w:ascii="Arial" w:hAnsi="Arial"/>
          <w:b/>
          <w:bCs/>
          <w:sz w:val="28"/>
          <w:szCs w:val="28"/>
        </w:rPr>
        <w:t>:</w:t>
      </w:r>
    </w:p>
    <w:p w14:paraId="08E282D9" w14:textId="065871AD" w:rsidR="007602FB" w:rsidRPr="00294A93" w:rsidRDefault="00EC45F6" w:rsidP="00294A93">
      <w:pPr>
        <w:spacing w:after="240"/>
        <w:ind w:left="709"/>
        <w:jc w:val="both"/>
        <w:rPr>
          <w:rFonts w:ascii="Arial" w:hAnsi="Arial"/>
          <w:b/>
          <w:bCs/>
          <w:szCs w:val="24"/>
        </w:rPr>
      </w:pPr>
      <w:r w:rsidRPr="00294A93">
        <w:rPr>
          <w:rFonts w:ascii="Arial" w:hAnsi="Arial"/>
          <w:szCs w:val="24"/>
        </w:rPr>
        <w:t xml:space="preserve">A visual assessment </w:t>
      </w:r>
      <w:r w:rsidR="00A760D9">
        <w:rPr>
          <w:rFonts w:ascii="Arial" w:hAnsi="Arial"/>
          <w:szCs w:val="24"/>
        </w:rPr>
        <w:t xml:space="preserve">to confirm blood components </w:t>
      </w:r>
      <w:r w:rsidR="00B7426A">
        <w:rPr>
          <w:rFonts w:ascii="Arial" w:hAnsi="Arial"/>
          <w:szCs w:val="24"/>
        </w:rPr>
        <w:t xml:space="preserve">are free of contamination, hemolysis or particulate </w:t>
      </w:r>
      <w:r w:rsidRPr="00294A93">
        <w:rPr>
          <w:rFonts w:ascii="Arial" w:hAnsi="Arial"/>
          <w:szCs w:val="24"/>
        </w:rPr>
        <w:t xml:space="preserve">is performed by the person </w:t>
      </w:r>
      <w:r w:rsidR="005B4321">
        <w:rPr>
          <w:rFonts w:ascii="Arial" w:hAnsi="Arial"/>
          <w:szCs w:val="24"/>
        </w:rPr>
        <w:t xml:space="preserve">prior to </w:t>
      </w:r>
      <w:r w:rsidRPr="00294A93">
        <w:rPr>
          <w:rFonts w:ascii="Arial" w:hAnsi="Arial"/>
          <w:szCs w:val="24"/>
        </w:rPr>
        <w:t>receiving</w:t>
      </w:r>
      <w:r w:rsidR="008E75BF">
        <w:rPr>
          <w:rFonts w:ascii="Arial" w:hAnsi="Arial"/>
          <w:szCs w:val="24"/>
        </w:rPr>
        <w:t xml:space="preserve"> into inventory</w:t>
      </w:r>
      <w:r w:rsidR="009D02DC" w:rsidRPr="00294A93">
        <w:rPr>
          <w:rFonts w:ascii="Arial" w:hAnsi="Arial"/>
          <w:szCs w:val="24"/>
        </w:rPr>
        <w:t>, issuing</w:t>
      </w:r>
      <w:r w:rsidRPr="00294A93">
        <w:rPr>
          <w:rFonts w:ascii="Arial" w:hAnsi="Arial"/>
          <w:szCs w:val="24"/>
        </w:rPr>
        <w:t xml:space="preserve"> or shipping b</w:t>
      </w:r>
      <w:r w:rsidR="39DE7F03" w:rsidRPr="00294A93">
        <w:rPr>
          <w:rFonts w:ascii="Arial" w:hAnsi="Arial"/>
          <w:szCs w:val="24"/>
        </w:rPr>
        <w:t>lood components and</w:t>
      </w:r>
      <w:r w:rsidRPr="00294A93">
        <w:rPr>
          <w:rFonts w:ascii="Arial" w:hAnsi="Arial"/>
          <w:szCs w:val="24"/>
        </w:rPr>
        <w:t>/or</w:t>
      </w:r>
      <w:r w:rsidR="39DE7F03" w:rsidRPr="00294A93">
        <w:rPr>
          <w:rFonts w:ascii="Arial" w:hAnsi="Arial"/>
          <w:szCs w:val="24"/>
        </w:rPr>
        <w:t xml:space="preserve"> plasma protein </w:t>
      </w:r>
      <w:r w:rsidR="00E31522" w:rsidRPr="00294A93">
        <w:rPr>
          <w:rFonts w:ascii="Arial" w:hAnsi="Arial"/>
          <w:szCs w:val="24"/>
        </w:rPr>
        <w:t xml:space="preserve">and related </w:t>
      </w:r>
      <w:proofErr w:type="gramStart"/>
      <w:r w:rsidR="39DE7F03" w:rsidRPr="00294A93">
        <w:rPr>
          <w:rFonts w:ascii="Arial" w:hAnsi="Arial"/>
          <w:szCs w:val="24"/>
        </w:rPr>
        <w:t>product</w:t>
      </w:r>
      <w:r w:rsidR="00E21DEA" w:rsidRPr="00294A93">
        <w:rPr>
          <w:rFonts w:ascii="Arial" w:hAnsi="Arial"/>
          <w:szCs w:val="24"/>
        </w:rPr>
        <w:t>s</w:t>
      </w:r>
      <w:r w:rsidR="00E21DEA">
        <w:rPr>
          <w:rFonts w:ascii="Arial" w:hAnsi="Arial"/>
          <w:szCs w:val="24"/>
        </w:rPr>
        <w:t>(</w:t>
      </w:r>
      <w:proofErr w:type="gramEnd"/>
      <w:r w:rsidR="00E21DEA">
        <w:rPr>
          <w:rFonts w:ascii="Arial" w:hAnsi="Arial"/>
          <w:szCs w:val="24"/>
        </w:rPr>
        <w:t>PPRP)</w:t>
      </w:r>
      <w:r w:rsidR="00E21DEA" w:rsidRPr="00294A93">
        <w:rPr>
          <w:rFonts w:ascii="Arial" w:hAnsi="Arial"/>
          <w:szCs w:val="24"/>
        </w:rPr>
        <w:t>.</w:t>
      </w:r>
    </w:p>
    <w:p w14:paraId="74C277E3" w14:textId="43E28B0A" w:rsidR="007602FB" w:rsidRDefault="39DE7F03" w:rsidP="00294A93">
      <w:pPr>
        <w:ind w:left="709" w:hanging="709"/>
      </w:pPr>
      <w:r w:rsidRPr="39DE7F03">
        <w:rPr>
          <w:rFonts w:ascii="Arial" w:hAnsi="Arial"/>
          <w:b/>
          <w:bCs/>
          <w:sz w:val="28"/>
          <w:szCs w:val="28"/>
        </w:rPr>
        <w:t xml:space="preserve">2.0 </w:t>
      </w:r>
      <w:r w:rsidR="000C211E">
        <w:rPr>
          <w:rFonts w:ascii="Arial" w:hAnsi="Arial"/>
          <w:b/>
          <w:bCs/>
          <w:sz w:val="28"/>
          <w:szCs w:val="28"/>
        </w:rPr>
        <w:t xml:space="preserve">   </w:t>
      </w:r>
      <w:r w:rsidRPr="39DE7F03">
        <w:rPr>
          <w:rFonts w:ascii="Arial" w:hAnsi="Arial"/>
          <w:b/>
          <w:bCs/>
          <w:sz w:val="28"/>
          <w:szCs w:val="28"/>
        </w:rPr>
        <w:t>P</w:t>
      </w:r>
      <w:r w:rsidR="00E31522">
        <w:rPr>
          <w:rFonts w:ascii="Arial" w:hAnsi="Arial"/>
          <w:b/>
          <w:bCs/>
          <w:sz w:val="28"/>
          <w:szCs w:val="28"/>
        </w:rPr>
        <w:t>URPOSE:</w:t>
      </w:r>
    </w:p>
    <w:p w14:paraId="7C5370DD" w14:textId="4D4508E9" w:rsidR="00A95112" w:rsidRDefault="39DE7F03" w:rsidP="00294A93">
      <w:pPr>
        <w:spacing w:after="240"/>
        <w:ind w:left="709"/>
        <w:jc w:val="both"/>
        <w:rPr>
          <w:rFonts w:ascii="Arial" w:hAnsi="Arial"/>
          <w:b/>
          <w:bCs/>
          <w:sz w:val="28"/>
          <w:szCs w:val="28"/>
        </w:rPr>
      </w:pPr>
      <w:r w:rsidRPr="5F9EFA94">
        <w:rPr>
          <w:rFonts w:ascii="Arial" w:hAnsi="Arial"/>
        </w:rPr>
        <w:t xml:space="preserve">To ensure blood components and </w:t>
      </w:r>
      <w:r w:rsidR="00E21DEA">
        <w:rPr>
          <w:rFonts w:ascii="Arial" w:hAnsi="Arial"/>
        </w:rPr>
        <w:t>PPRP</w:t>
      </w:r>
      <w:r w:rsidRPr="5F9EFA94">
        <w:rPr>
          <w:rFonts w:ascii="Arial" w:hAnsi="Arial"/>
        </w:rPr>
        <w:t xml:space="preserve"> </w:t>
      </w:r>
      <w:r w:rsidR="00C2150F">
        <w:rPr>
          <w:rFonts w:ascii="Arial" w:hAnsi="Arial"/>
        </w:rPr>
        <w:t xml:space="preserve">that </w:t>
      </w:r>
      <w:r w:rsidRPr="5F9EFA94">
        <w:rPr>
          <w:rFonts w:ascii="Arial" w:hAnsi="Arial"/>
        </w:rPr>
        <w:t xml:space="preserve">are received, </w:t>
      </w:r>
      <w:r w:rsidR="005C1420" w:rsidRPr="5F9EFA94">
        <w:rPr>
          <w:rFonts w:ascii="Arial" w:hAnsi="Arial"/>
        </w:rPr>
        <w:t>issued,</w:t>
      </w:r>
      <w:r w:rsidRPr="5F9EFA94">
        <w:rPr>
          <w:rFonts w:ascii="Arial" w:hAnsi="Arial"/>
        </w:rPr>
        <w:t xml:space="preserve"> or shippe</w:t>
      </w:r>
      <w:r w:rsidR="00914329">
        <w:rPr>
          <w:rFonts w:ascii="Arial" w:hAnsi="Arial"/>
        </w:rPr>
        <w:t>d</w:t>
      </w:r>
      <w:r w:rsidRPr="5F9EFA94">
        <w:rPr>
          <w:rFonts w:ascii="Arial" w:hAnsi="Arial"/>
        </w:rPr>
        <w:t xml:space="preserve"> are </w:t>
      </w:r>
      <w:r w:rsidR="006643CB">
        <w:rPr>
          <w:rFonts w:ascii="Arial" w:hAnsi="Arial"/>
        </w:rPr>
        <w:t>suitable and safe for transfusion.</w:t>
      </w:r>
    </w:p>
    <w:p w14:paraId="1BA9B606" w14:textId="479678AE" w:rsidR="007602FB" w:rsidRPr="00D87877" w:rsidRDefault="39DE7F03" w:rsidP="00294A93">
      <w:pPr>
        <w:numPr>
          <w:ilvl w:val="0"/>
          <w:numId w:val="3"/>
        </w:numPr>
        <w:ind w:left="709" w:hanging="709"/>
        <w:rPr>
          <w:rFonts w:ascii="Arial" w:hAnsi="Arial"/>
          <w:b/>
        </w:rPr>
      </w:pPr>
      <w:r w:rsidRPr="39DE7F03">
        <w:rPr>
          <w:rFonts w:ascii="Arial" w:hAnsi="Arial"/>
          <w:b/>
          <w:bCs/>
          <w:sz w:val="28"/>
          <w:szCs w:val="28"/>
        </w:rPr>
        <w:t>R</w:t>
      </w:r>
      <w:r w:rsidR="000C211E">
        <w:rPr>
          <w:rFonts w:ascii="Arial" w:hAnsi="Arial"/>
          <w:b/>
          <w:bCs/>
          <w:sz w:val="28"/>
          <w:szCs w:val="28"/>
        </w:rPr>
        <w:t>ELEVANT REQUIREMENTS</w:t>
      </w:r>
      <w:r w:rsidRPr="39DE7F03">
        <w:rPr>
          <w:rFonts w:ascii="Arial" w:hAnsi="Arial"/>
          <w:b/>
          <w:bCs/>
          <w:sz w:val="28"/>
          <w:szCs w:val="28"/>
        </w:rPr>
        <w:t>:</w:t>
      </w:r>
    </w:p>
    <w:p w14:paraId="37C9E9E5" w14:textId="7F5C7700" w:rsidR="000C3A67" w:rsidRPr="00294A93" w:rsidRDefault="39DE7F03" w:rsidP="00A13AB7">
      <w:pPr>
        <w:numPr>
          <w:ilvl w:val="1"/>
          <w:numId w:val="3"/>
        </w:numPr>
        <w:spacing w:after="120"/>
        <w:ind w:left="2127" w:hanging="993"/>
        <w:jc w:val="both"/>
        <w:rPr>
          <w:rFonts w:ascii="Arial" w:hAnsi="Arial"/>
        </w:rPr>
      </w:pPr>
      <w:r w:rsidRPr="5F9EFA94">
        <w:rPr>
          <w:rFonts w:ascii="Arial" w:hAnsi="Arial"/>
        </w:rPr>
        <w:t xml:space="preserve">Blood components </w:t>
      </w:r>
      <w:r w:rsidR="00801E7F">
        <w:rPr>
          <w:rFonts w:ascii="Arial" w:hAnsi="Arial"/>
        </w:rPr>
        <w:t>and PPRP</w:t>
      </w:r>
      <w:r w:rsidRPr="5F9EFA94">
        <w:rPr>
          <w:rFonts w:ascii="Arial" w:hAnsi="Arial"/>
        </w:rPr>
        <w:t xml:space="preserve"> shall be inspected for abnormal appearance upon receipt</w:t>
      </w:r>
      <w:r w:rsidR="005E437F">
        <w:rPr>
          <w:rFonts w:ascii="Arial" w:hAnsi="Arial"/>
        </w:rPr>
        <w:t xml:space="preserve">, immediately before issuing and </w:t>
      </w:r>
      <w:r w:rsidR="00911F2A">
        <w:rPr>
          <w:rFonts w:ascii="Arial" w:hAnsi="Arial"/>
        </w:rPr>
        <w:t xml:space="preserve">immediately before </w:t>
      </w:r>
      <w:r w:rsidR="005E437F">
        <w:rPr>
          <w:rFonts w:ascii="Arial" w:hAnsi="Arial"/>
        </w:rPr>
        <w:t>packing for transportation</w:t>
      </w:r>
      <w:r w:rsidRPr="5F9EFA94">
        <w:rPr>
          <w:rFonts w:ascii="Arial" w:hAnsi="Arial"/>
        </w:rPr>
        <w:t xml:space="preserve"> by the transfusion service</w:t>
      </w:r>
      <w:r w:rsidR="005D738C">
        <w:rPr>
          <w:rFonts w:ascii="Arial" w:hAnsi="Arial"/>
        </w:rPr>
        <w:t>. T</w:t>
      </w:r>
      <w:r w:rsidRPr="5F9EFA94">
        <w:rPr>
          <w:rFonts w:ascii="Arial" w:hAnsi="Arial"/>
        </w:rPr>
        <w:t xml:space="preserve">he visual inspection shall be documented. Blood components and </w:t>
      </w:r>
      <w:r w:rsidR="007F670D">
        <w:rPr>
          <w:rFonts w:ascii="Arial" w:hAnsi="Arial"/>
        </w:rPr>
        <w:t xml:space="preserve">PPRP </w:t>
      </w:r>
      <w:r w:rsidRPr="5F9EFA94">
        <w:rPr>
          <w:rFonts w:ascii="Arial" w:hAnsi="Arial"/>
        </w:rPr>
        <w:t xml:space="preserve">not passing inspection shall be quarantined until appropriate disposition is determined and the </w:t>
      </w:r>
      <w:r w:rsidR="00B563F3">
        <w:rPr>
          <w:rFonts w:ascii="Arial" w:hAnsi="Arial"/>
        </w:rPr>
        <w:t xml:space="preserve">blood supplier or </w:t>
      </w:r>
      <w:r w:rsidRPr="5F9EFA94">
        <w:rPr>
          <w:rFonts w:ascii="Arial" w:hAnsi="Arial"/>
        </w:rPr>
        <w:t>shipping facility informed.</w:t>
      </w:r>
      <w:r w:rsidRPr="5F9EFA94">
        <w:rPr>
          <w:rFonts w:ascii="Arial" w:hAnsi="Arial"/>
          <w:vertAlign w:val="superscript"/>
        </w:rPr>
        <w:t>10.1</w:t>
      </w:r>
      <w:r w:rsidRPr="5F9EFA94">
        <w:rPr>
          <w:rFonts w:ascii="Arial" w:hAnsi="Arial"/>
        </w:rPr>
        <w:t xml:space="preserve"> </w:t>
      </w:r>
    </w:p>
    <w:p w14:paraId="2F1D0BBB" w14:textId="57ACD2FC" w:rsidR="000C3A67" w:rsidRPr="00294A93" w:rsidRDefault="39DE7F03" w:rsidP="00A13AB7">
      <w:pPr>
        <w:numPr>
          <w:ilvl w:val="1"/>
          <w:numId w:val="3"/>
        </w:numPr>
        <w:spacing w:after="120"/>
        <w:ind w:left="2127" w:hanging="993"/>
        <w:jc w:val="both"/>
        <w:rPr>
          <w:rFonts w:ascii="Arial" w:hAnsi="Arial"/>
        </w:rPr>
      </w:pPr>
      <w:r w:rsidRPr="00294A93">
        <w:rPr>
          <w:rFonts w:ascii="Arial" w:hAnsi="Arial"/>
        </w:rPr>
        <w:t xml:space="preserve">Blood </w:t>
      </w:r>
      <w:r w:rsidR="001D0086">
        <w:rPr>
          <w:rFonts w:ascii="Arial" w:hAnsi="Arial"/>
        </w:rPr>
        <w:t>components</w:t>
      </w:r>
      <w:r w:rsidRPr="39DE7F03">
        <w:rPr>
          <w:rFonts w:ascii="Arial" w:hAnsi="Arial"/>
        </w:rPr>
        <w:t xml:space="preserve"> modified in an “open system” in the hospital TS must have the expiry time recorded on/attached to, the product container at the time of preparation.</w:t>
      </w:r>
      <w:r w:rsidRPr="00294A93">
        <w:rPr>
          <w:rFonts w:ascii="Arial" w:hAnsi="Arial"/>
          <w:vertAlign w:val="superscript"/>
        </w:rPr>
        <w:t>10.1</w:t>
      </w:r>
    </w:p>
    <w:p w14:paraId="64FF58EB" w14:textId="64839781" w:rsidR="006C1C4A" w:rsidRDefault="00547C9F" w:rsidP="00294A93">
      <w:pPr>
        <w:numPr>
          <w:ilvl w:val="0"/>
          <w:numId w:val="3"/>
        </w:numPr>
        <w:tabs>
          <w:tab w:val="left" w:pos="709"/>
        </w:tabs>
        <w:spacing w:after="120"/>
        <w:ind w:left="709" w:hanging="709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8"/>
          <w:szCs w:val="28"/>
        </w:rPr>
        <w:t>RELATED POLICIES/PROCEDURES</w:t>
      </w:r>
      <w:r w:rsidR="008248A0">
        <w:rPr>
          <w:rFonts w:ascii="Arial" w:hAnsi="Arial"/>
          <w:b/>
          <w:bCs/>
          <w:sz w:val="28"/>
          <w:szCs w:val="28"/>
        </w:rPr>
        <w:t xml:space="preserve"> (POLICIES IN OTTRM)</w:t>
      </w:r>
      <w:r w:rsidR="005E6833">
        <w:rPr>
          <w:rFonts w:ascii="Arial" w:hAnsi="Arial"/>
          <w:b/>
          <w:bCs/>
          <w:sz w:val="28"/>
          <w:szCs w:val="28"/>
        </w:rPr>
        <w:t>:</w:t>
      </w:r>
      <w:r w:rsidR="008248A0">
        <w:rPr>
          <w:rFonts w:ascii="Arial" w:hAnsi="Arial"/>
          <w:b/>
          <w:bCs/>
          <w:sz w:val="28"/>
          <w:szCs w:val="28"/>
        </w:rPr>
        <w:t xml:space="preserve"> </w:t>
      </w:r>
    </w:p>
    <w:p w14:paraId="6097A428" w14:textId="1D7DF9C8" w:rsidR="000C3A67" w:rsidRPr="00294A93" w:rsidRDefault="00EC41C1" w:rsidP="00A13AB7">
      <w:pPr>
        <w:numPr>
          <w:ilvl w:val="1"/>
          <w:numId w:val="3"/>
        </w:numPr>
        <w:tabs>
          <w:tab w:val="left" w:pos="709"/>
        </w:tabs>
        <w:spacing w:after="120"/>
        <w:ind w:left="2127" w:hanging="993"/>
        <w:rPr>
          <w:rFonts w:ascii="Arial" w:hAnsi="Arial"/>
          <w:b/>
        </w:rPr>
      </w:pPr>
      <w:hyperlink r:id="rId11" w:history="1">
        <w:r w:rsidR="006C1C4A" w:rsidRPr="00B35913">
          <w:rPr>
            <w:rStyle w:val="Hyperlink"/>
            <w:rFonts w:ascii="Arial" w:hAnsi="Arial"/>
          </w:rPr>
          <w:t>IM.005 – Final Disposition of Blood Components and Plasma Protein and Related Products Not Suitable for Transfusion – Manual Procedure</w:t>
        </w:r>
      </w:hyperlink>
    </w:p>
    <w:p w14:paraId="48109531" w14:textId="3D604937" w:rsidR="00A84C90" w:rsidRPr="00294A93" w:rsidRDefault="00EC41C1" w:rsidP="00A13AB7">
      <w:pPr>
        <w:numPr>
          <w:ilvl w:val="1"/>
          <w:numId w:val="3"/>
        </w:numPr>
        <w:tabs>
          <w:tab w:val="left" w:pos="709"/>
        </w:tabs>
        <w:spacing w:after="120"/>
        <w:ind w:left="2127" w:hanging="993"/>
        <w:rPr>
          <w:rFonts w:ascii="Arial" w:hAnsi="Arial"/>
          <w:b/>
        </w:rPr>
      </w:pPr>
      <w:hyperlink r:id="rId12" w:history="1">
        <w:r w:rsidR="00A84C90" w:rsidRPr="00E54C03">
          <w:rPr>
            <w:rStyle w:val="Hyperlink"/>
            <w:rFonts w:ascii="Arial" w:hAnsi="Arial"/>
          </w:rPr>
          <w:t>CSP.001 – Selection of Blood Components for Transfusion</w:t>
        </w:r>
      </w:hyperlink>
      <w:r w:rsidR="00A84C90" w:rsidRPr="00B91E96">
        <w:rPr>
          <w:rFonts w:ascii="Arial" w:hAnsi="Arial"/>
        </w:rPr>
        <w:t xml:space="preserve"> </w:t>
      </w:r>
    </w:p>
    <w:p w14:paraId="0F3172FB" w14:textId="5B61750C" w:rsidR="00A84C90" w:rsidRPr="005E6833" w:rsidRDefault="00EC41C1" w:rsidP="00A13AB7">
      <w:pPr>
        <w:numPr>
          <w:ilvl w:val="1"/>
          <w:numId w:val="3"/>
        </w:numPr>
        <w:tabs>
          <w:tab w:val="left" w:pos="709"/>
        </w:tabs>
        <w:ind w:left="2127" w:hanging="993"/>
        <w:rPr>
          <w:rFonts w:ascii="Arial" w:hAnsi="Arial"/>
          <w:b/>
        </w:rPr>
      </w:pPr>
      <w:hyperlink r:id="rId13" w:history="1">
        <w:r w:rsidR="00A84C90" w:rsidRPr="00014FA4">
          <w:rPr>
            <w:rStyle w:val="Hyperlink"/>
            <w:rFonts w:ascii="Arial" w:hAnsi="Arial"/>
          </w:rPr>
          <w:t>QCA.0</w:t>
        </w:r>
        <w:r w:rsidR="00FD3D09" w:rsidRPr="00014FA4">
          <w:rPr>
            <w:rStyle w:val="Hyperlink"/>
            <w:rFonts w:ascii="Arial" w:hAnsi="Arial"/>
          </w:rPr>
          <w:t>2</w:t>
        </w:r>
        <w:r w:rsidR="00A84C90" w:rsidRPr="00014FA4">
          <w:rPr>
            <w:rStyle w:val="Hyperlink"/>
            <w:rFonts w:ascii="Arial" w:hAnsi="Arial"/>
          </w:rPr>
          <w:t>0 – Medical Director Consultation Protocol</w:t>
        </w:r>
      </w:hyperlink>
    </w:p>
    <w:p w14:paraId="34817D61" w14:textId="27582C52" w:rsidR="000C3A67" w:rsidRPr="00294A93" w:rsidRDefault="39DE7F03" w:rsidP="00A13AB7">
      <w:pPr>
        <w:numPr>
          <w:ilvl w:val="0"/>
          <w:numId w:val="3"/>
        </w:numPr>
        <w:tabs>
          <w:tab w:val="left" w:pos="709"/>
        </w:tabs>
        <w:spacing w:before="120"/>
        <w:ind w:left="709" w:hanging="709"/>
        <w:rPr>
          <w:rFonts w:ascii="Arial" w:hAnsi="Arial"/>
          <w:b/>
          <w:bCs/>
        </w:rPr>
      </w:pPr>
      <w:r w:rsidRPr="39DE7F03">
        <w:rPr>
          <w:rFonts w:ascii="Arial" w:hAnsi="Arial"/>
          <w:b/>
          <w:bCs/>
          <w:sz w:val="28"/>
          <w:szCs w:val="28"/>
        </w:rPr>
        <w:t>M</w:t>
      </w:r>
      <w:r w:rsidR="008248A0">
        <w:rPr>
          <w:rFonts w:ascii="Arial" w:hAnsi="Arial"/>
          <w:b/>
          <w:bCs/>
          <w:sz w:val="28"/>
          <w:szCs w:val="28"/>
        </w:rPr>
        <w:t>ATERIAL</w:t>
      </w:r>
      <w:r w:rsidR="005E6833">
        <w:rPr>
          <w:rFonts w:ascii="Arial" w:hAnsi="Arial"/>
          <w:b/>
          <w:bCs/>
          <w:sz w:val="28"/>
          <w:szCs w:val="28"/>
        </w:rPr>
        <w:t>S</w:t>
      </w:r>
      <w:r w:rsidR="008248A0">
        <w:rPr>
          <w:rFonts w:ascii="Arial" w:hAnsi="Arial"/>
          <w:b/>
          <w:bCs/>
          <w:sz w:val="28"/>
          <w:szCs w:val="28"/>
        </w:rPr>
        <w:t>:</w:t>
      </w:r>
    </w:p>
    <w:p w14:paraId="2D023D5F" w14:textId="73C2B169" w:rsidR="0087287A" w:rsidRDefault="0087287A" w:rsidP="00A13AB7">
      <w:pPr>
        <w:numPr>
          <w:ilvl w:val="0"/>
          <w:numId w:val="6"/>
        </w:numPr>
        <w:tabs>
          <w:tab w:val="left" w:pos="709"/>
        </w:tabs>
        <w:spacing w:before="1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Specimens: N/A</w:t>
      </w:r>
    </w:p>
    <w:p w14:paraId="66B3CCD3" w14:textId="15FDADE8" w:rsidR="005F4F6F" w:rsidRDefault="39DE7F03" w:rsidP="00294A93">
      <w:pPr>
        <w:numPr>
          <w:ilvl w:val="0"/>
          <w:numId w:val="6"/>
        </w:numPr>
        <w:tabs>
          <w:tab w:val="left" w:pos="709"/>
        </w:tabs>
        <w:rPr>
          <w:rFonts w:ascii="Arial" w:hAnsi="Arial"/>
          <w:b/>
          <w:bCs/>
        </w:rPr>
      </w:pPr>
      <w:r w:rsidRPr="39DE7F03">
        <w:rPr>
          <w:rFonts w:ascii="Arial" w:hAnsi="Arial"/>
          <w:b/>
          <w:bCs/>
        </w:rPr>
        <w:t>Equipment</w:t>
      </w:r>
      <w:r w:rsidR="359395E3" w:rsidRPr="7075B756">
        <w:rPr>
          <w:rFonts w:ascii="Arial" w:hAnsi="Arial"/>
          <w:b/>
          <w:bCs/>
        </w:rPr>
        <w:t>:</w:t>
      </w:r>
      <w:r w:rsidRPr="39DE7F03">
        <w:rPr>
          <w:rFonts w:ascii="Arial" w:hAnsi="Arial"/>
          <w:b/>
          <w:bCs/>
        </w:rPr>
        <w:t xml:space="preserve"> N/A</w:t>
      </w:r>
    </w:p>
    <w:p w14:paraId="1AC5ABA6" w14:textId="77777777" w:rsidR="005F4F6F" w:rsidRDefault="39DE7F03" w:rsidP="00294A93">
      <w:pPr>
        <w:numPr>
          <w:ilvl w:val="0"/>
          <w:numId w:val="6"/>
        </w:numPr>
        <w:tabs>
          <w:tab w:val="left" w:pos="709"/>
        </w:tabs>
        <w:rPr>
          <w:rFonts w:ascii="Arial" w:hAnsi="Arial"/>
          <w:b/>
          <w:bCs/>
        </w:rPr>
      </w:pPr>
      <w:r w:rsidRPr="39DE7F03">
        <w:rPr>
          <w:rFonts w:ascii="Arial" w:hAnsi="Arial"/>
          <w:b/>
          <w:bCs/>
        </w:rPr>
        <w:t>Reagents: N/A</w:t>
      </w:r>
    </w:p>
    <w:p w14:paraId="2C56AF7C" w14:textId="21032D0E" w:rsidR="005F4F6F" w:rsidRDefault="39DE7F03" w:rsidP="00294A93">
      <w:pPr>
        <w:numPr>
          <w:ilvl w:val="0"/>
          <w:numId w:val="6"/>
        </w:numPr>
        <w:tabs>
          <w:tab w:val="left" w:pos="709"/>
        </w:tabs>
        <w:rPr>
          <w:rFonts w:ascii="Arial" w:hAnsi="Arial"/>
          <w:b/>
          <w:bCs/>
        </w:rPr>
      </w:pPr>
      <w:r w:rsidRPr="39DE7F03">
        <w:rPr>
          <w:rFonts w:ascii="Arial" w:hAnsi="Arial"/>
          <w:b/>
          <w:bCs/>
        </w:rPr>
        <w:t>Supplies / Related Forms</w:t>
      </w:r>
      <w:r w:rsidR="005E6833">
        <w:rPr>
          <w:rFonts w:ascii="Arial" w:hAnsi="Arial"/>
          <w:b/>
          <w:bCs/>
        </w:rPr>
        <w:t>:</w:t>
      </w:r>
    </w:p>
    <w:p w14:paraId="7F0260B6" w14:textId="542B292E" w:rsidR="000C3A67" w:rsidRPr="000C3A67" w:rsidRDefault="005E6833" w:rsidP="00294A93">
      <w:pPr>
        <w:tabs>
          <w:tab w:val="left" w:pos="709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C3A67" w:rsidRPr="000C3A67">
        <w:rPr>
          <w:rFonts w:ascii="Arial" w:hAnsi="Arial"/>
        </w:rPr>
        <w:t>Blood products to be inspected</w:t>
      </w:r>
    </w:p>
    <w:p w14:paraId="5DDB438C" w14:textId="69BFF857" w:rsidR="00BD54B9" w:rsidRDefault="000C3A67">
      <w:pPr>
        <w:ind w:left="2160"/>
        <w:rPr>
          <w:rFonts w:ascii="Arial" w:hAnsi="Arial"/>
        </w:rPr>
      </w:pPr>
      <w:r w:rsidRPr="00BD54B9">
        <w:rPr>
          <w:rFonts w:ascii="Arial" w:hAnsi="Arial"/>
        </w:rPr>
        <w:lastRenderedPageBreak/>
        <w:t>CBS Hospita</w:t>
      </w:r>
      <w:r w:rsidR="00FA5059">
        <w:rPr>
          <w:rFonts w:ascii="Arial" w:hAnsi="Arial"/>
        </w:rPr>
        <w:t>l</w:t>
      </w:r>
      <w:r w:rsidRPr="00BD54B9">
        <w:rPr>
          <w:rFonts w:ascii="Arial" w:hAnsi="Arial"/>
        </w:rPr>
        <w:t xml:space="preserve"> Voucher</w:t>
      </w:r>
      <w:r w:rsidR="00FA5059">
        <w:rPr>
          <w:rFonts w:ascii="Arial" w:hAnsi="Arial"/>
        </w:rPr>
        <w:t xml:space="preserve"> (if applicable)</w:t>
      </w:r>
      <w:r w:rsidRPr="00BD54B9">
        <w:rPr>
          <w:rFonts w:ascii="Arial" w:hAnsi="Arial"/>
        </w:rPr>
        <w:t xml:space="preserve"> </w:t>
      </w:r>
    </w:p>
    <w:p w14:paraId="3E174B87" w14:textId="2DCE0FB9" w:rsidR="0061164C" w:rsidRDefault="00FA5059" w:rsidP="00294A93">
      <w:pPr>
        <w:pStyle w:val="Heading4"/>
        <w:numPr>
          <w:ilvl w:val="0"/>
          <w:numId w:val="0"/>
        </w:numPr>
        <w:shd w:val="clear" w:color="auto" w:fill="FFFFFF"/>
        <w:spacing w:after="0"/>
        <w:ind w:left="2127"/>
        <w:rPr>
          <w:rFonts w:ascii="Arial" w:hAnsi="Arial"/>
        </w:rPr>
      </w:pPr>
      <w:r w:rsidRPr="0061164C">
        <w:rPr>
          <w:rFonts w:ascii="Arial" w:hAnsi="Arial"/>
        </w:rPr>
        <w:t>IM.00</w:t>
      </w:r>
      <w:r w:rsidR="001E00F1" w:rsidRPr="00294A93">
        <w:rPr>
          <w:rFonts w:ascii="Arial" w:hAnsi="Arial"/>
        </w:rPr>
        <w:t>6</w:t>
      </w:r>
      <w:r w:rsidRPr="0061164C">
        <w:rPr>
          <w:rFonts w:ascii="Arial" w:hAnsi="Arial"/>
        </w:rPr>
        <w:t>F1</w:t>
      </w:r>
      <w:r w:rsidR="00A57C4D" w:rsidRPr="00294A93">
        <w:rPr>
          <w:rFonts w:ascii="Arial" w:hAnsi="Arial"/>
        </w:rPr>
        <w:t>-</w:t>
      </w:r>
      <w:r w:rsidR="0061164C" w:rsidRPr="00294A93">
        <w:rPr>
          <w:rFonts w:ascii="Arial" w:hAnsi="Arial"/>
        </w:rPr>
        <w:t xml:space="preserve"> Inter-Hospital Redistribution For</w:t>
      </w:r>
      <w:r w:rsidR="0061164C" w:rsidRPr="0061164C">
        <w:rPr>
          <w:rFonts w:ascii="Arial" w:hAnsi="Arial"/>
        </w:rPr>
        <w:t>m</w:t>
      </w:r>
      <w:r w:rsidR="00FB1C87">
        <w:rPr>
          <w:rFonts w:ascii="Arial" w:hAnsi="Arial"/>
        </w:rPr>
        <w:t xml:space="preserve"> </w:t>
      </w:r>
      <w:r w:rsidRPr="0061164C">
        <w:rPr>
          <w:rFonts w:ascii="Arial" w:hAnsi="Arial"/>
        </w:rPr>
        <w:t>(if applicable)</w:t>
      </w:r>
    </w:p>
    <w:p w14:paraId="0E65B7BF" w14:textId="1808938F" w:rsidR="000C3A67" w:rsidRPr="00294A93" w:rsidRDefault="001E00F1" w:rsidP="00294A93">
      <w:pPr>
        <w:pStyle w:val="Heading4"/>
        <w:numPr>
          <w:ilvl w:val="0"/>
          <w:numId w:val="0"/>
        </w:numPr>
        <w:shd w:val="clear" w:color="auto" w:fill="FFFFFF"/>
        <w:ind w:left="2127"/>
        <w:rPr>
          <w:rFonts w:ascii="Segoe UI" w:hAnsi="Segoe UI" w:cs="Segoe UI"/>
          <w:color w:val="212529"/>
          <w:kern w:val="0"/>
          <w:lang w:eastAsia="en-CA"/>
        </w:rPr>
      </w:pPr>
      <w:r w:rsidRPr="00294A93">
        <w:rPr>
          <w:rFonts w:ascii="Arial" w:hAnsi="Arial"/>
        </w:rPr>
        <w:t>IM</w:t>
      </w:r>
      <w:r w:rsidR="00FA5059" w:rsidRPr="00D95FF3">
        <w:rPr>
          <w:rFonts w:ascii="Arial" w:hAnsi="Arial"/>
        </w:rPr>
        <w:t>.00</w:t>
      </w:r>
      <w:r w:rsidRPr="00294A93">
        <w:rPr>
          <w:rFonts w:ascii="Arial" w:hAnsi="Arial"/>
        </w:rPr>
        <w:t>7</w:t>
      </w:r>
      <w:r w:rsidR="00FA5059" w:rsidRPr="00D95FF3">
        <w:rPr>
          <w:rFonts w:ascii="Arial" w:hAnsi="Arial"/>
        </w:rPr>
        <w:t>F1</w:t>
      </w:r>
      <w:r w:rsidR="00D95FF3" w:rsidRPr="00D95FF3">
        <w:rPr>
          <w:rFonts w:ascii="Arial" w:hAnsi="Arial"/>
        </w:rPr>
        <w:t>-Inter-</w:t>
      </w:r>
      <w:r w:rsidR="00FB1C87">
        <w:rPr>
          <w:rFonts w:ascii="Arial" w:hAnsi="Arial"/>
        </w:rPr>
        <w:t>H</w:t>
      </w:r>
      <w:r w:rsidR="00D95FF3" w:rsidRPr="00D95FF3">
        <w:rPr>
          <w:rFonts w:ascii="Arial" w:hAnsi="Arial"/>
        </w:rPr>
        <w:t xml:space="preserve">ospital Transfer Form Blood Components Products Accompanying a Patient </w:t>
      </w:r>
      <w:r w:rsidR="00FA5059" w:rsidRPr="00D95FF3">
        <w:rPr>
          <w:rFonts w:ascii="Arial" w:hAnsi="Arial"/>
        </w:rPr>
        <w:t>(if applicable)</w:t>
      </w:r>
    </w:p>
    <w:p w14:paraId="5A2FCA43" w14:textId="66EE9F83" w:rsidR="000C3A67" w:rsidRDefault="39DE7F03" w:rsidP="00294A93">
      <w:pPr>
        <w:numPr>
          <w:ilvl w:val="0"/>
          <w:numId w:val="3"/>
        </w:numPr>
        <w:spacing w:after="240"/>
        <w:ind w:left="709" w:hanging="709"/>
        <w:rPr>
          <w:rFonts w:ascii="Arial" w:hAnsi="Arial"/>
        </w:rPr>
      </w:pPr>
      <w:r w:rsidRPr="39DE7F03">
        <w:rPr>
          <w:rFonts w:ascii="Arial" w:hAnsi="Arial"/>
          <w:b/>
          <w:bCs/>
          <w:sz w:val="28"/>
          <w:szCs w:val="28"/>
        </w:rPr>
        <w:t>Q</w:t>
      </w:r>
      <w:r w:rsidR="0087287A">
        <w:rPr>
          <w:rFonts w:ascii="Arial" w:hAnsi="Arial"/>
          <w:b/>
          <w:bCs/>
          <w:sz w:val="28"/>
          <w:szCs w:val="28"/>
        </w:rPr>
        <w:t>UALITY CONTROL</w:t>
      </w:r>
      <w:r w:rsidR="0087287A">
        <w:rPr>
          <w:rFonts w:ascii="Arial" w:hAnsi="Arial"/>
        </w:rPr>
        <w:t>: N/A</w:t>
      </w:r>
    </w:p>
    <w:p w14:paraId="278D913F" w14:textId="03407264" w:rsidR="000C3A67" w:rsidRPr="00626755" w:rsidRDefault="39DE7F03" w:rsidP="00294A93">
      <w:pPr>
        <w:numPr>
          <w:ilvl w:val="0"/>
          <w:numId w:val="3"/>
        </w:numPr>
        <w:ind w:left="709" w:hanging="709"/>
        <w:rPr>
          <w:rFonts w:ascii="Arial" w:hAnsi="Arial"/>
          <w:b/>
          <w:sz w:val="28"/>
        </w:rPr>
      </w:pPr>
      <w:r w:rsidRPr="39DE7F03">
        <w:rPr>
          <w:rFonts w:ascii="Arial" w:hAnsi="Arial"/>
          <w:b/>
          <w:bCs/>
          <w:sz w:val="28"/>
          <w:szCs w:val="28"/>
        </w:rPr>
        <w:t>P</w:t>
      </w:r>
      <w:r w:rsidR="00786D8C">
        <w:rPr>
          <w:rFonts w:ascii="Arial" w:hAnsi="Arial"/>
          <w:b/>
          <w:bCs/>
          <w:sz w:val="28"/>
          <w:szCs w:val="28"/>
        </w:rPr>
        <w:t>ROCEDURE:</w:t>
      </w:r>
    </w:p>
    <w:p w14:paraId="10CBA4A8" w14:textId="77777777" w:rsidR="00626755" w:rsidRPr="00786D8C" w:rsidRDefault="00626755" w:rsidP="00626755">
      <w:pPr>
        <w:ind w:left="709"/>
        <w:rPr>
          <w:rFonts w:ascii="Arial" w:hAnsi="Arial"/>
          <w:b/>
          <w:sz w:val="28"/>
        </w:rPr>
      </w:pPr>
    </w:p>
    <w:tbl>
      <w:tblPr>
        <w:tblW w:w="108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9062"/>
      </w:tblGrid>
      <w:tr w:rsidR="00626755" w:rsidRPr="00B91E96" w14:paraId="5E2529A7" w14:textId="77777777" w:rsidTr="00893C40">
        <w:trPr>
          <w:trHeight w:val="179"/>
        </w:trPr>
        <w:tc>
          <w:tcPr>
            <w:tcW w:w="2552" w:type="dxa"/>
            <w:shd w:val="clear" w:color="auto" w:fill="BFBFBF"/>
          </w:tcPr>
          <w:p w14:paraId="3B231082" w14:textId="74E755D2" w:rsidR="00522F5A" w:rsidRPr="00294A93" w:rsidRDefault="008568A4" w:rsidP="00294A93">
            <w:pPr>
              <w:rPr>
                <w:rFonts w:ascii="Arial" w:hAnsi="Arial"/>
                <w:b/>
                <w:bCs/>
              </w:rPr>
            </w:pPr>
            <w:r w:rsidRPr="00294A93">
              <w:rPr>
                <w:rFonts w:ascii="Arial" w:hAnsi="Arial"/>
                <w:b/>
                <w:bCs/>
              </w:rPr>
              <w:t>STEP</w:t>
            </w:r>
          </w:p>
        </w:tc>
        <w:tc>
          <w:tcPr>
            <w:tcW w:w="8289" w:type="dxa"/>
            <w:shd w:val="clear" w:color="auto" w:fill="BFBFBF"/>
          </w:tcPr>
          <w:p w14:paraId="4B3D24FE" w14:textId="223A9D63" w:rsidR="00522F5A" w:rsidRPr="00294A93" w:rsidRDefault="008568A4" w:rsidP="00294A93">
            <w:pPr>
              <w:rPr>
                <w:rFonts w:ascii="Arial" w:hAnsi="Arial"/>
                <w:b/>
                <w:bCs/>
              </w:rPr>
            </w:pPr>
            <w:r w:rsidRPr="00294A93">
              <w:rPr>
                <w:rFonts w:ascii="Arial" w:hAnsi="Arial"/>
                <w:b/>
                <w:bCs/>
              </w:rPr>
              <w:t>ACTION</w:t>
            </w:r>
          </w:p>
        </w:tc>
      </w:tr>
      <w:tr w:rsidR="00626755" w:rsidRPr="00B91E96" w14:paraId="74B272CB" w14:textId="77777777" w:rsidTr="00893C40">
        <w:trPr>
          <w:trHeight w:val="4200"/>
        </w:trPr>
        <w:tc>
          <w:tcPr>
            <w:tcW w:w="2552" w:type="dxa"/>
            <w:shd w:val="clear" w:color="auto" w:fill="auto"/>
          </w:tcPr>
          <w:p w14:paraId="7D09D4F5" w14:textId="77777777" w:rsidR="00A445B3" w:rsidRPr="00B91E96" w:rsidRDefault="39DE7F03" w:rsidP="00294A93">
            <w:pPr>
              <w:numPr>
                <w:ilvl w:val="1"/>
                <w:numId w:val="3"/>
              </w:numPr>
              <w:ind w:left="456" w:hanging="456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A5059">
              <w:rPr>
                <w:rFonts w:ascii="Arial" w:hAnsi="Arial"/>
              </w:rPr>
              <w:t>Determine if the product is in date.</w:t>
            </w:r>
          </w:p>
        </w:tc>
        <w:tc>
          <w:tcPr>
            <w:tcW w:w="8289" w:type="dxa"/>
            <w:shd w:val="clear" w:color="auto" w:fill="auto"/>
          </w:tcPr>
          <w:p w14:paraId="27B96126" w14:textId="719344F9" w:rsidR="00A445B3" w:rsidRPr="00294A93" w:rsidRDefault="39DE7F03" w:rsidP="00294A93">
            <w:pPr>
              <w:numPr>
                <w:ilvl w:val="2"/>
                <w:numId w:val="3"/>
              </w:numPr>
              <w:tabs>
                <w:tab w:val="left" w:pos="885"/>
              </w:tabs>
              <w:ind w:left="885" w:hanging="851"/>
              <w:rPr>
                <w:rFonts w:ascii="Arial" w:hAnsi="Arial"/>
                <w:b/>
                <w:bCs/>
                <w:sz w:val="28"/>
                <w:szCs w:val="28"/>
              </w:rPr>
            </w:pPr>
            <w:r w:rsidRPr="39DE7F03">
              <w:rPr>
                <w:rFonts w:ascii="Arial" w:hAnsi="Arial"/>
              </w:rPr>
              <w:t>Verify the expiry date on the product label</w:t>
            </w:r>
            <w:r w:rsidR="00892B37">
              <w:rPr>
                <w:rFonts w:ascii="Arial" w:hAnsi="Arial"/>
              </w:rPr>
              <w:t>.</w:t>
            </w:r>
            <w:r w:rsidR="00626755">
              <w:rPr>
                <w:rFonts w:ascii="Arial" w:hAnsi="Arial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8"/>
              <w:gridCol w:w="6085"/>
            </w:tblGrid>
            <w:tr w:rsidR="004622B7" w14:paraId="50FFADC7" w14:textId="77777777" w:rsidTr="00893C40">
              <w:tc>
                <w:tcPr>
                  <w:tcW w:w="1298" w:type="dxa"/>
                  <w:shd w:val="clear" w:color="auto" w:fill="BFBFBF"/>
                </w:tcPr>
                <w:p w14:paraId="78DB2304" w14:textId="77777777" w:rsidR="00EE04BE" w:rsidRDefault="00EE04BE">
                  <w:pPr>
                    <w:tabs>
                      <w:tab w:val="left" w:pos="885"/>
                    </w:tabs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If</w:t>
                  </w:r>
                </w:p>
              </w:tc>
              <w:tc>
                <w:tcPr>
                  <w:tcW w:w="6212" w:type="dxa"/>
                  <w:shd w:val="clear" w:color="auto" w:fill="BFBFBF"/>
                </w:tcPr>
                <w:p w14:paraId="09DB535C" w14:textId="77777777" w:rsidR="00EE04BE" w:rsidRDefault="00EE04BE">
                  <w:pPr>
                    <w:tabs>
                      <w:tab w:val="left" w:pos="885"/>
                    </w:tabs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Then</w:t>
                  </w:r>
                </w:p>
              </w:tc>
            </w:tr>
            <w:tr w:rsidR="004622B7" w14:paraId="6155B9AC" w14:textId="77777777" w:rsidTr="00893C40">
              <w:tc>
                <w:tcPr>
                  <w:tcW w:w="1298" w:type="dxa"/>
                  <w:shd w:val="clear" w:color="auto" w:fill="auto"/>
                </w:tcPr>
                <w:p w14:paraId="78444523" w14:textId="0DBEFD2A" w:rsidR="00EE04BE" w:rsidRDefault="00EE04BE">
                  <w:pPr>
                    <w:tabs>
                      <w:tab w:val="left" w:pos="885"/>
                    </w:tabs>
                    <w:ind w:right="16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Product is expired</w:t>
                  </w:r>
                  <w:r w:rsidR="00290F0D">
                    <w:rPr>
                      <w:rFonts w:ascii="Arial" w:hAnsi="Arial"/>
                    </w:rPr>
                    <w:t>/ No expiry date on the label</w:t>
                  </w:r>
                </w:p>
              </w:tc>
              <w:tc>
                <w:tcPr>
                  <w:tcW w:w="6212" w:type="dxa"/>
                  <w:shd w:val="clear" w:color="auto" w:fill="auto"/>
                </w:tcPr>
                <w:p w14:paraId="6E1D529D" w14:textId="188413EA" w:rsidR="00EE04BE" w:rsidRDefault="00EE04BE" w:rsidP="00294A93">
                  <w:pPr>
                    <w:numPr>
                      <w:ilvl w:val="0"/>
                      <w:numId w:val="7"/>
                    </w:numPr>
                    <w:tabs>
                      <w:tab w:val="left" w:pos="354"/>
                    </w:tabs>
                    <w:ind w:left="349" w:right="-8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Discard</w:t>
                  </w:r>
                  <w:r w:rsidR="00B50077">
                    <w:rPr>
                      <w:rFonts w:ascii="Arial" w:hAnsi="Arial"/>
                    </w:rPr>
                    <w:t xml:space="preserve"> the unit</w:t>
                  </w:r>
                  <w:r w:rsidR="005C29C2">
                    <w:rPr>
                      <w:rFonts w:ascii="Arial" w:hAnsi="Arial"/>
                    </w:rPr>
                    <w:t xml:space="preserve"> or PPRP</w:t>
                  </w:r>
                  <w:r>
                    <w:rPr>
                      <w:rFonts w:ascii="Arial" w:hAnsi="Arial"/>
                    </w:rPr>
                    <w:t>. See IM.005 – Final Disposition of Blood Components and Plasma Protein and Related Products Not Suitable for Transfusion – Manual Procedure.</w:t>
                  </w:r>
                </w:p>
                <w:p w14:paraId="75F73776" w14:textId="45AF3FE0" w:rsidR="00EE04BE" w:rsidRDefault="00EE04BE" w:rsidP="00294A93">
                  <w:pPr>
                    <w:pStyle w:val="ListParagraph"/>
                    <w:numPr>
                      <w:ilvl w:val="0"/>
                      <w:numId w:val="7"/>
                    </w:numPr>
                    <w:ind w:left="333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Notify the sending hospital or the blood supplier.</w:t>
                  </w:r>
                  <w:r w:rsidR="00825473">
                    <w:rPr>
                      <w:rFonts w:ascii="Arial" w:hAnsi="Arial"/>
                    </w:rPr>
                    <w:t xml:space="preserve"> If applicable</w:t>
                  </w:r>
                </w:p>
                <w:p w14:paraId="3A3B3641" w14:textId="48AE498A" w:rsidR="00825473" w:rsidRDefault="00EE04BE" w:rsidP="00294A93">
                  <w:pPr>
                    <w:pStyle w:val="ListParagraph"/>
                    <w:numPr>
                      <w:ilvl w:val="1"/>
                      <w:numId w:val="7"/>
                    </w:numPr>
                    <w:ind w:left="758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</w:rPr>
                    <w:t>Initiate a customer feedback form online for shipments received from the blood supplier</w:t>
                  </w:r>
                  <w:r w:rsidR="005269F4">
                    <w:rPr>
                      <w:rFonts w:ascii="Arial" w:hAnsi="Arial"/>
                    </w:rPr>
                    <w:t xml:space="preserve"> </w:t>
                  </w:r>
                </w:p>
                <w:p w14:paraId="2AE4F454" w14:textId="77777777" w:rsidR="00EE04BE" w:rsidRDefault="00EE04BE" w:rsidP="00294A93">
                  <w:pPr>
                    <w:pStyle w:val="ListParagraph"/>
                    <w:numPr>
                      <w:ilvl w:val="0"/>
                      <w:numId w:val="7"/>
                    </w:numPr>
                    <w:ind w:left="31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Cs w:val="24"/>
                    </w:rPr>
                    <w:t>Follow your hospital specific process for initiating an incident investigation.</w:t>
                  </w:r>
                </w:p>
              </w:tc>
            </w:tr>
            <w:tr w:rsidR="004622B7" w14:paraId="29743D06" w14:textId="77777777" w:rsidTr="00893C40">
              <w:trPr>
                <w:trHeight w:val="2460"/>
              </w:trPr>
              <w:tc>
                <w:tcPr>
                  <w:tcW w:w="1298" w:type="dxa"/>
                  <w:shd w:val="clear" w:color="auto" w:fill="auto"/>
                </w:tcPr>
                <w:p w14:paraId="5B90E69A" w14:textId="17473BD9" w:rsidR="00EE04BE" w:rsidRDefault="00EE04BE">
                  <w:pPr>
                    <w:tabs>
                      <w:tab w:val="left" w:pos="885"/>
                    </w:tabs>
                    <w:ind w:right="16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No expiry date on the label</w:t>
                  </w:r>
                  <w:r w:rsidR="00070BC9">
                    <w:rPr>
                      <w:rFonts w:ascii="Arial" w:hAnsi="Arial"/>
                    </w:rPr>
                    <w:t xml:space="preserve"> </w:t>
                  </w:r>
                  <w:r w:rsidR="002A50D2">
                    <w:rPr>
                      <w:rFonts w:ascii="Arial" w:hAnsi="Arial"/>
                    </w:rPr>
                    <w:t>of modified products</w:t>
                  </w:r>
                </w:p>
              </w:tc>
              <w:tc>
                <w:tcPr>
                  <w:tcW w:w="6212" w:type="dxa"/>
                  <w:shd w:val="clear" w:color="auto" w:fill="auto"/>
                </w:tcPr>
                <w:p w14:paraId="44573451" w14:textId="77777777" w:rsidR="00EE04BE" w:rsidRDefault="00EE04BE" w:rsidP="00294A93">
                  <w:pPr>
                    <w:numPr>
                      <w:ilvl w:val="0"/>
                      <w:numId w:val="7"/>
                    </w:numPr>
                    <w:tabs>
                      <w:tab w:val="left" w:pos="354"/>
                    </w:tabs>
                    <w:ind w:left="349" w:right="-8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Determine if an expiry label was required by checking with the technologist who performed the component preparation.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6"/>
                    <w:gridCol w:w="3314"/>
                  </w:tblGrid>
                  <w:tr w:rsidR="009344C6" w:rsidRPr="00B91E96" w14:paraId="09EBBD27" w14:textId="77777777" w:rsidTr="00893C40">
                    <w:tc>
                      <w:tcPr>
                        <w:tcW w:w="0" w:type="auto"/>
                        <w:shd w:val="clear" w:color="auto" w:fill="BFBFBF"/>
                      </w:tcPr>
                      <w:p w14:paraId="41415647" w14:textId="77777777" w:rsidR="005E2A67" w:rsidRPr="007008D7" w:rsidRDefault="005E2A67" w:rsidP="005E2A67">
                        <w:pPr>
                          <w:rPr>
                            <w:rFonts w:ascii="Arial" w:hAnsi="Arial"/>
                            <w:b/>
                            <w:bCs/>
                            <w:iCs/>
                          </w:rPr>
                        </w:pPr>
                        <w:r w:rsidRPr="007008D7">
                          <w:rPr>
                            <w:rFonts w:ascii="Arial" w:hAnsi="Arial"/>
                            <w:b/>
                            <w:bCs/>
                            <w:iCs/>
                          </w:rPr>
                          <w:t>If</w:t>
                        </w:r>
                      </w:p>
                    </w:tc>
                    <w:tc>
                      <w:tcPr>
                        <w:tcW w:w="0" w:type="auto"/>
                        <w:shd w:val="clear" w:color="auto" w:fill="BFBFBF"/>
                      </w:tcPr>
                      <w:p w14:paraId="0297BE55" w14:textId="77777777" w:rsidR="005E2A67" w:rsidRPr="007008D7" w:rsidRDefault="005E2A67" w:rsidP="005E2A67">
                        <w:pPr>
                          <w:rPr>
                            <w:rFonts w:ascii="Arial" w:hAnsi="Arial"/>
                            <w:b/>
                            <w:bCs/>
                            <w:iCs/>
                          </w:rPr>
                        </w:pPr>
                        <w:r w:rsidRPr="007008D7">
                          <w:rPr>
                            <w:rFonts w:ascii="Arial" w:hAnsi="Arial"/>
                            <w:b/>
                            <w:bCs/>
                            <w:iCs/>
                          </w:rPr>
                          <w:t>Then</w:t>
                        </w:r>
                      </w:p>
                    </w:tc>
                  </w:tr>
                  <w:tr w:rsidR="00932A9D" w:rsidRPr="00B91E96" w14:paraId="208817C2" w14:textId="77777777" w:rsidTr="00893C40">
                    <w:tc>
                      <w:tcPr>
                        <w:tcW w:w="0" w:type="auto"/>
                        <w:shd w:val="clear" w:color="auto" w:fill="auto"/>
                      </w:tcPr>
                      <w:p w14:paraId="0E425D24" w14:textId="0C18D89E" w:rsidR="005E2A67" w:rsidRPr="00B91E96" w:rsidRDefault="009D3718" w:rsidP="005E2A67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Adjusted </w:t>
                        </w:r>
                        <w:r w:rsidR="00C92595">
                          <w:rPr>
                            <w:rFonts w:ascii="Arial" w:hAnsi="Arial"/>
                          </w:rPr>
                          <w:t xml:space="preserve">expiry </w:t>
                        </w:r>
                        <w:r>
                          <w:rPr>
                            <w:rFonts w:ascii="Arial" w:hAnsi="Arial"/>
                          </w:rPr>
                          <w:t>label placement was</w:t>
                        </w:r>
                        <w:r w:rsidR="00C92595">
                          <w:rPr>
                            <w:rFonts w:ascii="Arial" w:hAnsi="Arial"/>
                          </w:rPr>
                          <w:t xml:space="preserve"> missed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14:paraId="0BD98B24" w14:textId="77777777" w:rsidR="005E2A67" w:rsidRDefault="00B50077" w:rsidP="00294A93">
                        <w:pPr>
                          <w:numPr>
                            <w:ilvl w:val="0"/>
                            <w:numId w:val="7"/>
                          </w:numPr>
                          <w:ind w:left="43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A</w:t>
                        </w:r>
                        <w:r w:rsidR="005E2A67" w:rsidRPr="00B91E96">
                          <w:rPr>
                            <w:rFonts w:ascii="Arial" w:hAnsi="Arial"/>
                          </w:rPr>
                          <w:t xml:space="preserve"> new expiry date and time label must be attached to the product container</w:t>
                        </w:r>
                      </w:p>
                      <w:p w14:paraId="22FBD412" w14:textId="568268D9" w:rsidR="00BC7E7E" w:rsidRPr="00B91E96" w:rsidRDefault="00BC7E7E" w:rsidP="00294A93">
                        <w:pPr>
                          <w:numPr>
                            <w:ilvl w:val="0"/>
                            <w:numId w:val="7"/>
                          </w:numPr>
                          <w:ind w:left="437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Cs w:val="24"/>
                          </w:rPr>
                          <w:t>Follow your hospital specific process for initiating an incident investigation.</w:t>
                        </w:r>
                      </w:p>
                    </w:tc>
                  </w:tr>
                </w:tbl>
                <w:p w14:paraId="60EB9B1A" w14:textId="4BB5ABD6" w:rsidR="005E2A67" w:rsidRDefault="005E2A67">
                  <w:pPr>
                    <w:tabs>
                      <w:tab w:val="left" w:pos="354"/>
                    </w:tabs>
                    <w:ind w:left="349" w:right="-86"/>
                    <w:rPr>
                      <w:rFonts w:ascii="Arial" w:hAnsi="Arial"/>
                    </w:rPr>
                  </w:pPr>
                </w:p>
              </w:tc>
            </w:tr>
          </w:tbl>
          <w:p w14:paraId="7D3BA83F" w14:textId="4462CBF5" w:rsidR="00EE04BE" w:rsidRPr="00B91E96" w:rsidRDefault="00EE04BE" w:rsidP="00294A93">
            <w:pPr>
              <w:tabs>
                <w:tab w:val="left" w:pos="885"/>
              </w:tabs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626755" w:rsidRPr="00B91E96" w14:paraId="5A160C27" w14:textId="77777777" w:rsidTr="00893C40">
        <w:trPr>
          <w:trHeight w:val="4175"/>
        </w:trPr>
        <w:tc>
          <w:tcPr>
            <w:tcW w:w="2552" w:type="dxa"/>
            <w:shd w:val="clear" w:color="auto" w:fill="auto"/>
          </w:tcPr>
          <w:p w14:paraId="53B5E050" w14:textId="23E9FA23" w:rsidR="00E95AF0" w:rsidRPr="00B91E96" w:rsidRDefault="00E1744E" w:rsidP="00893C40">
            <w:pPr>
              <w:numPr>
                <w:ilvl w:val="1"/>
                <w:numId w:val="3"/>
              </w:numPr>
              <w:ind w:left="605" w:hanging="567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</w:rPr>
              <w:lastRenderedPageBreak/>
              <w:t xml:space="preserve">Visually inspect </w:t>
            </w:r>
            <w:r w:rsidR="00AC4F2B">
              <w:rPr>
                <w:rFonts w:ascii="Arial" w:hAnsi="Arial"/>
              </w:rPr>
              <w:t>the blood component or PPRP</w:t>
            </w:r>
          </w:p>
        </w:tc>
        <w:tc>
          <w:tcPr>
            <w:tcW w:w="8289" w:type="dxa"/>
            <w:shd w:val="clear" w:color="auto" w:fill="auto"/>
          </w:tcPr>
          <w:p w14:paraId="036B2E5D" w14:textId="74BEA72C" w:rsidR="00E95AF0" w:rsidRPr="00B91E96" w:rsidRDefault="00E95AF0" w:rsidP="00294A93">
            <w:pPr>
              <w:numPr>
                <w:ilvl w:val="2"/>
                <w:numId w:val="3"/>
              </w:numPr>
              <w:spacing w:after="120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Confirm that all ports </w:t>
            </w:r>
            <w:r w:rsidR="00753DB4">
              <w:rPr>
                <w:rFonts w:ascii="Arial" w:hAnsi="Arial"/>
              </w:rPr>
              <w:t xml:space="preserve">on the blood components </w:t>
            </w:r>
            <w:r w:rsidR="00F16730">
              <w:rPr>
                <w:rFonts w:ascii="Arial" w:hAnsi="Arial"/>
              </w:rPr>
              <w:t xml:space="preserve">or </w:t>
            </w:r>
            <w:r w:rsidR="00753DB4">
              <w:rPr>
                <w:rFonts w:ascii="Arial" w:hAnsi="Arial"/>
              </w:rPr>
              <w:t>sterility</w:t>
            </w:r>
            <w:r w:rsidR="00F16730">
              <w:rPr>
                <w:rFonts w:ascii="Arial" w:hAnsi="Arial"/>
              </w:rPr>
              <w:t xml:space="preserve"> seal </w:t>
            </w:r>
            <w:r w:rsidR="00262595">
              <w:rPr>
                <w:rFonts w:ascii="Arial" w:hAnsi="Arial"/>
              </w:rPr>
              <w:t>on the PPRP</w:t>
            </w:r>
            <w:r w:rsidR="00242407">
              <w:rPr>
                <w:rFonts w:ascii="Arial" w:hAnsi="Arial"/>
              </w:rPr>
              <w:t xml:space="preserve"> are intact.</w:t>
            </w:r>
          </w:p>
          <w:tbl>
            <w:tblPr>
              <w:tblW w:w="0" w:type="auto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2"/>
              <w:gridCol w:w="5124"/>
            </w:tblGrid>
            <w:tr w:rsidR="004622B7" w14:paraId="39A14B5C" w14:textId="77777777" w:rsidTr="00893C40">
              <w:tc>
                <w:tcPr>
                  <w:tcW w:w="0" w:type="auto"/>
                  <w:shd w:val="clear" w:color="auto" w:fill="BFBFBF"/>
                </w:tcPr>
                <w:p w14:paraId="01791161" w14:textId="43C5F601" w:rsidR="00E95AF0" w:rsidRDefault="00E95AF0" w:rsidP="00B91E96">
                  <w:pPr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If</w:t>
                  </w:r>
                </w:p>
              </w:tc>
              <w:tc>
                <w:tcPr>
                  <w:tcW w:w="0" w:type="auto"/>
                  <w:shd w:val="clear" w:color="auto" w:fill="BFBFBF"/>
                </w:tcPr>
                <w:p w14:paraId="1C9C7781" w14:textId="742FBBF4" w:rsidR="00E95AF0" w:rsidRDefault="00E95AF0" w:rsidP="00B91E96">
                  <w:pPr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Then</w:t>
                  </w:r>
                </w:p>
              </w:tc>
            </w:tr>
            <w:tr w:rsidR="004622B7" w14:paraId="07C3F827" w14:textId="77777777" w:rsidTr="00893C40">
              <w:tc>
                <w:tcPr>
                  <w:tcW w:w="0" w:type="auto"/>
                  <w:shd w:val="clear" w:color="auto" w:fill="auto"/>
                </w:tcPr>
                <w:p w14:paraId="7BD4CFF0" w14:textId="3B08E020" w:rsidR="00E95AF0" w:rsidRDefault="00E95AF0" w:rsidP="00B91E9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None of the ports are intact</w:t>
                  </w:r>
                  <w:r w:rsidR="004B7E39">
                    <w:rPr>
                      <w:rFonts w:ascii="Arial" w:hAnsi="Arial"/>
                    </w:rPr>
                    <w:t xml:space="preserve"> or the seal is broken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477DE53" w14:textId="064ECDAE" w:rsidR="007813BD" w:rsidRPr="00294A93" w:rsidRDefault="007813BD" w:rsidP="00294A93">
                  <w:pPr>
                    <w:numPr>
                      <w:ilvl w:val="0"/>
                      <w:numId w:val="7"/>
                    </w:numPr>
                    <w:tabs>
                      <w:tab w:val="left" w:pos="354"/>
                    </w:tabs>
                    <w:ind w:left="349" w:right="-8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Discard the unit or PPRP. See IM.005 – Final Disposition of Blood Components and Plasma Protein and Related Products Not Suitable for Transfusion – Manual Procedure.</w:t>
                  </w:r>
                </w:p>
                <w:p w14:paraId="13D43670" w14:textId="51203A6B" w:rsidR="00E95AF0" w:rsidRDefault="00E95AF0" w:rsidP="00294A93">
                  <w:pPr>
                    <w:pStyle w:val="ListParagraph"/>
                    <w:numPr>
                      <w:ilvl w:val="0"/>
                      <w:numId w:val="7"/>
                    </w:numPr>
                    <w:ind w:left="33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Notify the sending hospital or the blood supplier</w:t>
                  </w:r>
                  <w:r w:rsidR="000D325B">
                    <w:rPr>
                      <w:rFonts w:ascii="Arial" w:hAnsi="Arial"/>
                    </w:rPr>
                    <w:t xml:space="preserve"> if applicable.</w:t>
                  </w:r>
                </w:p>
                <w:p w14:paraId="4F39234E" w14:textId="77777777" w:rsidR="00E95AF0" w:rsidRDefault="00E95AF0" w:rsidP="00294A93">
                  <w:pPr>
                    <w:pStyle w:val="ListParagraph"/>
                    <w:numPr>
                      <w:ilvl w:val="1"/>
                      <w:numId w:val="7"/>
                    </w:numPr>
                    <w:ind w:left="615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</w:rPr>
                    <w:t>Initiate a customer feedback form online for shipments received from the blood supplier.</w:t>
                  </w:r>
                </w:p>
                <w:p w14:paraId="2E3A25AC" w14:textId="5E0C3F26" w:rsidR="00E95AF0" w:rsidRDefault="00E95AF0" w:rsidP="00294A93">
                  <w:pPr>
                    <w:numPr>
                      <w:ilvl w:val="0"/>
                      <w:numId w:val="7"/>
                    </w:numPr>
                    <w:ind w:left="33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Cs w:val="24"/>
                    </w:rPr>
                    <w:t>Follow your hospital specific process for initiating an incident investigation.</w:t>
                  </w:r>
                </w:p>
              </w:tc>
            </w:tr>
            <w:tr w:rsidR="004622B7" w14:paraId="01CA2619" w14:textId="77777777" w:rsidTr="00893C40">
              <w:tc>
                <w:tcPr>
                  <w:tcW w:w="0" w:type="auto"/>
                  <w:shd w:val="clear" w:color="auto" w:fill="auto"/>
                </w:tcPr>
                <w:p w14:paraId="04139A48" w14:textId="7710F24F" w:rsidR="00E95AF0" w:rsidRDefault="00E95AF0" w:rsidP="00B91E9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Component has been modified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F1272C7" w14:textId="21C172FC" w:rsidR="00E95AF0" w:rsidRDefault="00E95AF0" w:rsidP="00294A93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At least one original port with cover must be intact</w:t>
                  </w:r>
                </w:p>
              </w:tc>
            </w:tr>
          </w:tbl>
          <w:p w14:paraId="1D8C434F" w14:textId="099FEE68" w:rsidR="00363673" w:rsidRDefault="00E95AF0" w:rsidP="00294A93">
            <w:pPr>
              <w:numPr>
                <w:ilvl w:val="2"/>
                <w:numId w:val="3"/>
              </w:numPr>
              <w:spacing w:before="120" w:after="120"/>
              <w:ind w:left="791"/>
              <w:rPr>
                <w:rFonts w:ascii="Arial" w:hAnsi="Arial"/>
              </w:rPr>
            </w:pPr>
            <w:r w:rsidRPr="39DE7F03">
              <w:rPr>
                <w:rFonts w:ascii="Arial" w:hAnsi="Arial"/>
              </w:rPr>
              <w:t>Inspect for discoloration</w:t>
            </w:r>
            <w:r w:rsidR="00830870">
              <w:rPr>
                <w:rFonts w:ascii="Arial" w:hAnsi="Arial"/>
              </w:rPr>
              <w:t xml:space="preserve">, </w:t>
            </w:r>
            <w:r w:rsidR="008471EB">
              <w:rPr>
                <w:rFonts w:ascii="Arial" w:hAnsi="Arial"/>
              </w:rPr>
              <w:t>particulate</w:t>
            </w:r>
            <w:r w:rsidR="00E571E6">
              <w:rPr>
                <w:rFonts w:ascii="Arial" w:hAnsi="Arial"/>
              </w:rPr>
              <w:t xml:space="preserve"> </w:t>
            </w:r>
            <w:r w:rsidR="00FB1C87">
              <w:rPr>
                <w:rFonts w:ascii="Arial" w:hAnsi="Arial"/>
              </w:rPr>
              <w:t>matter,</w:t>
            </w:r>
            <w:r w:rsidR="00BA7D09">
              <w:rPr>
                <w:rFonts w:ascii="Arial" w:hAnsi="Arial"/>
              </w:rPr>
              <w:t xml:space="preserve"> </w:t>
            </w:r>
            <w:r w:rsidR="00E571E6">
              <w:rPr>
                <w:rFonts w:ascii="Arial" w:hAnsi="Arial"/>
              </w:rPr>
              <w:t>and size</w:t>
            </w:r>
            <w:r w:rsidRPr="39DE7F03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  <w:tbl>
            <w:tblPr>
              <w:tblStyle w:val="TableGrid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2553"/>
              <w:gridCol w:w="4654"/>
            </w:tblGrid>
            <w:tr w:rsidR="00052D51" w14:paraId="3ED3FD88" w14:textId="77777777" w:rsidTr="00893C40">
              <w:tc>
                <w:tcPr>
                  <w:tcW w:w="2553" w:type="dxa"/>
                </w:tcPr>
                <w:p w14:paraId="15A6446D" w14:textId="28E86709" w:rsidR="00052D51" w:rsidRDefault="00052D51" w:rsidP="00052D51">
                  <w:pPr>
                    <w:spacing w:before="120" w:after="1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Component </w:t>
                  </w:r>
                  <w:r w:rsidR="009E1E51">
                    <w:rPr>
                      <w:rFonts w:ascii="Arial" w:hAnsi="Arial"/>
                    </w:rPr>
                    <w:t xml:space="preserve">/Product </w:t>
                  </w:r>
                </w:p>
              </w:tc>
              <w:tc>
                <w:tcPr>
                  <w:tcW w:w="4654" w:type="dxa"/>
                </w:tcPr>
                <w:p w14:paraId="269BB74E" w14:textId="76C58980" w:rsidR="00052D51" w:rsidRDefault="008F5C2B" w:rsidP="00052D51">
                  <w:pPr>
                    <w:spacing w:before="120" w:after="1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Expected Visual Appearance</w:t>
                  </w:r>
                </w:p>
              </w:tc>
            </w:tr>
            <w:tr w:rsidR="00EE0D0C" w14:paraId="440B88CC" w14:textId="77777777" w:rsidTr="00893C40">
              <w:tc>
                <w:tcPr>
                  <w:tcW w:w="2553" w:type="dxa"/>
                  <w:vMerge w:val="restart"/>
                </w:tcPr>
                <w:p w14:paraId="65B22E35" w14:textId="73423D94" w:rsidR="00EE0D0C" w:rsidRDefault="00561447" w:rsidP="00052D51">
                  <w:pPr>
                    <w:spacing w:before="120" w:after="1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noProof/>
                    </w:rPr>
                    <w:drawing>
                      <wp:inline distT="0" distB="0" distL="0" distR="0" wp14:anchorId="12D21775" wp14:editId="1D818386">
                        <wp:extent cx="1078230" cy="1362710"/>
                        <wp:effectExtent l="0" t="0" r="0" b="0"/>
                        <wp:docPr id="88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230" cy="1362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4" w:type="dxa"/>
                </w:tcPr>
                <w:p w14:paraId="77BD5264" w14:textId="1AE40052" w:rsidR="00EE0D0C" w:rsidRPr="00294A93" w:rsidRDefault="00EE0D0C" w:rsidP="00294A93">
                  <w:pPr>
                    <w:ind w:left="146"/>
                    <w:rPr>
                      <w:rFonts w:ascii="Arial" w:hAnsi="Arial"/>
                      <w:b/>
                      <w:bCs/>
                      <w:i/>
                      <w:iCs/>
                      <w:u w:val="single"/>
                    </w:rPr>
                  </w:pPr>
                  <w:r w:rsidRPr="00294A93">
                    <w:rPr>
                      <w:rFonts w:ascii="Arial" w:hAnsi="Arial"/>
                      <w:b/>
                      <w:bCs/>
                      <w:i/>
                      <w:iCs/>
                      <w:u w:val="single"/>
                    </w:rPr>
                    <w:t>RED CELL MASS</w:t>
                  </w:r>
                </w:p>
                <w:p w14:paraId="3C536E9B" w14:textId="7C377CD8" w:rsidR="00EE0D0C" w:rsidRDefault="00EE0D0C" w:rsidP="00294A93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Normal variation in shade of red</w:t>
                  </w:r>
                </w:p>
                <w:p w14:paraId="5956FBC6" w14:textId="5ACE5D8E" w:rsidR="00EE0D0C" w:rsidRDefault="00EE0D0C" w:rsidP="00294A93">
                  <w:pPr>
                    <w:numPr>
                      <w:ilvl w:val="1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Bright red may indicate Arterial </w:t>
                  </w:r>
                  <w:r w:rsidR="008278DD">
                    <w:rPr>
                      <w:rFonts w:ascii="Arial" w:hAnsi="Arial"/>
                    </w:rPr>
                    <w:t>blood.</w:t>
                  </w:r>
                  <w:r w:rsidR="008278DD" w:rsidRPr="39DE7F03">
                    <w:rPr>
                      <w:rFonts w:ascii="Arial" w:hAnsi="Arial"/>
                    </w:rPr>
                    <w:t xml:space="preserve"> The TS Medical Director or designate must authorize the release of the product. This authorization must be documented</w:t>
                  </w:r>
                  <w:r w:rsidR="008278DD">
                    <w:rPr>
                      <w:rFonts w:ascii="Arial" w:hAnsi="Arial"/>
                    </w:rPr>
                    <w:t>. See procedural note 9.1</w:t>
                  </w:r>
                </w:p>
                <w:p w14:paraId="7FA3A55B" w14:textId="4B022BA9" w:rsidR="00EE0D0C" w:rsidRDefault="00EE0D0C" w:rsidP="00294A93">
                  <w:pPr>
                    <w:numPr>
                      <w:ilvl w:val="0"/>
                      <w:numId w:val="8"/>
                    </w:numPr>
                    <w:spacing w:after="24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Devoid of clots</w:t>
                  </w:r>
                  <w:r w:rsidR="00C16775">
                    <w:rPr>
                      <w:rFonts w:ascii="Arial" w:hAnsi="Arial"/>
                    </w:rPr>
                    <w:t xml:space="preserve">, </w:t>
                  </w:r>
                  <w:r>
                    <w:rPr>
                      <w:rFonts w:ascii="Arial" w:hAnsi="Arial"/>
                    </w:rPr>
                    <w:t>fibrin strands</w:t>
                  </w:r>
                  <w:r w:rsidR="00C16775">
                    <w:rPr>
                      <w:rFonts w:ascii="Arial" w:hAnsi="Arial"/>
                    </w:rPr>
                    <w:t xml:space="preserve"> and cellular aggregates</w:t>
                  </w:r>
                </w:p>
              </w:tc>
            </w:tr>
            <w:tr w:rsidR="00EE0D0C" w14:paraId="0C6E1C71" w14:textId="77777777" w:rsidTr="00893C40">
              <w:tc>
                <w:tcPr>
                  <w:tcW w:w="2553" w:type="dxa"/>
                  <w:vMerge/>
                </w:tcPr>
                <w:p w14:paraId="6FC6B440" w14:textId="77777777" w:rsidR="00EE0D0C" w:rsidRDefault="00EE0D0C" w:rsidP="00052D51">
                  <w:pPr>
                    <w:spacing w:before="120" w:after="120"/>
                    <w:rPr>
                      <w:rFonts w:ascii="Arial" w:hAnsi="Arial"/>
                      <w:noProof/>
                    </w:rPr>
                  </w:pPr>
                </w:p>
              </w:tc>
              <w:tc>
                <w:tcPr>
                  <w:tcW w:w="4654" w:type="dxa"/>
                </w:tcPr>
                <w:p w14:paraId="374EB2D4" w14:textId="77777777" w:rsidR="00EE0D0C" w:rsidRPr="00294A93" w:rsidRDefault="00EE0D0C" w:rsidP="00EE0D0C">
                  <w:pPr>
                    <w:rPr>
                      <w:rFonts w:ascii="Arial" w:hAnsi="Arial"/>
                      <w:b/>
                      <w:bCs/>
                      <w:i/>
                      <w:iCs/>
                      <w:u w:val="single"/>
                    </w:rPr>
                  </w:pPr>
                  <w:r w:rsidRPr="00294A93">
                    <w:rPr>
                      <w:rFonts w:ascii="Arial" w:hAnsi="Arial"/>
                      <w:b/>
                      <w:bCs/>
                      <w:i/>
                      <w:iCs/>
                      <w:u w:val="single"/>
                    </w:rPr>
                    <w:t>RED CELL SUPERNATANT</w:t>
                  </w:r>
                </w:p>
                <w:p w14:paraId="020C9D09" w14:textId="77777777" w:rsidR="00EE0D0C" w:rsidRDefault="00EE0D0C" w:rsidP="00294A93">
                  <w:pPr>
                    <w:numPr>
                      <w:ilvl w:val="0"/>
                      <w:numId w:val="11"/>
                    </w:numPr>
                    <w:ind w:left="318" w:firstLine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Straw coloured </w:t>
                  </w:r>
                </w:p>
                <w:p w14:paraId="34FDECB1" w14:textId="0AA19F40" w:rsidR="00EE0D0C" w:rsidRDefault="00EE0D0C" w:rsidP="00294A93">
                  <w:pPr>
                    <w:numPr>
                      <w:ilvl w:val="0"/>
                      <w:numId w:val="11"/>
                    </w:numPr>
                    <w:ind w:left="318" w:firstLine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Translucent</w:t>
                  </w:r>
                </w:p>
              </w:tc>
            </w:tr>
            <w:tr w:rsidR="00EE0D0C" w14:paraId="50A8DA7D" w14:textId="77777777" w:rsidTr="00893C40">
              <w:tc>
                <w:tcPr>
                  <w:tcW w:w="2553" w:type="dxa"/>
                </w:tcPr>
                <w:p w14:paraId="1C1DE8BD" w14:textId="20AEDB45" w:rsidR="00EE0D0C" w:rsidRDefault="00561447" w:rsidP="00052D51">
                  <w:pPr>
                    <w:spacing w:before="120" w:after="120"/>
                    <w:rPr>
                      <w:rFonts w:ascii="Arial" w:hAnsi="Arial"/>
                      <w:noProof/>
                    </w:rPr>
                  </w:pPr>
                  <w:r>
                    <w:rPr>
                      <w:rFonts w:ascii="Arial" w:hAnsi="Arial"/>
                      <w:noProof/>
                    </w:rPr>
                    <w:lastRenderedPageBreak/>
                    <w:drawing>
                      <wp:inline distT="0" distB="0" distL="0" distR="0" wp14:anchorId="45495D96" wp14:editId="3E4B697A">
                        <wp:extent cx="1164590" cy="1405890"/>
                        <wp:effectExtent l="0" t="0" r="0" b="0"/>
                        <wp:docPr id="89" name="Picture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4590" cy="1405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4" w:type="dxa"/>
                </w:tcPr>
                <w:p w14:paraId="53AE5333" w14:textId="2A2CF903" w:rsidR="00833F09" w:rsidRPr="00294A93" w:rsidRDefault="00833F09" w:rsidP="00294A93">
                  <w:pPr>
                    <w:rPr>
                      <w:rFonts w:ascii="Arial" w:hAnsi="Arial"/>
                      <w:b/>
                      <w:bCs/>
                      <w:i/>
                      <w:iCs/>
                      <w:u w:val="single"/>
                    </w:rPr>
                  </w:pPr>
                  <w:r w:rsidRPr="00294A93">
                    <w:rPr>
                      <w:rFonts w:ascii="Arial" w:hAnsi="Arial"/>
                      <w:b/>
                      <w:bCs/>
                      <w:i/>
                      <w:iCs/>
                      <w:u w:val="single"/>
                    </w:rPr>
                    <w:t>Platelets</w:t>
                  </w:r>
                  <w:r w:rsidR="008278DD">
                    <w:rPr>
                      <w:rFonts w:ascii="Arial" w:hAnsi="Arial"/>
                      <w:b/>
                      <w:bCs/>
                      <w:i/>
                      <w:iCs/>
                      <w:u w:val="single"/>
                    </w:rPr>
                    <w:br/>
                  </w:r>
                </w:p>
                <w:p w14:paraId="4F5AFF75" w14:textId="00D3AD5C" w:rsidR="00EE0D0C" w:rsidRDefault="00DE25CE" w:rsidP="00294A93">
                  <w:pPr>
                    <w:numPr>
                      <w:ilvl w:val="0"/>
                      <w:numId w:val="12"/>
                    </w:numPr>
                    <w:rPr>
                      <w:rFonts w:ascii="Arial" w:hAnsi="Arial"/>
                    </w:rPr>
                  </w:pPr>
                  <w:r w:rsidRPr="00294A93">
                    <w:rPr>
                      <w:rFonts w:ascii="Arial" w:hAnsi="Arial"/>
                    </w:rPr>
                    <w:t>Varying colour from beige to yellow</w:t>
                  </w:r>
                </w:p>
                <w:p w14:paraId="5F46D867" w14:textId="77777777" w:rsidR="00DE25CE" w:rsidRDefault="00DE25CE" w:rsidP="00294A93">
                  <w:pPr>
                    <w:numPr>
                      <w:ilvl w:val="0"/>
                      <w:numId w:val="1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Opaque</w:t>
                  </w:r>
                </w:p>
                <w:p w14:paraId="231287FC" w14:textId="77777777" w:rsidR="00C16775" w:rsidRDefault="00DE25CE" w:rsidP="00294A93">
                  <w:pPr>
                    <w:numPr>
                      <w:ilvl w:val="0"/>
                      <w:numId w:val="1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Residual red cells in platelet units may confer a salmon/pink</w:t>
                  </w:r>
                  <w:r w:rsidR="00C16775">
                    <w:rPr>
                      <w:rFonts w:ascii="Arial" w:hAnsi="Arial"/>
                    </w:rPr>
                    <w:t xml:space="preserve"> colour.</w:t>
                  </w:r>
                </w:p>
                <w:p w14:paraId="42765508" w14:textId="211F76C9" w:rsidR="00DE25CE" w:rsidRPr="00294A93" w:rsidRDefault="00DE25CE" w:rsidP="00294A93">
                  <w:pPr>
                    <w:numPr>
                      <w:ilvl w:val="0"/>
                      <w:numId w:val="1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  <w:r w:rsidR="00C16775">
                    <w:rPr>
                      <w:rFonts w:ascii="Arial" w:hAnsi="Arial"/>
                    </w:rPr>
                    <w:t>Devoid of clots, fibrin strands and cellular aggregates</w:t>
                  </w:r>
                </w:p>
              </w:tc>
            </w:tr>
            <w:tr w:rsidR="00833F09" w14:paraId="2F1A3F33" w14:textId="77777777" w:rsidTr="00893C40">
              <w:tc>
                <w:tcPr>
                  <w:tcW w:w="2553" w:type="dxa"/>
                </w:tcPr>
                <w:p w14:paraId="01991729" w14:textId="06F1A8A3" w:rsidR="00833F09" w:rsidRPr="00DE25CE" w:rsidRDefault="00561447" w:rsidP="00052D51">
                  <w:pPr>
                    <w:spacing w:before="120" w:after="120"/>
                    <w:rPr>
                      <w:rFonts w:ascii="Arial" w:hAnsi="Arial"/>
                      <w:noProof/>
                    </w:rPr>
                  </w:pPr>
                  <w:r>
                    <w:rPr>
                      <w:rFonts w:ascii="Arial" w:hAnsi="Arial"/>
                      <w:noProof/>
                    </w:rPr>
                    <w:drawing>
                      <wp:inline distT="0" distB="0" distL="0" distR="0" wp14:anchorId="159A3A76" wp14:editId="27438A31">
                        <wp:extent cx="1181735" cy="1268095"/>
                        <wp:effectExtent l="0" t="0" r="0" b="0"/>
                        <wp:docPr id="90" name="Pictur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735" cy="126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4" w:type="dxa"/>
                </w:tcPr>
                <w:p w14:paraId="2F3D0F09" w14:textId="3F751C65" w:rsidR="00833F09" w:rsidRDefault="00833F09" w:rsidP="00833F09">
                  <w:pPr>
                    <w:ind w:left="35"/>
                    <w:rPr>
                      <w:rFonts w:ascii="Arial" w:hAnsi="Arial"/>
                      <w:b/>
                      <w:bCs/>
                      <w:i/>
                      <w:iCs/>
                      <w:u w:val="single"/>
                    </w:rPr>
                  </w:pPr>
                  <w:r w:rsidRPr="00294A93">
                    <w:rPr>
                      <w:rFonts w:ascii="Arial" w:hAnsi="Arial"/>
                      <w:b/>
                      <w:bCs/>
                      <w:i/>
                      <w:iCs/>
                      <w:u w:val="single"/>
                    </w:rPr>
                    <w:t>PLASMA</w:t>
                  </w:r>
                </w:p>
                <w:p w14:paraId="0ACF2BAE" w14:textId="5F1976BD" w:rsidR="008278DD" w:rsidRPr="00294A93" w:rsidRDefault="008278DD" w:rsidP="00294A93">
                  <w:pPr>
                    <w:rPr>
                      <w:rFonts w:ascii="Arial" w:hAnsi="Arial"/>
                      <w:b/>
                      <w:bCs/>
                      <w:i/>
                      <w:iCs/>
                      <w:u w:val="single"/>
                    </w:rPr>
                  </w:pPr>
                </w:p>
                <w:p w14:paraId="28E57DFB" w14:textId="68736D82" w:rsidR="00833F09" w:rsidRDefault="00833F09" w:rsidP="00294A93">
                  <w:pPr>
                    <w:numPr>
                      <w:ilvl w:val="0"/>
                      <w:numId w:val="12"/>
                    </w:numPr>
                    <w:rPr>
                      <w:rFonts w:ascii="Arial" w:hAnsi="Arial"/>
                    </w:rPr>
                  </w:pPr>
                  <w:r w:rsidRPr="00AD756F">
                    <w:rPr>
                      <w:rFonts w:ascii="Arial" w:hAnsi="Arial"/>
                    </w:rPr>
                    <w:t>Varying colour from beige to yellow</w:t>
                  </w:r>
                </w:p>
                <w:p w14:paraId="071EC7C0" w14:textId="77777777" w:rsidR="00833F09" w:rsidRDefault="00833F09" w:rsidP="00294A93">
                  <w:pPr>
                    <w:numPr>
                      <w:ilvl w:val="0"/>
                      <w:numId w:val="1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Opaque</w:t>
                  </w:r>
                </w:p>
                <w:p w14:paraId="1B73F908" w14:textId="77777777" w:rsidR="00833F09" w:rsidRDefault="00833F09" w:rsidP="00294A93">
                  <w:pPr>
                    <w:numPr>
                      <w:ilvl w:val="0"/>
                      <w:numId w:val="1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Residual red cells in </w:t>
                  </w:r>
                  <w:r w:rsidR="008278DD">
                    <w:rPr>
                      <w:rFonts w:ascii="Arial" w:hAnsi="Arial"/>
                    </w:rPr>
                    <w:t>plasma</w:t>
                  </w:r>
                  <w:r>
                    <w:rPr>
                      <w:rFonts w:ascii="Arial" w:hAnsi="Arial"/>
                    </w:rPr>
                    <w:t xml:space="preserve"> units may confer a salmon/pink.</w:t>
                  </w:r>
                </w:p>
                <w:p w14:paraId="0FE8DB4B" w14:textId="77777777" w:rsidR="008278DD" w:rsidRDefault="008278DD" w:rsidP="00294A93">
                  <w:pPr>
                    <w:numPr>
                      <w:ilvl w:val="0"/>
                      <w:numId w:val="1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Devoid of clots, fibrin strands and cellular aggregates</w:t>
                  </w:r>
                </w:p>
                <w:p w14:paraId="691A401B" w14:textId="5A872C44" w:rsidR="008278DD" w:rsidRPr="00833F09" w:rsidRDefault="008278DD" w:rsidP="00294A93">
                  <w:pPr>
                    <w:numPr>
                      <w:ilvl w:val="0"/>
                      <w:numId w:val="1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If receiving frozen plasma, ensure that the unit is still in frozen state and that the unit is still intact.</w:t>
                  </w:r>
                </w:p>
              </w:tc>
            </w:tr>
            <w:tr w:rsidR="00833F09" w14:paraId="4988370C" w14:textId="77777777" w:rsidTr="00893C40">
              <w:tc>
                <w:tcPr>
                  <w:tcW w:w="2553" w:type="dxa"/>
                </w:tcPr>
                <w:p w14:paraId="0B7C68B3" w14:textId="5C110DEA" w:rsidR="00833F09" w:rsidRPr="00833F09" w:rsidRDefault="00561447" w:rsidP="00052D51">
                  <w:pPr>
                    <w:spacing w:before="120" w:after="120"/>
                    <w:rPr>
                      <w:rFonts w:ascii="Arial" w:hAnsi="Arial"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5902E28" wp14:editId="3EE4419D">
                        <wp:extent cx="1483995" cy="983615"/>
                        <wp:effectExtent l="0" t="0" r="0" b="0"/>
                        <wp:docPr id="91" name="Picture 91" descr="Gamunex-C: Uses and Side Effects | AmeriPharma Special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Gamunex-C: Uses and Side Effects | AmeriPharma Special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983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4" w:type="dxa"/>
                </w:tcPr>
                <w:p w14:paraId="6891A12D" w14:textId="77777777" w:rsidR="00833F09" w:rsidRDefault="00C16775" w:rsidP="00833F09">
                  <w:pPr>
                    <w:ind w:left="35"/>
                    <w:rPr>
                      <w:rFonts w:ascii="Arial" w:hAnsi="Arial"/>
                      <w:b/>
                      <w:bCs/>
                      <w:i/>
                      <w:iCs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  <w:u w:val="single"/>
                    </w:rPr>
                    <w:t>Plasma Protein and Related Products</w:t>
                  </w:r>
                </w:p>
                <w:p w14:paraId="3EC93F25" w14:textId="2E2C1F48" w:rsidR="00C16775" w:rsidRPr="00294A93" w:rsidRDefault="00C16775" w:rsidP="00294A93">
                  <w:pPr>
                    <w:numPr>
                      <w:ilvl w:val="0"/>
                      <w:numId w:val="13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Refer to manufacturer’s product insert for acceptable appearance.</w:t>
                  </w:r>
                </w:p>
              </w:tc>
            </w:tr>
          </w:tbl>
          <w:p w14:paraId="5857A2B6" w14:textId="1B048429" w:rsidR="00052D51" w:rsidRDefault="00052D51" w:rsidP="00052D51">
            <w:pPr>
              <w:spacing w:before="120" w:after="120"/>
              <w:ind w:left="1925"/>
              <w:rPr>
                <w:rFonts w:ascii="Arial" w:hAnsi="Arial"/>
              </w:rPr>
            </w:pPr>
          </w:p>
          <w:p w14:paraId="68734412" w14:textId="77777777" w:rsidR="009D6FBF" w:rsidRDefault="009D6FBF" w:rsidP="00052D51">
            <w:pPr>
              <w:spacing w:before="120" w:after="120"/>
              <w:ind w:left="1925"/>
              <w:rPr>
                <w:rFonts w:ascii="Arial" w:hAnsi="Arial"/>
              </w:rPr>
            </w:pPr>
          </w:p>
          <w:tbl>
            <w:tblPr>
              <w:tblStyle w:val="TableGrid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1040"/>
              <w:gridCol w:w="6167"/>
            </w:tblGrid>
            <w:tr w:rsidR="008278DD" w14:paraId="7AE625F3" w14:textId="77777777" w:rsidTr="00893C40">
              <w:tc>
                <w:tcPr>
                  <w:tcW w:w="1242" w:type="dxa"/>
                  <w:shd w:val="clear" w:color="auto" w:fill="D9D9D9" w:themeFill="background1" w:themeFillShade="D9"/>
                </w:tcPr>
                <w:p w14:paraId="6393E407" w14:textId="783CD272" w:rsidR="008278DD" w:rsidRPr="00294A93" w:rsidRDefault="008278DD" w:rsidP="00052D51">
                  <w:pPr>
                    <w:spacing w:before="120" w:after="120"/>
                    <w:rPr>
                      <w:rFonts w:ascii="Arial" w:hAnsi="Arial"/>
                      <w:b/>
                      <w:bCs/>
                    </w:rPr>
                  </w:pPr>
                  <w:r w:rsidRPr="00294A93">
                    <w:rPr>
                      <w:rFonts w:ascii="Arial" w:hAnsi="Arial"/>
                      <w:b/>
                      <w:bCs/>
                    </w:rPr>
                    <w:t xml:space="preserve">If </w:t>
                  </w:r>
                </w:p>
              </w:tc>
              <w:tc>
                <w:tcPr>
                  <w:tcW w:w="5965" w:type="dxa"/>
                  <w:shd w:val="clear" w:color="auto" w:fill="D9D9D9" w:themeFill="background1" w:themeFillShade="D9"/>
                </w:tcPr>
                <w:p w14:paraId="3B9FC21A" w14:textId="41FE4D38" w:rsidR="008278DD" w:rsidRPr="00294A93" w:rsidRDefault="00294A93" w:rsidP="00052D51">
                  <w:pPr>
                    <w:spacing w:before="120" w:after="120"/>
                    <w:rPr>
                      <w:rFonts w:ascii="Arial" w:hAnsi="Arial"/>
                      <w:b/>
                      <w:bCs/>
                    </w:rPr>
                  </w:pPr>
                  <w:r w:rsidRPr="00294A93">
                    <w:rPr>
                      <w:rFonts w:ascii="Arial" w:hAnsi="Arial"/>
                      <w:b/>
                      <w:bCs/>
                    </w:rPr>
                    <w:t>T</w:t>
                  </w:r>
                  <w:r w:rsidR="008278DD" w:rsidRPr="00294A93">
                    <w:rPr>
                      <w:rFonts w:ascii="Arial" w:hAnsi="Arial"/>
                      <w:b/>
                      <w:bCs/>
                    </w:rPr>
                    <w:t>hen</w:t>
                  </w:r>
                </w:p>
              </w:tc>
            </w:tr>
            <w:tr w:rsidR="008278DD" w14:paraId="69AF8DB6" w14:textId="77777777" w:rsidTr="00893C40">
              <w:tc>
                <w:tcPr>
                  <w:tcW w:w="1242" w:type="dxa"/>
                </w:tcPr>
                <w:p w14:paraId="6A4AD88E" w14:textId="77757666" w:rsidR="008278DD" w:rsidRDefault="008278DD" w:rsidP="00052D51">
                  <w:pPr>
                    <w:spacing w:before="120" w:after="1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Any deviation from visual appears is present </w:t>
                  </w:r>
                </w:p>
              </w:tc>
              <w:tc>
                <w:tcPr>
                  <w:tcW w:w="5965" w:type="dxa"/>
                </w:tcPr>
                <w:p w14:paraId="59A308BF" w14:textId="46564ADD" w:rsidR="008278DD" w:rsidRDefault="008278DD" w:rsidP="00052D51">
                  <w:pPr>
                    <w:spacing w:before="120" w:after="1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Refer to the Canadian Blood Services Visual Assessment Guide</w:t>
                  </w:r>
                </w:p>
                <w:p w14:paraId="2B04D39E" w14:textId="77777777" w:rsidR="008278DD" w:rsidRDefault="00EC41C1" w:rsidP="00052D51">
                  <w:pPr>
                    <w:spacing w:before="120" w:after="120"/>
                    <w:rPr>
                      <w:rFonts w:ascii="Arial" w:hAnsi="Arial"/>
                    </w:rPr>
                  </w:pPr>
                  <w:hyperlink r:id="rId18" w:history="1">
                    <w:r w:rsidR="008278DD">
                      <w:rPr>
                        <w:rStyle w:val="Hyperlink"/>
                        <w:rFonts w:ascii="Arial" w:hAnsi="Arial"/>
                      </w:rPr>
                      <w:t>https://professionaleducation.blood.ca/sites/default/files/VAG_en.pdf</w:t>
                    </w:r>
                  </w:hyperlink>
                  <w:r w:rsidR="008278DD">
                    <w:rPr>
                      <w:rFonts w:ascii="Arial" w:hAnsi="Arial"/>
                    </w:rPr>
                    <w:t xml:space="preserve"> </w:t>
                  </w:r>
                </w:p>
                <w:p w14:paraId="3944D288" w14:textId="13E6B2D8" w:rsidR="0000480B" w:rsidRDefault="0000480B" w:rsidP="00294A9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See procedural note 9.2</w:t>
                  </w:r>
                </w:p>
                <w:p w14:paraId="1A334751" w14:textId="1517487E" w:rsidR="008278DD" w:rsidRDefault="008278DD" w:rsidP="00294A9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Notify the sending hospital or the blood supplier.</w:t>
                  </w:r>
                </w:p>
                <w:p w14:paraId="3C439E3B" w14:textId="77777777" w:rsidR="008278DD" w:rsidRDefault="008278DD" w:rsidP="00294A93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</w:rPr>
                    <w:t>Initiate a customer feedback form online for shipments received from the blood supplier.</w:t>
                  </w:r>
                </w:p>
                <w:p w14:paraId="5EEC8B72" w14:textId="77777777" w:rsidR="008278DD" w:rsidRDefault="008278DD" w:rsidP="00294A93">
                  <w:pPr>
                    <w:numPr>
                      <w:ilvl w:val="0"/>
                      <w:numId w:val="8"/>
                    </w:numPr>
                    <w:spacing w:before="120" w:after="120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Follow your hospital specific process for initiating an incident investigation.</w:t>
                  </w:r>
                </w:p>
                <w:p w14:paraId="1C0136CF" w14:textId="74468874" w:rsidR="004B2415" w:rsidRDefault="004B2415" w:rsidP="00294A93">
                  <w:pPr>
                    <w:numPr>
                      <w:ilvl w:val="0"/>
                      <w:numId w:val="8"/>
                    </w:numPr>
                    <w:tabs>
                      <w:tab w:val="left" w:pos="354"/>
                    </w:tabs>
                    <w:ind w:right="-86"/>
                    <w:rPr>
                      <w:rFonts w:ascii="Arial" w:hAnsi="Arial"/>
                    </w:rPr>
                  </w:pPr>
                  <w:r w:rsidRPr="39DE7F03">
                    <w:rPr>
                      <w:rFonts w:ascii="Arial" w:hAnsi="Arial"/>
                    </w:rPr>
                    <w:lastRenderedPageBreak/>
                    <w:t>The TS Medical Director or designate must authorize the release of the product</w:t>
                  </w:r>
                  <w:r>
                    <w:rPr>
                      <w:rFonts w:ascii="Arial" w:hAnsi="Arial"/>
                    </w:rPr>
                    <w:t xml:space="preserve"> that may fail visual inspection but are deemed transfusable</w:t>
                  </w:r>
                  <w:r w:rsidRPr="39DE7F03">
                    <w:rPr>
                      <w:rFonts w:ascii="Arial" w:hAnsi="Arial"/>
                    </w:rPr>
                    <w:t>. This authorization must be documented.</w:t>
                  </w:r>
                </w:p>
                <w:p w14:paraId="5462B466" w14:textId="79786D2C" w:rsidR="008278DD" w:rsidRPr="004B2415" w:rsidRDefault="008278DD" w:rsidP="00294A93">
                  <w:pPr>
                    <w:numPr>
                      <w:ilvl w:val="0"/>
                      <w:numId w:val="8"/>
                    </w:numPr>
                    <w:tabs>
                      <w:tab w:val="left" w:pos="354"/>
                    </w:tabs>
                    <w:ind w:right="-8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Discard if instructed. </w:t>
                  </w:r>
                  <w:r w:rsidRPr="00F0185E">
                    <w:rPr>
                      <w:rFonts w:ascii="Arial" w:hAnsi="Arial"/>
                    </w:rPr>
                    <w:t>See IM.005 – Final Disposition of Blood Components and Plasma Protein and Related Products Not Suitable for Transfusion – Manual Procedure.</w:t>
                  </w:r>
                </w:p>
              </w:tc>
            </w:tr>
            <w:tr w:rsidR="004B2415" w14:paraId="4E055B0E" w14:textId="77777777" w:rsidTr="00893C40">
              <w:tc>
                <w:tcPr>
                  <w:tcW w:w="1242" w:type="dxa"/>
                </w:tcPr>
                <w:p w14:paraId="065DE888" w14:textId="29A6FBD2" w:rsidR="004B2415" w:rsidRDefault="004B2415" w:rsidP="00052D51">
                  <w:pPr>
                    <w:spacing w:before="120" w:after="1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lastRenderedPageBreak/>
                    <w:t>Received frozen plasma partially thawed</w:t>
                  </w:r>
                </w:p>
              </w:tc>
              <w:tc>
                <w:tcPr>
                  <w:tcW w:w="5965" w:type="dxa"/>
                </w:tcPr>
                <w:p w14:paraId="089499A5" w14:textId="77777777" w:rsidR="004B2415" w:rsidRDefault="004B2415" w:rsidP="00294A93">
                  <w:pPr>
                    <w:numPr>
                      <w:ilvl w:val="0"/>
                      <w:numId w:val="4"/>
                    </w:numPr>
                    <w:ind w:left="37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Adjust expiry date. </w:t>
                  </w:r>
                </w:p>
                <w:p w14:paraId="5BAE6FD6" w14:textId="60611CA4" w:rsidR="004B2415" w:rsidRPr="004B2415" w:rsidRDefault="004B2415" w:rsidP="00294A93">
                  <w:pPr>
                    <w:numPr>
                      <w:ilvl w:val="0"/>
                      <w:numId w:val="4"/>
                    </w:numPr>
                    <w:ind w:left="371"/>
                    <w:rPr>
                      <w:rFonts w:ascii="Arial" w:hAnsi="Arial"/>
                    </w:rPr>
                  </w:pPr>
                  <w:r w:rsidRPr="004B2415">
                    <w:rPr>
                      <w:rFonts w:ascii="Arial" w:hAnsi="Arial"/>
                    </w:rPr>
                    <w:t>Store as thawed plasma.</w:t>
                  </w:r>
                </w:p>
              </w:tc>
            </w:tr>
          </w:tbl>
          <w:p w14:paraId="71CD006E" w14:textId="40ED0055" w:rsidR="0077197A" w:rsidRDefault="0077197A" w:rsidP="009D6FBF">
            <w:pPr>
              <w:numPr>
                <w:ilvl w:val="4"/>
                <w:numId w:val="3"/>
              </w:numPr>
              <w:spacing w:before="120" w:after="120"/>
              <w:ind w:left="2126" w:right="-350"/>
              <w:rPr>
                <w:rFonts w:ascii="Arial" w:hAnsi="Arial"/>
              </w:rPr>
            </w:pPr>
            <w:r>
              <w:rPr>
                <w:rFonts w:ascii="Arial" w:hAnsi="Arial"/>
              </w:rPr>
              <w:t>Inspect the</w:t>
            </w:r>
            <w:r w:rsidR="004B2415">
              <w:rPr>
                <w:rFonts w:ascii="Arial" w:hAnsi="Arial"/>
              </w:rPr>
              <w:t xml:space="preserve"> RBC</w:t>
            </w:r>
            <w:r>
              <w:rPr>
                <w:rFonts w:ascii="Arial" w:hAnsi="Arial"/>
              </w:rPr>
              <w:t xml:space="preserve"> unit’s size</w:t>
            </w:r>
            <w:r w:rsidR="00BA09D5">
              <w:rPr>
                <w:rFonts w:ascii="Arial" w:hAnsi="Arial"/>
              </w:rPr>
              <w:t>.</w:t>
            </w:r>
          </w:p>
          <w:tbl>
            <w:tblPr>
              <w:tblW w:w="0" w:type="auto"/>
              <w:tblInd w:w="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6"/>
              <w:gridCol w:w="4786"/>
            </w:tblGrid>
            <w:tr w:rsidR="00BA4872" w:rsidRPr="00B91E96" w14:paraId="7AC06C52" w14:textId="77777777" w:rsidTr="00893C40">
              <w:tc>
                <w:tcPr>
                  <w:tcW w:w="2565" w:type="dxa"/>
                  <w:shd w:val="clear" w:color="auto" w:fill="BFBFBF"/>
                </w:tcPr>
                <w:p w14:paraId="781AE55E" w14:textId="77777777" w:rsidR="00BA4872" w:rsidRPr="00785555" w:rsidRDefault="00BA4872" w:rsidP="00BA4872">
                  <w:pPr>
                    <w:rPr>
                      <w:rFonts w:ascii="Arial" w:hAnsi="Arial"/>
                      <w:b/>
                      <w:bCs/>
                      <w:iCs/>
                      <w:szCs w:val="24"/>
                    </w:rPr>
                  </w:pPr>
                  <w:r w:rsidRPr="00785555">
                    <w:rPr>
                      <w:rFonts w:ascii="Arial" w:hAnsi="Arial"/>
                      <w:b/>
                      <w:bCs/>
                      <w:iCs/>
                      <w:szCs w:val="24"/>
                    </w:rPr>
                    <w:t>If</w:t>
                  </w:r>
                </w:p>
              </w:tc>
              <w:tc>
                <w:tcPr>
                  <w:tcW w:w="5538" w:type="dxa"/>
                  <w:shd w:val="clear" w:color="auto" w:fill="BFBFBF"/>
                </w:tcPr>
                <w:p w14:paraId="3ADE3C69" w14:textId="77777777" w:rsidR="00BA4872" w:rsidRPr="00785555" w:rsidRDefault="00BA4872" w:rsidP="00BA4872">
                  <w:pPr>
                    <w:rPr>
                      <w:rFonts w:ascii="Arial" w:hAnsi="Arial"/>
                      <w:b/>
                      <w:bCs/>
                      <w:iCs/>
                      <w:szCs w:val="24"/>
                    </w:rPr>
                  </w:pPr>
                  <w:r w:rsidRPr="00785555">
                    <w:rPr>
                      <w:rFonts w:ascii="Arial" w:hAnsi="Arial"/>
                      <w:b/>
                      <w:bCs/>
                      <w:iCs/>
                      <w:szCs w:val="24"/>
                    </w:rPr>
                    <w:t>Then</w:t>
                  </w:r>
                </w:p>
              </w:tc>
            </w:tr>
            <w:tr w:rsidR="00BA4872" w:rsidRPr="00B91E96" w14:paraId="62534181" w14:textId="77777777" w:rsidTr="00893C40">
              <w:tc>
                <w:tcPr>
                  <w:tcW w:w="2565" w:type="dxa"/>
                  <w:shd w:val="clear" w:color="auto" w:fill="auto"/>
                </w:tcPr>
                <w:p w14:paraId="4308805F" w14:textId="6DB17923" w:rsidR="00BA4872" w:rsidRPr="00785555" w:rsidRDefault="00262595" w:rsidP="00BA4872">
                  <w:pPr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T</w:t>
                  </w:r>
                  <w:r w:rsidR="00BA4872" w:rsidRPr="00785555">
                    <w:rPr>
                      <w:rFonts w:ascii="Arial" w:hAnsi="Arial"/>
                      <w:szCs w:val="24"/>
                    </w:rPr>
                    <w:t>he unit appears small and there is no visible supernatant on the RBC unit</w:t>
                  </w:r>
                  <w:r>
                    <w:rPr>
                      <w:rFonts w:ascii="Arial" w:hAnsi="Arial"/>
                      <w:szCs w:val="24"/>
                    </w:rPr>
                    <w:t>.</w:t>
                  </w:r>
                </w:p>
              </w:tc>
              <w:tc>
                <w:tcPr>
                  <w:tcW w:w="5538" w:type="dxa"/>
                  <w:shd w:val="clear" w:color="auto" w:fill="auto"/>
                </w:tcPr>
                <w:p w14:paraId="0F4CB1A9" w14:textId="219C2130" w:rsidR="007741C0" w:rsidRPr="007741C0" w:rsidRDefault="007741C0" w:rsidP="00294A93">
                  <w:pPr>
                    <w:numPr>
                      <w:ilvl w:val="0"/>
                      <w:numId w:val="10"/>
                    </w:numPr>
                    <w:ind w:left="382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T</w:t>
                  </w:r>
                  <w:r w:rsidRPr="00785555">
                    <w:rPr>
                      <w:rFonts w:ascii="Arial" w:hAnsi="Arial"/>
                      <w:szCs w:val="24"/>
                    </w:rPr>
                    <w:t>he additive solution may not have been added.</w:t>
                  </w:r>
                </w:p>
                <w:p w14:paraId="59923526" w14:textId="3AF2CA6E" w:rsidR="007741C0" w:rsidRPr="000F6624" w:rsidRDefault="007741C0" w:rsidP="00294A93">
                  <w:pPr>
                    <w:numPr>
                      <w:ilvl w:val="0"/>
                      <w:numId w:val="10"/>
                    </w:numPr>
                    <w:ind w:left="382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 xml:space="preserve">Discard the unit. </w:t>
                  </w:r>
                  <w:r w:rsidRPr="00294A93">
                    <w:rPr>
                      <w:rFonts w:ascii="Arial" w:hAnsi="Arial"/>
                    </w:rPr>
                    <w:t>See IM.005 – Final Disposition of Blood Components and Plasma Protein and Related Products Not Suitable for Transfusion – Manual Procedure.</w:t>
                  </w:r>
                </w:p>
                <w:p w14:paraId="7688520C" w14:textId="77777777" w:rsidR="00262595" w:rsidRDefault="00262595" w:rsidP="00294A93">
                  <w:pPr>
                    <w:pStyle w:val="ListParagraph"/>
                    <w:numPr>
                      <w:ilvl w:val="0"/>
                      <w:numId w:val="4"/>
                    </w:numPr>
                    <w:ind w:left="382"/>
                    <w:rPr>
                      <w:rFonts w:ascii="Arial" w:hAnsi="Arial"/>
                    </w:rPr>
                  </w:pPr>
                  <w:r w:rsidRPr="000F6624">
                    <w:rPr>
                      <w:rFonts w:ascii="Arial" w:hAnsi="Arial"/>
                    </w:rPr>
                    <w:t>Notify the sending</w:t>
                  </w:r>
                  <w:r>
                    <w:rPr>
                      <w:rFonts w:ascii="Arial" w:hAnsi="Arial"/>
                    </w:rPr>
                    <w:t xml:space="preserve"> hospital or the blood supplier.</w:t>
                  </w:r>
                </w:p>
                <w:p w14:paraId="66C09EF4" w14:textId="77777777" w:rsidR="00262595" w:rsidRDefault="00262595" w:rsidP="00294A93">
                  <w:pPr>
                    <w:pStyle w:val="ListParagraph"/>
                    <w:numPr>
                      <w:ilvl w:val="1"/>
                      <w:numId w:val="4"/>
                    </w:numPr>
                    <w:ind w:left="605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</w:rPr>
                    <w:t>Initiate a customer feedback form online for shipments received from the blood supplier.</w:t>
                  </w:r>
                </w:p>
                <w:p w14:paraId="38319CA5" w14:textId="069ED594" w:rsidR="00262595" w:rsidRPr="00785555" w:rsidRDefault="00262595" w:rsidP="00294A93">
                  <w:pPr>
                    <w:numPr>
                      <w:ilvl w:val="0"/>
                      <w:numId w:val="4"/>
                    </w:numPr>
                    <w:ind w:left="380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Follow your hospital specific process for initiating an incident investigation.</w:t>
                  </w:r>
                </w:p>
              </w:tc>
            </w:tr>
          </w:tbl>
          <w:p w14:paraId="09ECBCDC" w14:textId="2DA2F082" w:rsidR="00E95AF0" w:rsidRPr="00B91E96" w:rsidRDefault="00E95AF0" w:rsidP="00294A93">
            <w:pPr>
              <w:rPr>
                <w:rFonts w:ascii="Arial" w:hAnsi="Arial"/>
                <w:b/>
                <w:sz w:val="28"/>
              </w:rPr>
            </w:pPr>
          </w:p>
        </w:tc>
      </w:tr>
      <w:tr w:rsidR="00626755" w:rsidRPr="00B91E96" w14:paraId="048788C3" w14:textId="77777777" w:rsidTr="00893C40">
        <w:trPr>
          <w:trHeight w:val="245"/>
        </w:trPr>
        <w:tc>
          <w:tcPr>
            <w:tcW w:w="2552" w:type="dxa"/>
          </w:tcPr>
          <w:p w14:paraId="1ADD11E8" w14:textId="059EEF34" w:rsidR="00E95AF0" w:rsidRPr="00B91E96" w:rsidRDefault="00B26EC1" w:rsidP="00893C40">
            <w:pPr>
              <w:numPr>
                <w:ilvl w:val="0"/>
                <w:numId w:val="9"/>
              </w:numPr>
              <w:ind w:left="605" w:hanging="605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Document </w:t>
            </w:r>
            <w:r w:rsidR="00A86929">
              <w:rPr>
                <w:rFonts w:ascii="Arial" w:hAnsi="Arial"/>
              </w:rPr>
              <w:t>the results of the visual inspection.</w:t>
            </w:r>
          </w:p>
        </w:tc>
        <w:tc>
          <w:tcPr>
            <w:tcW w:w="8289" w:type="dxa"/>
            <w:shd w:val="clear" w:color="auto" w:fill="auto"/>
          </w:tcPr>
          <w:p w14:paraId="2E04ADAD" w14:textId="5EF17A20" w:rsidR="00E95AF0" w:rsidRPr="00B91E96" w:rsidRDefault="00E95AF0" w:rsidP="005C1420">
            <w:pPr>
              <w:numPr>
                <w:ilvl w:val="2"/>
                <w:numId w:val="23"/>
              </w:numPr>
              <w:ind w:left="690" w:hanging="690"/>
              <w:rPr>
                <w:rFonts w:ascii="Arial" w:hAnsi="Arial"/>
              </w:rPr>
            </w:pPr>
            <w:r w:rsidRPr="39DE7F03">
              <w:rPr>
                <w:rFonts w:ascii="Arial" w:hAnsi="Arial"/>
              </w:rPr>
              <w:t>Document the results of the visual inspection</w:t>
            </w:r>
            <w:r w:rsidR="008B4807">
              <w:rPr>
                <w:rFonts w:ascii="Arial" w:hAnsi="Arial"/>
              </w:rPr>
              <w:t xml:space="preserve"> in your LIS or manual method. Follow your site’s specific </w:t>
            </w:r>
            <w:r w:rsidR="00CE70E5">
              <w:rPr>
                <w:rFonts w:ascii="Arial" w:hAnsi="Arial"/>
              </w:rPr>
              <w:t>process for</w:t>
            </w:r>
            <w:r w:rsidR="00A40845">
              <w:rPr>
                <w:rFonts w:ascii="Arial" w:hAnsi="Arial"/>
              </w:rPr>
              <w:t xml:space="preserve"> documenting</w:t>
            </w:r>
            <w:r w:rsidR="00CE70E5">
              <w:rPr>
                <w:rFonts w:ascii="Arial" w:hAnsi="Arial"/>
              </w:rPr>
              <w:t xml:space="preserve"> the visual inspection.</w:t>
            </w:r>
          </w:p>
        </w:tc>
      </w:tr>
    </w:tbl>
    <w:p w14:paraId="43D57076" w14:textId="77777777" w:rsidR="00A445B3" w:rsidRDefault="00A445B3" w:rsidP="00A445B3">
      <w:pPr>
        <w:ind w:left="1418"/>
        <w:rPr>
          <w:rFonts w:ascii="Arial" w:hAnsi="Arial"/>
          <w:b/>
          <w:sz w:val="28"/>
        </w:rPr>
      </w:pPr>
    </w:p>
    <w:p w14:paraId="5CF0E2C9" w14:textId="3166A2CB" w:rsidR="00681BFD" w:rsidRDefault="39DE7F03" w:rsidP="00294A93">
      <w:pPr>
        <w:numPr>
          <w:ilvl w:val="0"/>
          <w:numId w:val="14"/>
        </w:numPr>
        <w:spacing w:after="240"/>
        <w:rPr>
          <w:rFonts w:ascii="Arial" w:hAnsi="Arial"/>
          <w:b/>
          <w:sz w:val="28"/>
        </w:rPr>
      </w:pPr>
      <w:r w:rsidRPr="39DE7F03">
        <w:rPr>
          <w:rFonts w:ascii="Arial" w:hAnsi="Arial"/>
          <w:b/>
          <w:bCs/>
          <w:sz w:val="28"/>
          <w:szCs w:val="28"/>
        </w:rPr>
        <w:t>R</w:t>
      </w:r>
      <w:r w:rsidR="008D78A8">
        <w:rPr>
          <w:rFonts w:ascii="Arial" w:hAnsi="Arial"/>
          <w:b/>
          <w:bCs/>
          <w:sz w:val="28"/>
          <w:szCs w:val="28"/>
        </w:rPr>
        <w:t>EPORTING</w:t>
      </w:r>
      <w:r w:rsidR="008D78A8">
        <w:rPr>
          <w:rFonts w:ascii="Arial" w:hAnsi="Arial"/>
          <w:b/>
          <w:sz w:val="28"/>
        </w:rPr>
        <w:t>: N/A</w:t>
      </w:r>
    </w:p>
    <w:p w14:paraId="497E291E" w14:textId="5771D8DD" w:rsidR="00681BFD" w:rsidRPr="008969CE" w:rsidRDefault="39DE7F03" w:rsidP="00294A93">
      <w:pPr>
        <w:numPr>
          <w:ilvl w:val="0"/>
          <w:numId w:val="15"/>
        </w:numPr>
        <w:spacing w:after="120"/>
        <w:rPr>
          <w:rFonts w:ascii="Arial" w:hAnsi="Arial"/>
          <w:b/>
          <w:sz w:val="32"/>
        </w:rPr>
      </w:pPr>
      <w:r w:rsidRPr="39DE7F03">
        <w:rPr>
          <w:rFonts w:ascii="Arial" w:hAnsi="Arial"/>
          <w:b/>
          <w:bCs/>
          <w:sz w:val="28"/>
          <w:szCs w:val="28"/>
        </w:rPr>
        <w:t>P</w:t>
      </w:r>
      <w:r w:rsidR="008D78A8">
        <w:rPr>
          <w:rFonts w:ascii="Arial" w:hAnsi="Arial"/>
          <w:b/>
          <w:bCs/>
          <w:sz w:val="28"/>
          <w:szCs w:val="28"/>
        </w:rPr>
        <w:t>ROCEDURE NOTES:</w:t>
      </w:r>
    </w:p>
    <w:p w14:paraId="0566543A" w14:textId="17CA4469" w:rsidR="00681BFD" w:rsidRPr="00294A93" w:rsidRDefault="0000480B" w:rsidP="00294A93">
      <w:pPr>
        <w:spacing w:after="120"/>
        <w:ind w:left="1418" w:hanging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9.1</w:t>
      </w:r>
      <w:r>
        <w:rPr>
          <w:rFonts w:ascii="Arial" w:hAnsi="Arial"/>
        </w:rPr>
        <w:tab/>
      </w:r>
      <w:r w:rsidR="39DE7F03" w:rsidRPr="39DE7F03">
        <w:rPr>
          <w:rFonts w:ascii="Arial" w:hAnsi="Arial"/>
        </w:rPr>
        <w:t>Arterial blood donations do not result in harm to the recipient however the blood supplier should be informed if this is suspected to ensure appropriate donor follow up.</w:t>
      </w:r>
      <w:r w:rsidR="39DE7F03" w:rsidRPr="39DE7F03">
        <w:rPr>
          <w:rFonts w:ascii="Arial" w:hAnsi="Arial"/>
          <w:vertAlign w:val="superscript"/>
        </w:rPr>
        <w:t>10.</w:t>
      </w:r>
      <w:r w:rsidR="00E769CF">
        <w:rPr>
          <w:rFonts w:ascii="Arial" w:hAnsi="Arial"/>
          <w:vertAlign w:val="superscript"/>
        </w:rPr>
        <w:t>5</w:t>
      </w:r>
    </w:p>
    <w:p w14:paraId="162EDC9C" w14:textId="0D9C3C97" w:rsidR="00681BFD" w:rsidRPr="00294A93" w:rsidRDefault="39DE7F03" w:rsidP="005C1420">
      <w:pPr>
        <w:numPr>
          <w:ilvl w:val="1"/>
          <w:numId w:val="16"/>
        </w:numPr>
        <w:spacing w:after="120"/>
        <w:ind w:left="1418" w:hanging="709"/>
        <w:jc w:val="both"/>
        <w:rPr>
          <w:rFonts w:ascii="Arial" w:hAnsi="Arial"/>
        </w:rPr>
      </w:pPr>
      <w:r w:rsidRPr="39DE7F03">
        <w:rPr>
          <w:rFonts w:ascii="Arial" w:hAnsi="Arial"/>
        </w:rPr>
        <w:t>Quarantine blood products not meeting visual inspection to ensure that they are not inadvertently used:</w:t>
      </w:r>
    </w:p>
    <w:p w14:paraId="7A061BD8" w14:textId="2A0921A6" w:rsidR="00681BFD" w:rsidRPr="008969CE" w:rsidRDefault="39DE7F03" w:rsidP="00294A93">
      <w:pPr>
        <w:numPr>
          <w:ilvl w:val="2"/>
          <w:numId w:val="16"/>
        </w:numPr>
        <w:spacing w:after="120"/>
        <w:ind w:left="1985" w:hanging="708"/>
        <w:jc w:val="both"/>
        <w:rPr>
          <w:rFonts w:ascii="Arial" w:hAnsi="Arial"/>
          <w:b/>
          <w:sz w:val="32"/>
        </w:rPr>
      </w:pPr>
      <w:r w:rsidRPr="5F9EFA94">
        <w:rPr>
          <w:rFonts w:ascii="Arial" w:hAnsi="Arial"/>
        </w:rPr>
        <w:t>Affix a note onto the unit(s) clearly stating “Quarantined – DO NOT USE”. Date and initial the note and record in LIS if applicable.</w:t>
      </w:r>
    </w:p>
    <w:p w14:paraId="2A4D684F" w14:textId="4C517590" w:rsidR="00681BFD" w:rsidRPr="00294A93" w:rsidRDefault="39DE7F03" w:rsidP="00294A93">
      <w:pPr>
        <w:numPr>
          <w:ilvl w:val="2"/>
          <w:numId w:val="17"/>
        </w:numPr>
        <w:spacing w:after="120"/>
        <w:ind w:left="2127" w:hanging="851"/>
        <w:jc w:val="both"/>
        <w:rPr>
          <w:rFonts w:ascii="Arial" w:hAnsi="Arial"/>
        </w:rPr>
      </w:pPr>
      <w:r w:rsidRPr="39DE7F03">
        <w:rPr>
          <w:rFonts w:ascii="Arial" w:hAnsi="Arial"/>
        </w:rPr>
        <w:t>Place the product(s) in an area of the fridge (or preferably in another blood product storage refrigerator) that is clearly separated from general inventory and assigned units.</w:t>
      </w:r>
    </w:p>
    <w:p w14:paraId="24D5A4DC" w14:textId="7DF7B6C6" w:rsidR="00681BFD" w:rsidRPr="005C2762" w:rsidRDefault="0000480B" w:rsidP="00294A93">
      <w:pPr>
        <w:spacing w:after="240"/>
        <w:ind w:left="709" w:hanging="709"/>
        <w:jc w:val="both"/>
        <w:rPr>
          <w:rFonts w:ascii="Arial" w:hAnsi="Arial"/>
          <w:b/>
          <w:sz w:val="36"/>
        </w:rPr>
      </w:pPr>
      <w:r w:rsidRPr="00294A93">
        <w:rPr>
          <w:rFonts w:ascii="Arial" w:hAnsi="Arial"/>
          <w:b/>
          <w:bCs/>
          <w:sz w:val="28"/>
          <w:szCs w:val="28"/>
        </w:rPr>
        <w:t xml:space="preserve">10.0 </w:t>
      </w:r>
      <w:r w:rsidRPr="00294A93">
        <w:rPr>
          <w:rFonts w:ascii="Arial" w:hAnsi="Arial"/>
          <w:b/>
          <w:bCs/>
          <w:sz w:val="28"/>
          <w:szCs w:val="28"/>
        </w:rPr>
        <w:tab/>
      </w:r>
      <w:r w:rsidR="39DE7F03" w:rsidRPr="0000480B">
        <w:rPr>
          <w:rFonts w:ascii="Arial" w:hAnsi="Arial"/>
          <w:b/>
          <w:bCs/>
          <w:sz w:val="28"/>
          <w:szCs w:val="28"/>
        </w:rPr>
        <w:t>R</w:t>
      </w:r>
      <w:r w:rsidR="00A945E7" w:rsidRPr="0000480B">
        <w:rPr>
          <w:rFonts w:ascii="Arial" w:hAnsi="Arial"/>
          <w:b/>
          <w:bCs/>
          <w:sz w:val="28"/>
          <w:szCs w:val="28"/>
        </w:rPr>
        <w:t>EFERENCES:</w:t>
      </w:r>
    </w:p>
    <w:p w14:paraId="57B80B78" w14:textId="7510EDE7" w:rsidR="00681BFD" w:rsidRPr="004C508D" w:rsidRDefault="39DE7F03" w:rsidP="004C508D">
      <w:pPr>
        <w:numPr>
          <w:ilvl w:val="1"/>
          <w:numId w:val="17"/>
        </w:numPr>
        <w:spacing w:after="120"/>
        <w:ind w:left="1418" w:hanging="709"/>
        <w:jc w:val="both"/>
        <w:rPr>
          <w:rFonts w:ascii="Arial" w:hAnsi="Arial" w:cs="Arial"/>
        </w:rPr>
      </w:pPr>
      <w:r w:rsidRPr="004C508D">
        <w:rPr>
          <w:rFonts w:ascii="Arial" w:hAnsi="Arial" w:cs="Arial"/>
        </w:rPr>
        <w:t xml:space="preserve">CSTM Standards for Hospital Transfusion Services Version </w:t>
      </w:r>
      <w:r w:rsidR="00B9414A" w:rsidRPr="004C508D">
        <w:rPr>
          <w:rFonts w:ascii="Arial" w:hAnsi="Arial" w:cs="Arial"/>
        </w:rPr>
        <w:t>5.1</w:t>
      </w:r>
      <w:r w:rsidRPr="004C508D">
        <w:rPr>
          <w:rFonts w:ascii="Arial" w:hAnsi="Arial" w:cs="Arial"/>
        </w:rPr>
        <w:t xml:space="preserve"> –</w:t>
      </w:r>
      <w:r w:rsidR="00B9414A" w:rsidRPr="004C508D">
        <w:rPr>
          <w:rFonts w:ascii="Arial" w:hAnsi="Arial" w:cs="Arial"/>
        </w:rPr>
        <w:t xml:space="preserve"> December </w:t>
      </w:r>
      <w:r w:rsidRPr="004C508D">
        <w:rPr>
          <w:rFonts w:ascii="Arial" w:hAnsi="Arial" w:cs="Arial"/>
        </w:rPr>
        <w:t>20</w:t>
      </w:r>
      <w:r w:rsidR="00B9414A" w:rsidRPr="004C508D">
        <w:rPr>
          <w:rFonts w:ascii="Arial" w:hAnsi="Arial" w:cs="Arial"/>
        </w:rPr>
        <w:t>22</w:t>
      </w:r>
      <w:r w:rsidRPr="004C508D">
        <w:rPr>
          <w:rFonts w:ascii="Arial" w:hAnsi="Arial" w:cs="Arial"/>
        </w:rPr>
        <w:t>. Canadian Society for Transfusion Medicine, 5.1.1.5, 5.7.3.1, 5.6.1.3</w:t>
      </w:r>
    </w:p>
    <w:p w14:paraId="33682BC5" w14:textId="1D510FA0" w:rsidR="00580E91" w:rsidRPr="004C508D" w:rsidRDefault="00580E91" w:rsidP="004C508D">
      <w:pPr>
        <w:numPr>
          <w:ilvl w:val="1"/>
          <w:numId w:val="18"/>
        </w:numPr>
        <w:spacing w:after="120"/>
        <w:ind w:left="1418" w:hanging="709"/>
        <w:jc w:val="both"/>
        <w:rPr>
          <w:rFonts w:ascii="Arial" w:hAnsi="Arial" w:cs="Arial"/>
          <w:b/>
          <w:sz w:val="32"/>
        </w:rPr>
      </w:pPr>
      <w:r w:rsidRPr="004C508D">
        <w:rPr>
          <w:rStyle w:val="Hyperlink"/>
          <w:rFonts w:ascii="Arial" w:hAnsi="Arial" w:cs="Arial"/>
          <w:color w:val="auto"/>
          <w:szCs w:val="24"/>
          <w:u w:val="none"/>
        </w:rPr>
        <w:t>Canadian Standards Association Standards for Blood and Blood Components CANZ902-20. 9.5.2, 10.5.3</w:t>
      </w:r>
    </w:p>
    <w:p w14:paraId="4F475F34" w14:textId="006F6843" w:rsidR="008056A8" w:rsidRPr="004C508D" w:rsidRDefault="008056A8" w:rsidP="004C508D">
      <w:pPr>
        <w:numPr>
          <w:ilvl w:val="1"/>
          <w:numId w:val="19"/>
        </w:numPr>
        <w:ind w:left="1418" w:hanging="709"/>
        <w:rPr>
          <w:rFonts w:ascii="Arial" w:hAnsi="Arial" w:cs="Arial"/>
        </w:rPr>
      </w:pPr>
      <w:r w:rsidRPr="004C508D">
        <w:rPr>
          <w:rFonts w:ascii="Arial" w:hAnsi="Arial" w:cs="Arial"/>
        </w:rPr>
        <w:t xml:space="preserve">Canadian Blood Services Visual Assessment Guide. January 2009 T05 021 </w:t>
      </w:r>
      <w:hyperlink r:id="rId19" w:history="1">
        <w:r w:rsidRPr="00EC41C1">
          <w:rPr>
            <w:rStyle w:val="Hyperlink"/>
            <w:rFonts w:ascii="Arial" w:hAnsi="Arial" w:cs="Arial"/>
          </w:rPr>
          <w:t>https://professionaleducation.blood.ca/en/transfusion/best-practices/visual-assessment-guide</w:t>
        </w:r>
      </w:hyperlink>
      <w:r w:rsidRPr="004C508D" w:rsidDel="00D05AEA">
        <w:rPr>
          <w:rFonts w:ascii="Arial" w:hAnsi="Arial" w:cs="Arial"/>
        </w:rPr>
        <w:t xml:space="preserve"> </w:t>
      </w:r>
    </w:p>
    <w:p w14:paraId="7CA88257" w14:textId="59195F0F" w:rsidR="00681BFD" w:rsidRPr="004C508D" w:rsidRDefault="39DE7F03" w:rsidP="004C508D">
      <w:pPr>
        <w:numPr>
          <w:ilvl w:val="1"/>
          <w:numId w:val="20"/>
        </w:numPr>
        <w:spacing w:after="120"/>
        <w:ind w:left="1418" w:hanging="709"/>
        <w:jc w:val="both"/>
        <w:rPr>
          <w:rFonts w:ascii="Arial" w:hAnsi="Arial" w:cs="Arial"/>
        </w:rPr>
      </w:pPr>
      <w:r w:rsidRPr="004C508D">
        <w:rPr>
          <w:rFonts w:ascii="Arial" w:hAnsi="Arial" w:cs="Arial"/>
        </w:rPr>
        <w:t>Cohn CS, ed. AABB Technical Manual, 20th ed. Bethesda, MD:  American Association of Blood Banks, 2020: 153-154.</w:t>
      </w:r>
    </w:p>
    <w:p w14:paraId="14D809A0" w14:textId="476446AC" w:rsidR="00681BFD" w:rsidRPr="004C508D" w:rsidRDefault="39DE7F03" w:rsidP="004C508D">
      <w:pPr>
        <w:numPr>
          <w:ilvl w:val="1"/>
          <w:numId w:val="21"/>
        </w:numPr>
        <w:spacing w:after="120"/>
        <w:ind w:left="1418" w:hanging="709"/>
        <w:jc w:val="both"/>
        <w:rPr>
          <w:rFonts w:ascii="Arial" w:hAnsi="Arial" w:cs="Arial"/>
          <w:lang w:val="fr-CA"/>
        </w:rPr>
      </w:pPr>
      <w:r w:rsidRPr="004C508D">
        <w:rPr>
          <w:rFonts w:ascii="Arial" w:hAnsi="Arial" w:cs="Arial"/>
        </w:rPr>
        <w:t xml:space="preserve">Incidental arterial phlebotomy of a whole blood donor. </w:t>
      </w:r>
      <w:r w:rsidRPr="004C508D">
        <w:rPr>
          <w:rFonts w:ascii="Arial" w:hAnsi="Arial" w:cs="Arial"/>
          <w:lang w:val="fr-CA"/>
        </w:rPr>
        <w:t>Parsons J et al. Transfusion 2014;54:1220.</w:t>
      </w:r>
    </w:p>
    <w:p w14:paraId="08CAA4EE" w14:textId="77777777" w:rsidR="00681BFD" w:rsidRPr="00294A93" w:rsidRDefault="00681BFD" w:rsidP="00681BFD">
      <w:pPr>
        <w:pStyle w:val="ListParagraph"/>
        <w:rPr>
          <w:rFonts w:ascii="Arial" w:hAnsi="Arial"/>
          <w:lang w:val="fr-CA"/>
        </w:rPr>
      </w:pPr>
    </w:p>
    <w:p w14:paraId="612605F1" w14:textId="284F623B" w:rsidR="00681BFD" w:rsidRDefault="39DE7F03" w:rsidP="0083749D">
      <w:pPr>
        <w:numPr>
          <w:ilvl w:val="0"/>
          <w:numId w:val="22"/>
        </w:numPr>
        <w:rPr>
          <w:rFonts w:ascii="Arial" w:hAnsi="Arial"/>
          <w:b/>
          <w:bCs/>
          <w:sz w:val="28"/>
          <w:szCs w:val="28"/>
        </w:rPr>
      </w:pPr>
      <w:r w:rsidRPr="39DE7F03">
        <w:rPr>
          <w:rFonts w:ascii="Arial" w:hAnsi="Arial"/>
          <w:b/>
          <w:bCs/>
          <w:sz w:val="28"/>
          <w:szCs w:val="28"/>
        </w:rPr>
        <w:t>R</w:t>
      </w:r>
      <w:r w:rsidR="0083749D">
        <w:rPr>
          <w:rFonts w:ascii="Arial" w:hAnsi="Arial"/>
          <w:b/>
          <w:bCs/>
          <w:sz w:val="28"/>
          <w:szCs w:val="28"/>
        </w:rPr>
        <w:t>EVISION HISTORY:</w:t>
      </w:r>
    </w:p>
    <w:p w14:paraId="0ABED355" w14:textId="77777777" w:rsidR="00681BFD" w:rsidRPr="00681BFD" w:rsidRDefault="00681BFD" w:rsidP="00681BFD">
      <w:pPr>
        <w:jc w:val="center"/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8393"/>
      </w:tblGrid>
      <w:tr w:rsidR="00681BFD" w:rsidRPr="00B91E96" w14:paraId="54670328" w14:textId="77777777" w:rsidTr="00B9414A">
        <w:tc>
          <w:tcPr>
            <w:tcW w:w="3085" w:type="dxa"/>
            <w:shd w:val="clear" w:color="auto" w:fill="BFBFBF"/>
          </w:tcPr>
          <w:p w14:paraId="55BE231E" w14:textId="77777777" w:rsidR="00681BFD" w:rsidRPr="00B91E96" w:rsidRDefault="00681BFD" w:rsidP="00B91E9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91E96">
              <w:rPr>
                <w:rFonts w:ascii="Arial" w:hAnsi="Arial"/>
                <w:b/>
                <w:sz w:val="22"/>
                <w:szCs w:val="22"/>
              </w:rPr>
              <w:t>Revision Date</w:t>
            </w:r>
          </w:p>
        </w:tc>
        <w:tc>
          <w:tcPr>
            <w:tcW w:w="15338" w:type="dxa"/>
            <w:shd w:val="clear" w:color="auto" w:fill="BFBFBF"/>
          </w:tcPr>
          <w:p w14:paraId="7A561B6C" w14:textId="77777777" w:rsidR="00681BFD" w:rsidRPr="00B91E96" w:rsidRDefault="00681BFD" w:rsidP="00B91E9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91E96">
              <w:rPr>
                <w:rFonts w:ascii="Arial" w:hAnsi="Arial"/>
                <w:b/>
                <w:sz w:val="22"/>
                <w:szCs w:val="22"/>
              </w:rPr>
              <w:t>Summary of Revision</w:t>
            </w:r>
          </w:p>
        </w:tc>
      </w:tr>
      <w:tr w:rsidR="00681BFD" w:rsidRPr="00B91E96" w14:paraId="036B2FFA" w14:textId="77777777" w:rsidTr="00B9414A">
        <w:tc>
          <w:tcPr>
            <w:tcW w:w="3085" w:type="dxa"/>
            <w:shd w:val="clear" w:color="auto" w:fill="auto"/>
          </w:tcPr>
          <w:p w14:paraId="0EF0F85D" w14:textId="77777777" w:rsidR="00681BFD" w:rsidRPr="00B91E96" w:rsidRDefault="00681BFD" w:rsidP="00681BFD">
            <w:pPr>
              <w:rPr>
                <w:rFonts w:ascii="Arial" w:hAnsi="Arial"/>
                <w:sz w:val="22"/>
                <w:szCs w:val="22"/>
              </w:rPr>
            </w:pPr>
            <w:r w:rsidRPr="00B91E96">
              <w:rPr>
                <w:rFonts w:ascii="Arial" w:hAnsi="Arial"/>
                <w:sz w:val="22"/>
                <w:szCs w:val="22"/>
              </w:rPr>
              <w:t>August 8, 2014</w:t>
            </w:r>
          </w:p>
        </w:tc>
        <w:tc>
          <w:tcPr>
            <w:tcW w:w="15338" w:type="dxa"/>
            <w:shd w:val="clear" w:color="auto" w:fill="auto"/>
          </w:tcPr>
          <w:p w14:paraId="4D74D1AA" w14:textId="77777777" w:rsidR="00681BFD" w:rsidRPr="00B91E96" w:rsidRDefault="00681BFD" w:rsidP="00294A9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B91E96">
              <w:rPr>
                <w:rFonts w:ascii="Arial" w:hAnsi="Arial"/>
                <w:sz w:val="22"/>
                <w:szCs w:val="22"/>
              </w:rPr>
              <w:t>Revised name of manual</w:t>
            </w:r>
          </w:p>
          <w:p w14:paraId="159C4459" w14:textId="77777777" w:rsidR="00681BFD" w:rsidRPr="00B91E96" w:rsidRDefault="00681BFD" w:rsidP="00294A9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B91E96">
              <w:rPr>
                <w:rFonts w:ascii="Arial" w:hAnsi="Arial"/>
                <w:sz w:val="22"/>
                <w:szCs w:val="22"/>
              </w:rPr>
              <w:t>Revised section</w:t>
            </w:r>
            <w:r w:rsidR="00A25817" w:rsidRPr="00B91E96">
              <w:rPr>
                <w:rFonts w:ascii="Arial" w:hAnsi="Arial"/>
                <w:sz w:val="22"/>
                <w:szCs w:val="22"/>
              </w:rPr>
              <w:t>s</w:t>
            </w:r>
            <w:r w:rsidRPr="00B91E96">
              <w:rPr>
                <w:rFonts w:ascii="Arial" w:hAnsi="Arial"/>
                <w:sz w:val="22"/>
                <w:szCs w:val="22"/>
              </w:rPr>
              <w:t xml:space="preserve"> 2.0</w:t>
            </w:r>
            <w:r w:rsidR="00A25817" w:rsidRPr="00B91E96">
              <w:rPr>
                <w:rFonts w:ascii="Arial" w:hAnsi="Arial"/>
                <w:sz w:val="22"/>
                <w:szCs w:val="22"/>
              </w:rPr>
              <w:t xml:space="preserve"> &amp; 5.0 &amp; 7.0</w:t>
            </w:r>
          </w:p>
          <w:p w14:paraId="26F6B8CA" w14:textId="72E10263" w:rsidR="00A25817" w:rsidRPr="00B91E96" w:rsidRDefault="00A25817" w:rsidP="00294A9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B91E96">
              <w:rPr>
                <w:rFonts w:ascii="Arial" w:hAnsi="Arial"/>
                <w:sz w:val="22"/>
                <w:szCs w:val="22"/>
              </w:rPr>
              <w:t xml:space="preserve">Revised wording of section 6.3.1.2 </w:t>
            </w:r>
          </w:p>
          <w:p w14:paraId="621BE889" w14:textId="3D257EB6" w:rsidR="00A25817" w:rsidRPr="00B91E96" w:rsidRDefault="00A25817" w:rsidP="00294A9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B91E96">
              <w:rPr>
                <w:rFonts w:ascii="Arial" w:hAnsi="Arial"/>
                <w:sz w:val="22"/>
                <w:szCs w:val="22"/>
              </w:rPr>
              <w:t xml:space="preserve">Revised wording of section 6.3.4 </w:t>
            </w:r>
          </w:p>
          <w:p w14:paraId="63B4B0BA" w14:textId="77777777" w:rsidR="00681BFD" w:rsidRPr="00B91E96" w:rsidRDefault="00F21FCE" w:rsidP="00294A9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B91E96">
              <w:rPr>
                <w:rFonts w:ascii="Arial" w:hAnsi="Arial"/>
                <w:sz w:val="22"/>
                <w:szCs w:val="22"/>
              </w:rPr>
              <w:t>Revised and renumbered section 8.0; added section 8.3</w:t>
            </w:r>
          </w:p>
          <w:p w14:paraId="25ECAB0F" w14:textId="77777777" w:rsidR="00F21FCE" w:rsidRPr="00B91E96" w:rsidRDefault="00F21FCE" w:rsidP="00294A9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B91E96">
              <w:rPr>
                <w:rFonts w:ascii="Arial" w:hAnsi="Arial"/>
                <w:sz w:val="22"/>
                <w:szCs w:val="22"/>
              </w:rPr>
              <w:t>Updated list of references to include most recent editions</w:t>
            </w:r>
          </w:p>
        </w:tc>
      </w:tr>
      <w:tr w:rsidR="00897367" w:rsidRPr="00B91E96" w14:paraId="5A2742EE" w14:textId="77777777" w:rsidTr="00B9414A">
        <w:tc>
          <w:tcPr>
            <w:tcW w:w="3085" w:type="dxa"/>
            <w:shd w:val="clear" w:color="auto" w:fill="auto"/>
          </w:tcPr>
          <w:p w14:paraId="1F66B621" w14:textId="7EB21A16" w:rsidR="00897367" w:rsidRPr="00B91E96" w:rsidRDefault="00B9414A" w:rsidP="00681B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June</w:t>
            </w:r>
            <w:r w:rsidR="00897367">
              <w:rPr>
                <w:rFonts w:ascii="Arial" w:hAnsi="Arial"/>
                <w:sz w:val="22"/>
                <w:szCs w:val="22"/>
              </w:rPr>
              <w:t>, 2023</w:t>
            </w:r>
          </w:p>
        </w:tc>
        <w:tc>
          <w:tcPr>
            <w:tcW w:w="15338" w:type="dxa"/>
            <w:shd w:val="clear" w:color="auto" w:fill="auto"/>
          </w:tcPr>
          <w:p w14:paraId="64AA9CD3" w14:textId="77777777" w:rsidR="00897367" w:rsidRDefault="00047906" w:rsidP="00294A9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Combined visual inspection for all product and refer to the Visual Assessment Guide for further </w:t>
            </w:r>
            <w:r w:rsidR="005D0420">
              <w:rPr>
                <w:rFonts w:ascii="Arial" w:hAnsi="Arial"/>
                <w:sz w:val="22"/>
                <w:szCs w:val="22"/>
              </w:rPr>
              <w:t>information</w:t>
            </w:r>
          </w:p>
          <w:p w14:paraId="476BCD33" w14:textId="7268A7E8" w:rsidR="00B33F8C" w:rsidRDefault="004D2B14" w:rsidP="00294A9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Addition</w:t>
            </w:r>
            <w:r w:rsidR="00B33F8C">
              <w:rPr>
                <w:rFonts w:ascii="Arial" w:hAnsi="Arial"/>
                <w:sz w:val="22"/>
                <w:szCs w:val="22"/>
              </w:rPr>
              <w:t xml:space="preserve"> of policy statement</w:t>
            </w:r>
          </w:p>
          <w:p w14:paraId="07E2B1CB" w14:textId="2875CBD3" w:rsidR="00B33F8C" w:rsidRDefault="004D2B14" w:rsidP="00294A9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Addition</w:t>
            </w:r>
            <w:r w:rsidR="00B33F8C">
              <w:rPr>
                <w:rFonts w:ascii="Arial" w:hAnsi="Arial"/>
                <w:sz w:val="22"/>
                <w:szCs w:val="22"/>
              </w:rPr>
              <w:t xml:space="preserve"> of Related Policies</w:t>
            </w:r>
          </w:p>
          <w:p w14:paraId="4265E5A2" w14:textId="59D582EC" w:rsidR="005D0420" w:rsidRPr="00D346E8" w:rsidRDefault="004D2B14" w:rsidP="00294A9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Updated list of references to include most recent editions</w:t>
            </w:r>
          </w:p>
        </w:tc>
      </w:tr>
    </w:tbl>
    <w:p w14:paraId="5F208B81" w14:textId="62D11B35" w:rsidR="00537C12" w:rsidRDefault="00537C12" w:rsidP="00B47339">
      <w:pPr>
        <w:rPr>
          <w:rFonts w:ascii="Arial" w:hAnsi="Arial"/>
        </w:rPr>
      </w:pPr>
    </w:p>
    <w:sectPr w:rsidR="00537C12" w:rsidSect="0022081E">
      <w:headerReference w:type="default" r:id="rId20"/>
      <w:footerReference w:type="default" r:id="rId21"/>
      <w:headerReference w:type="first" r:id="rId22"/>
      <w:footerReference w:type="first" r:id="rId23"/>
      <w:pgSz w:w="12240" w:h="15840" w:code="1"/>
      <w:pgMar w:top="1440" w:right="900" w:bottom="245" w:left="851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565B" w14:textId="77777777" w:rsidR="007D13BB" w:rsidRDefault="007D13BB" w:rsidP="00221BEB">
      <w:r>
        <w:separator/>
      </w:r>
    </w:p>
  </w:endnote>
  <w:endnote w:type="continuationSeparator" w:id="0">
    <w:p w14:paraId="08F9B6E8" w14:textId="77777777" w:rsidR="007D13BB" w:rsidRDefault="007D13BB" w:rsidP="00221BEB">
      <w:r>
        <w:continuationSeparator/>
      </w:r>
    </w:p>
  </w:endnote>
  <w:endnote w:type="continuationNotice" w:id="1">
    <w:p w14:paraId="385D86B3" w14:textId="77777777" w:rsidR="007D13BB" w:rsidRDefault="007D13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832"/>
      <w:gridCol w:w="1494"/>
    </w:tblGrid>
    <w:tr w:rsidR="003E7FD1" w14:paraId="6C509491" w14:textId="77777777">
      <w:tc>
        <w:tcPr>
          <w:tcW w:w="1512" w:type="dxa"/>
        </w:tcPr>
        <w:p w14:paraId="429A4D6D" w14:textId="77777777" w:rsidR="003E7FD1" w:rsidRDefault="003E7FD1">
          <w:pPr>
            <w:pStyle w:val="Footer"/>
            <w:jc w:val="center"/>
            <w:rPr>
              <w:rFonts w:ascii="Verdana" w:hAnsi="Verdana"/>
              <w:sz w:val="8"/>
            </w:rPr>
          </w:pPr>
        </w:p>
        <w:p w14:paraId="349915A1" w14:textId="4F3035AE" w:rsidR="003E7FD1" w:rsidRDefault="00561447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 wp14:anchorId="7DBBFC47" wp14:editId="59A1A437">
                <wp:extent cx="655320" cy="448310"/>
                <wp:effectExtent l="0" t="0" r="0" b="0"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</w:tcPr>
        <w:p w14:paraId="6FDFA2D1" w14:textId="77777777" w:rsidR="003E7FD1" w:rsidRDefault="003E7FD1">
          <w:pPr>
            <w:pStyle w:val="Footer"/>
            <w:jc w:val="center"/>
            <w:rPr>
              <w:rFonts w:ascii="Verdana" w:hAnsi="Verdana"/>
              <w:sz w:val="16"/>
            </w:rPr>
          </w:pPr>
        </w:p>
        <w:p w14:paraId="71762A41" w14:textId="77777777" w:rsidR="003E7FD1" w:rsidRDefault="003E7FD1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Ontario Regional Blood Coordinating Network</w:t>
          </w:r>
        </w:p>
        <w:p w14:paraId="5D3FE30B" w14:textId="0B0DB31F" w:rsidR="003E7FD1" w:rsidRDefault="003E7FD1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  <w:r>
            <w:rPr>
              <w:rFonts w:ascii="Arial" w:hAnsi="Arial"/>
              <w:sz w:val="18"/>
            </w:rPr>
            <w:br/>
          </w:r>
        </w:p>
      </w:tc>
      <w:tc>
        <w:tcPr>
          <w:tcW w:w="1494" w:type="dxa"/>
        </w:tcPr>
        <w:p w14:paraId="76F5F855" w14:textId="77777777" w:rsidR="003E7FD1" w:rsidRDefault="003E7FD1">
          <w:pPr>
            <w:pStyle w:val="Footer"/>
            <w:jc w:val="right"/>
            <w:rPr>
              <w:rFonts w:ascii="Verdana" w:hAnsi="Verdana"/>
              <w:sz w:val="16"/>
            </w:rPr>
          </w:pPr>
        </w:p>
        <w:p w14:paraId="5544BED4" w14:textId="77777777" w:rsidR="003E7FD1" w:rsidRDefault="003E7FD1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IM.003</w:t>
          </w:r>
        </w:p>
        <w:p w14:paraId="49599EDC" w14:textId="77777777" w:rsidR="003E7FD1" w:rsidRDefault="003E7FD1">
          <w:pPr>
            <w:pStyle w:val="Footer"/>
            <w:jc w:val="right"/>
            <w:rPr>
              <w:rFonts w:ascii="Arial" w:hAnsi="Arial"/>
              <w:sz w:val="18"/>
            </w:rPr>
          </w:pPr>
        </w:p>
        <w:p w14:paraId="0E304194" w14:textId="77777777" w:rsidR="003E7FD1" w:rsidRDefault="003E7FD1">
          <w:pPr>
            <w:pStyle w:val="Footer"/>
            <w:jc w:val="right"/>
            <w:rPr>
              <w:rFonts w:ascii="Verdana" w:hAnsi="Verdana"/>
              <w:sz w:val="16"/>
            </w:rPr>
          </w:pPr>
          <w:r>
            <w:rPr>
              <w:rFonts w:ascii="Arial" w:hAnsi="Arial"/>
              <w:sz w:val="18"/>
            </w:rPr>
            <w:t xml:space="preserve">Page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>
            <w:rPr>
              <w:rFonts w:ascii="Arial" w:hAnsi="Arial"/>
              <w:sz w:val="18"/>
            </w:rPr>
            <w:fldChar w:fldCharType="separate"/>
          </w:r>
          <w:r w:rsidR="00A1466A">
            <w:rPr>
              <w:rFonts w:ascii="Arial" w:hAnsi="Arial"/>
              <w:noProof/>
              <w:sz w:val="18"/>
            </w:rPr>
            <w:t>9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>
            <w:rPr>
              <w:rFonts w:ascii="Arial" w:hAnsi="Arial"/>
              <w:sz w:val="18"/>
            </w:rPr>
            <w:fldChar w:fldCharType="separate"/>
          </w:r>
          <w:r w:rsidR="00A1466A">
            <w:rPr>
              <w:rFonts w:ascii="Arial" w:hAnsi="Arial"/>
              <w:noProof/>
              <w:sz w:val="18"/>
            </w:rPr>
            <w:t>9</w:t>
          </w:r>
          <w:r>
            <w:rPr>
              <w:rFonts w:ascii="Arial" w:hAnsi="Arial"/>
              <w:sz w:val="18"/>
            </w:rPr>
            <w:fldChar w:fldCharType="end"/>
          </w:r>
        </w:p>
      </w:tc>
    </w:tr>
  </w:tbl>
  <w:p w14:paraId="6A607BA7" w14:textId="77777777" w:rsidR="003E7FD1" w:rsidRDefault="003E7FD1">
    <w:pPr>
      <w:pStyle w:val="Footer"/>
      <w:spacing w:line="14" w:lineRule="exact"/>
    </w:pPr>
  </w:p>
  <w:p w14:paraId="1274B4F9" w14:textId="77777777" w:rsidR="003E7FD1" w:rsidRDefault="003E7FD1">
    <w:pPr>
      <w:rPr>
        <w:sz w:val="2"/>
      </w:rPr>
    </w:pPr>
  </w:p>
  <w:p w14:paraId="224F7F3D" w14:textId="77777777" w:rsidR="003E7FD1" w:rsidRDefault="003E7FD1">
    <w:pPr>
      <w:rPr>
        <w:sz w:val="2"/>
      </w:rPr>
    </w:pPr>
  </w:p>
  <w:p w14:paraId="5ED10546" w14:textId="77777777" w:rsidR="003E7FD1" w:rsidRDefault="003E7FD1">
    <w:pPr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832"/>
      <w:gridCol w:w="1494"/>
    </w:tblGrid>
    <w:tr w:rsidR="003E7FD1" w14:paraId="77A6D29E" w14:textId="77777777">
      <w:tc>
        <w:tcPr>
          <w:tcW w:w="1512" w:type="dxa"/>
        </w:tcPr>
        <w:p w14:paraId="4363C13E" w14:textId="77777777" w:rsidR="003E7FD1" w:rsidRDefault="003E7FD1">
          <w:pPr>
            <w:pStyle w:val="Footer"/>
            <w:jc w:val="center"/>
            <w:rPr>
              <w:rFonts w:ascii="Verdana" w:hAnsi="Verdana"/>
              <w:sz w:val="8"/>
            </w:rPr>
          </w:pPr>
        </w:p>
        <w:p w14:paraId="64F948B4" w14:textId="4AA76C1A" w:rsidR="003E7FD1" w:rsidRDefault="00561447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 wp14:anchorId="42845C6A" wp14:editId="372C21EC">
                <wp:extent cx="664210" cy="457200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</w:tcPr>
        <w:p w14:paraId="4A6711C8" w14:textId="77777777" w:rsidR="003E7FD1" w:rsidRDefault="003E7FD1">
          <w:pPr>
            <w:pStyle w:val="Footer"/>
            <w:jc w:val="center"/>
            <w:rPr>
              <w:rFonts w:ascii="Verdana" w:hAnsi="Verdana"/>
              <w:sz w:val="16"/>
            </w:rPr>
          </w:pPr>
        </w:p>
        <w:p w14:paraId="6F22112D" w14:textId="77777777" w:rsidR="003E7FD1" w:rsidRDefault="003E7FD1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Ontario Regional Blood Coordinating Network</w:t>
          </w:r>
        </w:p>
        <w:p w14:paraId="08F9DE4B" w14:textId="77777777" w:rsidR="003E7FD1" w:rsidRDefault="003E7FD1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  <w:r>
            <w:rPr>
              <w:rFonts w:ascii="Arial" w:hAnsi="Arial"/>
              <w:sz w:val="18"/>
            </w:rPr>
            <w:br/>
          </w:r>
        </w:p>
      </w:tc>
      <w:tc>
        <w:tcPr>
          <w:tcW w:w="1494" w:type="dxa"/>
        </w:tcPr>
        <w:p w14:paraId="74D188EF" w14:textId="77777777" w:rsidR="003E7FD1" w:rsidRDefault="003E7FD1">
          <w:pPr>
            <w:pStyle w:val="Footer"/>
            <w:jc w:val="right"/>
            <w:rPr>
              <w:rFonts w:ascii="Verdana" w:hAnsi="Verdana"/>
              <w:sz w:val="16"/>
            </w:rPr>
          </w:pPr>
        </w:p>
        <w:p w14:paraId="257F20AD" w14:textId="77777777" w:rsidR="003E7FD1" w:rsidRDefault="003E7FD1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IM.003</w:t>
          </w:r>
        </w:p>
        <w:p w14:paraId="19155D66" w14:textId="77777777" w:rsidR="003E7FD1" w:rsidRDefault="003E7FD1">
          <w:pPr>
            <w:pStyle w:val="Footer"/>
            <w:jc w:val="right"/>
            <w:rPr>
              <w:rFonts w:ascii="Arial" w:hAnsi="Arial"/>
              <w:sz w:val="18"/>
            </w:rPr>
          </w:pPr>
        </w:p>
        <w:p w14:paraId="63ACCFA5" w14:textId="77777777" w:rsidR="003E7FD1" w:rsidRDefault="003E7FD1">
          <w:pPr>
            <w:pStyle w:val="Footer"/>
            <w:jc w:val="right"/>
            <w:rPr>
              <w:rFonts w:ascii="Verdana" w:hAnsi="Verdana"/>
              <w:sz w:val="16"/>
            </w:rPr>
          </w:pPr>
          <w:r>
            <w:rPr>
              <w:rFonts w:ascii="Arial" w:hAnsi="Arial"/>
              <w:sz w:val="18"/>
            </w:rPr>
            <w:t xml:space="preserve">Page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>
            <w:rPr>
              <w:rFonts w:ascii="Arial" w:hAnsi="Arial"/>
              <w:sz w:val="18"/>
            </w:rPr>
            <w:fldChar w:fldCharType="separate"/>
          </w:r>
          <w:r w:rsidR="00A1466A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8</w:t>
          </w:r>
        </w:p>
      </w:tc>
    </w:tr>
  </w:tbl>
  <w:p w14:paraId="55EAE3E5" w14:textId="77777777" w:rsidR="003E7FD1" w:rsidRDefault="003E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1F19" w14:textId="77777777" w:rsidR="007D13BB" w:rsidRDefault="007D13BB" w:rsidP="00221BEB">
      <w:r>
        <w:separator/>
      </w:r>
    </w:p>
  </w:footnote>
  <w:footnote w:type="continuationSeparator" w:id="0">
    <w:p w14:paraId="15CCD423" w14:textId="77777777" w:rsidR="007D13BB" w:rsidRDefault="007D13BB" w:rsidP="00221BEB">
      <w:r>
        <w:continuationSeparator/>
      </w:r>
    </w:p>
  </w:footnote>
  <w:footnote w:type="continuationNotice" w:id="1">
    <w:p w14:paraId="1D1504E3" w14:textId="77777777" w:rsidR="007D13BB" w:rsidRDefault="007D13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748"/>
    </w:tblGrid>
    <w:tr w:rsidR="003E7FD1" w14:paraId="31F5BA40" w14:textId="77777777">
      <w:trPr>
        <w:trHeight w:val="810"/>
      </w:trPr>
      <w:tc>
        <w:tcPr>
          <w:tcW w:w="8748" w:type="dxa"/>
        </w:tcPr>
        <w:p w14:paraId="7803F228" w14:textId="77777777" w:rsidR="003E7FD1" w:rsidRDefault="003E7FD1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Visual Inspection of</w:t>
          </w:r>
          <w:r w:rsidR="006E36ED">
            <w:rPr>
              <w:rFonts w:ascii="Arial" w:hAnsi="Arial"/>
              <w:b/>
              <w:sz w:val="28"/>
            </w:rPr>
            <w:t xml:space="preserve"> </w:t>
          </w:r>
          <w:r>
            <w:rPr>
              <w:rFonts w:ascii="Arial" w:hAnsi="Arial"/>
              <w:b/>
              <w:sz w:val="28"/>
            </w:rPr>
            <w:t xml:space="preserve">Blood Components and </w:t>
          </w:r>
        </w:p>
        <w:p w14:paraId="4A6DD181" w14:textId="77777777" w:rsidR="003E7FD1" w:rsidRDefault="003E7FD1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Plasma Protein Products</w:t>
          </w:r>
        </w:p>
        <w:p w14:paraId="720B2E22" w14:textId="77777777" w:rsidR="003E7FD1" w:rsidRDefault="003E7FD1">
          <w:pPr>
            <w:pStyle w:val="Header"/>
            <w:jc w:val="center"/>
            <w:rPr>
              <w:rFonts w:ascii="Arial" w:hAnsi="Arial"/>
              <w:b/>
            </w:rPr>
          </w:pPr>
        </w:p>
      </w:tc>
    </w:tr>
  </w:tbl>
  <w:p w14:paraId="3AF6F24E" w14:textId="77777777" w:rsidR="003E7FD1" w:rsidRDefault="003E7FD1">
    <w:pPr>
      <w:pStyle w:val="Header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6A54" w14:textId="786C6F55" w:rsidR="003E7FD1" w:rsidRDefault="00561447">
    <w:pPr>
      <w:pStyle w:val="Header"/>
      <w:tabs>
        <w:tab w:val="clear" w:pos="8640"/>
        <w:tab w:val="left" w:pos="5057"/>
      </w:tabs>
      <w:rPr>
        <w:rFonts w:ascii="Arial" w:hAnsi="Arial" w:cs="Arial"/>
        <w:b/>
        <w:bCs/>
        <w:sz w:val="22"/>
      </w:rPr>
    </w:pPr>
    <w:r>
      <w:rPr>
        <w:noProof/>
      </w:rPr>
      <w:drawing>
        <wp:inline distT="0" distB="0" distL="0" distR="0" wp14:anchorId="2FCA2761" wp14:editId="6C8B3A92">
          <wp:extent cx="1121410" cy="457200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EF595" w14:textId="77777777" w:rsidR="003E7FD1" w:rsidRDefault="007602FB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Ontario Regional Blood Coordinating Network</w:t>
    </w:r>
  </w:p>
  <w:p w14:paraId="38DFF92C" w14:textId="77777777" w:rsidR="007602FB" w:rsidRDefault="007602FB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Transfusion Technical Resource Manual</w:t>
    </w:r>
  </w:p>
  <w:p w14:paraId="0366CEA0" w14:textId="77777777" w:rsidR="003E7FD1" w:rsidRPr="007602FB" w:rsidRDefault="003E7FD1">
    <w:pPr>
      <w:pStyle w:val="Header"/>
      <w:jc w:val="center"/>
      <w:rPr>
        <w:rFonts w:ascii="Arial" w:hAnsi="Arial"/>
        <w:b/>
      </w:rPr>
    </w:pPr>
  </w:p>
  <w:p w14:paraId="1A119390" w14:textId="77777777" w:rsidR="003E7FD1" w:rsidRDefault="003E7FD1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Visual Inspection of Blood Components and </w:t>
    </w:r>
  </w:p>
  <w:p w14:paraId="2F56C112" w14:textId="77777777" w:rsidR="003E7FD1" w:rsidRDefault="003E7FD1">
    <w:pPr>
      <w:pStyle w:val="Header"/>
      <w:tabs>
        <w:tab w:val="left" w:pos="6617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Plasma Protein </w:t>
    </w:r>
    <w:r w:rsidR="00A95112">
      <w:rPr>
        <w:rFonts w:ascii="Arial" w:hAnsi="Arial"/>
        <w:b/>
        <w:sz w:val="28"/>
      </w:rPr>
      <w:t xml:space="preserve">and Related </w:t>
    </w:r>
    <w:r>
      <w:rPr>
        <w:rFonts w:ascii="Arial" w:hAnsi="Arial"/>
        <w:b/>
        <w:sz w:val="28"/>
      </w:rPr>
      <w:t>Products</w:t>
    </w:r>
  </w:p>
  <w:p w14:paraId="2E39AD80" w14:textId="77777777" w:rsidR="003E7FD1" w:rsidRPr="007602FB" w:rsidRDefault="003E7FD1">
    <w:pPr>
      <w:pStyle w:val="Header"/>
      <w:tabs>
        <w:tab w:val="left" w:pos="6617"/>
      </w:tabs>
      <w:jc w:val="center"/>
      <w:rPr>
        <w:rFonts w:ascii="Arial" w:hAnsi="Arial"/>
        <w:b/>
      </w:rPr>
    </w:pPr>
  </w:p>
  <w:p w14:paraId="75C1D8CB" w14:textId="50529084" w:rsidR="003E7FD1" w:rsidRDefault="003E7FD1">
    <w:pPr>
      <w:pStyle w:val="Header"/>
      <w:tabs>
        <w:tab w:val="left" w:pos="6617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ab/>
    </w:r>
    <w:r w:rsidR="00561447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558A2E" wp14:editId="7E878C7D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E0273B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RCs39NoAAAAGAQAADwAAAAAAAAAAAAAAAAAJBAAAZHJzL2Rvd25yZXYueG1s&#10;UEsFBgAAAAAEAAQA8wAAABA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3E7FD1" w14:paraId="71BBE32E" w14:textId="77777777">
      <w:tc>
        <w:tcPr>
          <w:tcW w:w="4428" w:type="dxa"/>
        </w:tcPr>
        <w:p w14:paraId="28A6E706" w14:textId="77777777" w:rsidR="003E7FD1" w:rsidRDefault="003E7FD1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Approved By:</w:t>
          </w:r>
        </w:p>
      </w:tc>
      <w:tc>
        <w:tcPr>
          <w:tcW w:w="4428" w:type="dxa"/>
        </w:tcPr>
        <w:p w14:paraId="25F98DA6" w14:textId="77777777" w:rsidR="003E7FD1" w:rsidRDefault="003E7FD1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Document No: IM.003</w:t>
          </w:r>
        </w:p>
      </w:tc>
    </w:tr>
    <w:tr w:rsidR="003E7FD1" w14:paraId="49D10801" w14:textId="77777777">
      <w:tc>
        <w:tcPr>
          <w:tcW w:w="4428" w:type="dxa"/>
        </w:tcPr>
        <w:p w14:paraId="50075FA9" w14:textId="77777777" w:rsidR="003E7FD1" w:rsidRDefault="003E7FD1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Date Issued:  2004/04/05</w:t>
          </w:r>
        </w:p>
      </w:tc>
      <w:tc>
        <w:tcPr>
          <w:tcW w:w="4428" w:type="dxa"/>
        </w:tcPr>
        <w:p w14:paraId="45EDAB4A" w14:textId="77777777" w:rsidR="003E7FD1" w:rsidRDefault="003E7FD1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Category:  Inventory Management</w:t>
          </w:r>
        </w:p>
      </w:tc>
    </w:tr>
    <w:tr w:rsidR="003E7FD1" w14:paraId="6951CD7A" w14:textId="77777777">
      <w:tc>
        <w:tcPr>
          <w:tcW w:w="4428" w:type="dxa"/>
        </w:tcPr>
        <w:p w14:paraId="6B8D3718" w14:textId="279D7133" w:rsidR="00EE04BE" w:rsidRDefault="003E7FD1" w:rsidP="007602FB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Date Revised: 09/09/01; 2014/0</w:t>
          </w:r>
          <w:r w:rsidR="007602FB">
            <w:rPr>
              <w:rFonts w:ascii="Arial" w:hAnsi="Arial" w:cs="Arial"/>
              <w:sz w:val="20"/>
            </w:rPr>
            <w:t>8/08</w:t>
          </w:r>
          <w:r w:rsidR="00EE04BE">
            <w:rPr>
              <w:rFonts w:ascii="Arial" w:hAnsi="Arial" w:cs="Arial"/>
              <w:sz w:val="20"/>
            </w:rPr>
            <w:t>;</w:t>
          </w:r>
        </w:p>
        <w:p w14:paraId="732CEB32" w14:textId="1D2CA1CC" w:rsidR="003E7FD1" w:rsidRDefault="00A95112" w:rsidP="007602FB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</w:t>
          </w:r>
          <w:r w:rsidR="00EE04BE">
            <w:rPr>
              <w:rFonts w:ascii="Arial" w:hAnsi="Arial" w:cs="Arial"/>
              <w:sz w:val="20"/>
            </w:rPr>
            <w:t>0</w:t>
          </w:r>
          <w:r>
            <w:rPr>
              <w:rFonts w:ascii="Arial" w:hAnsi="Arial" w:cs="Arial"/>
              <w:sz w:val="20"/>
            </w:rPr>
            <w:t>2</w:t>
          </w:r>
          <w:r w:rsidR="00EE04BE">
            <w:rPr>
              <w:rFonts w:ascii="Arial" w:hAnsi="Arial" w:cs="Arial"/>
              <w:sz w:val="20"/>
            </w:rPr>
            <w:t>3/03</w:t>
          </w:r>
        </w:p>
      </w:tc>
      <w:tc>
        <w:tcPr>
          <w:tcW w:w="4428" w:type="dxa"/>
        </w:tcPr>
        <w:p w14:paraId="1D47DF64" w14:textId="77777777" w:rsidR="003E7FD1" w:rsidRDefault="003E7FD1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Page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A1466A">
            <w:rPr>
              <w:rFonts w:ascii="Arial" w:hAnsi="Arial" w:cs="Arial"/>
              <w:noProof/>
              <w:sz w:val="20"/>
            </w:rPr>
            <w:t>1</w: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of 8</w:t>
          </w:r>
        </w:p>
      </w:tc>
    </w:tr>
  </w:tbl>
  <w:p w14:paraId="0244AC79" w14:textId="0A6218F7" w:rsidR="003E7FD1" w:rsidRDefault="00561447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1A2EDA9" wp14:editId="57C5487B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8CBA980" id="Straight Connector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"/>
          </w:pict>
        </mc:Fallback>
      </mc:AlternateContent>
    </w:r>
    <w:r w:rsidR="003E7FD1">
      <w:rPr>
        <w:rFonts w:ascii="Arial" w:hAnsi="Arial" w:cs="Arial"/>
        <w:sz w:val="20"/>
      </w:rPr>
      <w:tab/>
    </w:r>
  </w:p>
  <w:p w14:paraId="1F9947B2" w14:textId="77777777" w:rsidR="003E7FD1" w:rsidRDefault="003E7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30C"/>
    <w:multiLevelType w:val="multilevel"/>
    <w:tmpl w:val="EF36A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0"/>
      <w:numFmt w:val="decimal"/>
      <w:lvlText w:val="%2.4"/>
      <w:lvlJc w:val="left"/>
      <w:pPr>
        <w:ind w:left="1778" w:hanging="360"/>
      </w:pPr>
      <w:rPr>
        <w:rFonts w:hint="default"/>
      </w:rPr>
    </w:lvl>
    <w:lvl w:ilvl="2">
      <w:start w:val="9"/>
      <w:numFmt w:val="decimal"/>
      <w:lvlText w:val="%3.2.2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7112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889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2086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3864" w:hanging="2520"/>
      </w:pPr>
      <w:rPr>
        <w:rFonts w:hint="default"/>
        <w:b w:val="0"/>
        <w:sz w:val="24"/>
      </w:rPr>
    </w:lvl>
  </w:abstractNum>
  <w:abstractNum w:abstractNumId="1" w15:restartNumberingAfterBreak="0">
    <w:nsid w:val="0D3F4FF4"/>
    <w:multiLevelType w:val="multilevel"/>
    <w:tmpl w:val="5F605C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0"/>
      <w:numFmt w:val="decimal"/>
      <w:lvlText w:val="%2.2"/>
      <w:lvlJc w:val="left"/>
      <w:pPr>
        <w:ind w:left="1778" w:hanging="360"/>
      </w:pPr>
      <w:rPr>
        <w:rFonts w:hint="default"/>
        <w:b w:val="0"/>
        <w:bCs/>
        <w:sz w:val="24"/>
        <w:szCs w:val="24"/>
      </w:rPr>
    </w:lvl>
    <w:lvl w:ilvl="2">
      <w:start w:val="9"/>
      <w:numFmt w:val="decimal"/>
      <w:lvlText w:val="%3.2.2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7112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889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2086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3864" w:hanging="2520"/>
      </w:pPr>
      <w:rPr>
        <w:rFonts w:hint="default"/>
        <w:b w:val="0"/>
        <w:sz w:val="24"/>
      </w:rPr>
    </w:lvl>
  </w:abstractNum>
  <w:abstractNum w:abstractNumId="2" w15:restartNumberingAfterBreak="0">
    <w:nsid w:val="1175797D"/>
    <w:multiLevelType w:val="hybridMultilevel"/>
    <w:tmpl w:val="03041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07D2D"/>
    <w:multiLevelType w:val="multilevel"/>
    <w:tmpl w:val="829AE3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0"/>
      <w:numFmt w:val="decimal"/>
      <w:lvlText w:val="%2.3"/>
      <w:lvlJc w:val="left"/>
      <w:pPr>
        <w:ind w:left="1778" w:hanging="360"/>
      </w:pPr>
      <w:rPr>
        <w:rFonts w:hint="default"/>
      </w:rPr>
    </w:lvl>
    <w:lvl w:ilvl="2">
      <w:start w:val="9"/>
      <w:numFmt w:val="decimal"/>
      <w:lvlText w:val="%3.2.2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7112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889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2086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3864" w:hanging="2520"/>
      </w:pPr>
      <w:rPr>
        <w:rFonts w:hint="default"/>
        <w:b w:val="0"/>
        <w:sz w:val="24"/>
      </w:rPr>
    </w:lvl>
  </w:abstractNum>
  <w:abstractNum w:abstractNumId="4" w15:restartNumberingAfterBreak="0">
    <w:nsid w:val="25FF5FF0"/>
    <w:multiLevelType w:val="hybridMultilevel"/>
    <w:tmpl w:val="F9722046"/>
    <w:lvl w:ilvl="0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2F4A6B8D"/>
    <w:multiLevelType w:val="hybridMultilevel"/>
    <w:tmpl w:val="F956E5A4"/>
    <w:lvl w:ilvl="0" w:tplc="EB48D1C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2F60250C"/>
    <w:multiLevelType w:val="multilevel"/>
    <w:tmpl w:val="F8429E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9"/>
      <w:numFmt w:val="decimal"/>
      <w:lvlText w:val="%2.2"/>
      <w:lvlJc w:val="left"/>
      <w:pPr>
        <w:ind w:left="1778" w:hanging="360"/>
      </w:pPr>
      <w:rPr>
        <w:rFonts w:hint="default"/>
      </w:rPr>
    </w:lvl>
    <w:lvl w:ilvl="2">
      <w:start w:val="9"/>
      <w:numFmt w:val="decimal"/>
      <w:lvlText w:val="%3.2.1"/>
      <w:lvlJc w:val="left"/>
      <w:pPr>
        <w:ind w:left="3196" w:hanging="360"/>
      </w:pPr>
      <w:rPr>
        <w:rFonts w:hint="default"/>
        <w:b w:val="0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7112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889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2086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3864" w:hanging="2520"/>
      </w:pPr>
      <w:rPr>
        <w:rFonts w:hint="default"/>
        <w:b w:val="0"/>
        <w:sz w:val="24"/>
      </w:rPr>
    </w:lvl>
  </w:abstractNum>
  <w:abstractNum w:abstractNumId="7" w15:restartNumberingAfterBreak="0">
    <w:nsid w:val="2FB270C3"/>
    <w:multiLevelType w:val="multilevel"/>
    <w:tmpl w:val="D79CF5EC"/>
    <w:lvl w:ilvl="0">
      <w:start w:val="11"/>
      <w:numFmt w:val="decimal"/>
      <w:lvlText w:val="%1.0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0"/>
      <w:numFmt w:val="decimal"/>
      <w:lvlText w:val="%2.5"/>
      <w:lvlJc w:val="left"/>
      <w:pPr>
        <w:ind w:left="1778" w:hanging="360"/>
      </w:pPr>
      <w:rPr>
        <w:rFonts w:hint="default"/>
      </w:rPr>
    </w:lvl>
    <w:lvl w:ilvl="2">
      <w:start w:val="9"/>
      <w:numFmt w:val="decimal"/>
      <w:lvlText w:val="%3.2.2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7112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889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2086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3864" w:hanging="2520"/>
      </w:pPr>
      <w:rPr>
        <w:rFonts w:hint="default"/>
        <w:b w:val="0"/>
        <w:sz w:val="24"/>
      </w:rPr>
    </w:lvl>
  </w:abstractNum>
  <w:abstractNum w:abstractNumId="8" w15:restartNumberingAfterBreak="0">
    <w:nsid w:val="314D09CB"/>
    <w:multiLevelType w:val="multilevel"/>
    <w:tmpl w:val="9558CF30"/>
    <w:lvl w:ilvl="0">
      <w:start w:val="1"/>
      <w:numFmt w:val="decimal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9" w15:restartNumberingAfterBreak="0">
    <w:nsid w:val="34444CE1"/>
    <w:multiLevelType w:val="multilevel"/>
    <w:tmpl w:val="867A8AC6"/>
    <w:lvl w:ilvl="0">
      <w:start w:val="3"/>
      <w:numFmt w:val="decimal"/>
      <w:lvlText w:val="%1.0"/>
      <w:lvlJc w:val="left"/>
      <w:pPr>
        <w:ind w:left="2498" w:hanging="360"/>
      </w:pPr>
      <w:rPr>
        <w:rFonts w:ascii="Arial" w:hAnsi="Arial" w:cs="Arial" w:hint="default"/>
        <w:b/>
        <w:bCs/>
        <w:sz w:val="28"/>
      </w:rPr>
    </w:lvl>
    <w:lvl w:ilvl="1">
      <w:start w:val="1"/>
      <w:numFmt w:val="decimal"/>
      <w:lvlText w:val="%1.%2"/>
      <w:lvlJc w:val="left"/>
      <w:pPr>
        <w:ind w:left="2346" w:hanging="360"/>
      </w:pPr>
      <w:rPr>
        <w:rFonts w:hint="default"/>
        <w:b/>
        <w:bCs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b/>
        <w:bCs w:val="0"/>
        <w:sz w:val="24"/>
      </w:rPr>
    </w:lvl>
    <w:lvl w:ilvl="3">
      <w:start w:val="1"/>
      <w:numFmt w:val="decimal"/>
      <w:lvlText w:val="%1.%2.%3.%4"/>
      <w:lvlJc w:val="left"/>
      <w:pPr>
        <w:ind w:left="5378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609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717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8" w:hanging="1800"/>
      </w:pPr>
      <w:rPr>
        <w:rFonts w:hint="default"/>
      </w:rPr>
    </w:lvl>
  </w:abstractNum>
  <w:abstractNum w:abstractNumId="10" w15:restartNumberingAfterBreak="0">
    <w:nsid w:val="39872A1F"/>
    <w:multiLevelType w:val="multilevel"/>
    <w:tmpl w:val="27F8C3BA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sz w:val="28"/>
      </w:rPr>
    </w:lvl>
  </w:abstractNum>
  <w:abstractNum w:abstractNumId="11" w15:restartNumberingAfterBreak="0">
    <w:nsid w:val="43BE23FE"/>
    <w:multiLevelType w:val="hybridMultilevel"/>
    <w:tmpl w:val="79D8D7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E32B9"/>
    <w:multiLevelType w:val="hybridMultilevel"/>
    <w:tmpl w:val="55A05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61406"/>
    <w:multiLevelType w:val="hybridMultilevel"/>
    <w:tmpl w:val="C0C6160A"/>
    <w:lvl w:ilvl="0" w:tplc="EDF092EE">
      <w:start w:val="1"/>
      <w:numFmt w:val="decimal"/>
      <w:lvlText w:val="%1.0"/>
      <w:lvlJc w:val="left"/>
      <w:pPr>
        <w:ind w:left="720" w:hanging="360"/>
      </w:pPr>
    </w:lvl>
    <w:lvl w:ilvl="1" w:tplc="2BAA92B8">
      <w:start w:val="1"/>
      <w:numFmt w:val="lowerLetter"/>
      <w:lvlText w:val="%2."/>
      <w:lvlJc w:val="left"/>
      <w:pPr>
        <w:ind w:left="1440" w:hanging="360"/>
      </w:pPr>
    </w:lvl>
    <w:lvl w:ilvl="2" w:tplc="024EC134">
      <w:start w:val="1"/>
      <w:numFmt w:val="lowerRoman"/>
      <w:lvlText w:val="%3."/>
      <w:lvlJc w:val="right"/>
      <w:pPr>
        <w:ind w:left="2160" w:hanging="180"/>
      </w:pPr>
    </w:lvl>
    <w:lvl w:ilvl="3" w:tplc="626E8F1A">
      <w:start w:val="1"/>
      <w:numFmt w:val="decimal"/>
      <w:lvlText w:val="%4."/>
      <w:lvlJc w:val="left"/>
      <w:pPr>
        <w:ind w:left="2880" w:hanging="360"/>
      </w:pPr>
    </w:lvl>
    <w:lvl w:ilvl="4" w:tplc="691CDE92">
      <w:start w:val="1"/>
      <w:numFmt w:val="lowerLetter"/>
      <w:lvlText w:val="%5."/>
      <w:lvlJc w:val="left"/>
      <w:pPr>
        <w:ind w:left="3600" w:hanging="360"/>
      </w:pPr>
    </w:lvl>
    <w:lvl w:ilvl="5" w:tplc="03D2DD98">
      <w:start w:val="1"/>
      <w:numFmt w:val="lowerRoman"/>
      <w:lvlText w:val="%6."/>
      <w:lvlJc w:val="right"/>
      <w:pPr>
        <w:ind w:left="4320" w:hanging="180"/>
      </w:pPr>
    </w:lvl>
    <w:lvl w:ilvl="6" w:tplc="C2280A32">
      <w:start w:val="1"/>
      <w:numFmt w:val="decimal"/>
      <w:lvlText w:val="%7."/>
      <w:lvlJc w:val="left"/>
      <w:pPr>
        <w:ind w:left="5040" w:hanging="360"/>
      </w:pPr>
    </w:lvl>
    <w:lvl w:ilvl="7" w:tplc="A43E5D02">
      <w:start w:val="1"/>
      <w:numFmt w:val="lowerLetter"/>
      <w:lvlText w:val="%8."/>
      <w:lvlJc w:val="left"/>
      <w:pPr>
        <w:ind w:left="5760" w:hanging="360"/>
      </w:pPr>
    </w:lvl>
    <w:lvl w:ilvl="8" w:tplc="A7E8DAB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615F7"/>
    <w:multiLevelType w:val="multilevel"/>
    <w:tmpl w:val="30825886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0"/>
      <w:numFmt w:val="decimal"/>
      <w:lvlText w:val="%2.5"/>
      <w:lvlJc w:val="left"/>
      <w:pPr>
        <w:ind w:left="1778" w:hanging="360"/>
      </w:pPr>
      <w:rPr>
        <w:rFonts w:hint="default"/>
      </w:rPr>
    </w:lvl>
    <w:lvl w:ilvl="2">
      <w:start w:val="9"/>
      <w:numFmt w:val="decimal"/>
      <w:lvlText w:val="%3.2.2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7112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889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2086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3864" w:hanging="2520"/>
      </w:pPr>
      <w:rPr>
        <w:rFonts w:hint="default"/>
        <w:b w:val="0"/>
        <w:sz w:val="24"/>
      </w:rPr>
    </w:lvl>
  </w:abstractNum>
  <w:abstractNum w:abstractNumId="15" w15:restartNumberingAfterBreak="0">
    <w:nsid w:val="55A739B2"/>
    <w:multiLevelType w:val="hybridMultilevel"/>
    <w:tmpl w:val="3BC08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B6106"/>
    <w:multiLevelType w:val="hybridMultilevel"/>
    <w:tmpl w:val="BC2C657C"/>
    <w:lvl w:ilvl="0" w:tplc="3E584594">
      <w:start w:val="1"/>
      <w:numFmt w:val="decimal"/>
      <w:lvlText w:val="5.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BD425D"/>
    <w:multiLevelType w:val="hybridMultilevel"/>
    <w:tmpl w:val="13CE3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83165"/>
    <w:multiLevelType w:val="multilevel"/>
    <w:tmpl w:val="37F4137E"/>
    <w:lvl w:ilvl="0">
      <w:start w:val="7"/>
      <w:numFmt w:val="decimal"/>
      <w:lvlText w:val="%1.3"/>
      <w:lvlJc w:val="left"/>
      <w:pPr>
        <w:ind w:left="1800" w:hanging="360"/>
      </w:pPr>
      <w:rPr>
        <w:rFonts w:cs="Times New Roman" w:hint="default"/>
        <w:b/>
        <w:bCs/>
        <w:sz w:val="28"/>
      </w:rPr>
    </w:lvl>
    <w:lvl w:ilvl="1">
      <w:start w:val="7"/>
      <w:numFmt w:val="decimal"/>
      <w:lvlText w:val="%2.4"/>
      <w:lvlJc w:val="left"/>
      <w:pPr>
        <w:ind w:left="1648" w:hanging="360"/>
      </w:pPr>
      <w:rPr>
        <w:rFonts w:cs="Times New Roman" w:hint="default"/>
        <w:b/>
        <w:bCs/>
      </w:rPr>
    </w:lvl>
    <w:lvl w:ilvl="2">
      <w:start w:val="7"/>
      <w:numFmt w:val="decimal"/>
      <w:lvlText w:val="7.3.%3."/>
      <w:lvlJc w:val="left"/>
      <w:pPr>
        <w:ind w:left="3240" w:hanging="360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9" w15:restartNumberingAfterBreak="0">
    <w:nsid w:val="67B854BD"/>
    <w:multiLevelType w:val="multilevel"/>
    <w:tmpl w:val="CECC24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9"/>
      <w:numFmt w:val="decimal"/>
      <w:lvlText w:val="%2.1"/>
      <w:lvlJc w:val="left"/>
      <w:pPr>
        <w:ind w:left="1778" w:hanging="360"/>
      </w:pPr>
      <w:rPr>
        <w:rFonts w:hint="default"/>
      </w:rPr>
    </w:lvl>
    <w:lvl w:ilvl="2">
      <w:start w:val="9"/>
      <w:numFmt w:val="decimal"/>
      <w:lvlText w:val="%3.2.2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7112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889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2086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3864" w:hanging="2520"/>
      </w:pPr>
      <w:rPr>
        <w:rFonts w:hint="default"/>
        <w:b w:val="0"/>
        <w:sz w:val="24"/>
      </w:rPr>
    </w:lvl>
  </w:abstractNum>
  <w:abstractNum w:abstractNumId="20" w15:restartNumberingAfterBreak="0">
    <w:nsid w:val="681A0962"/>
    <w:multiLevelType w:val="multilevel"/>
    <w:tmpl w:val="3274E8D8"/>
    <w:lvl w:ilvl="0">
      <w:start w:val="7"/>
      <w:numFmt w:val="decimal"/>
      <w:lvlText w:val="%1.3"/>
      <w:lvlJc w:val="left"/>
      <w:pPr>
        <w:ind w:left="1800" w:hanging="360"/>
      </w:pPr>
      <w:rPr>
        <w:rFonts w:cs="Times New Roman" w:hint="default"/>
        <w:b/>
        <w:bCs/>
        <w:sz w:val="28"/>
      </w:rPr>
    </w:lvl>
    <w:lvl w:ilvl="1">
      <w:start w:val="7"/>
      <w:numFmt w:val="decimal"/>
      <w:lvlText w:val="%2.4"/>
      <w:lvlJc w:val="left"/>
      <w:pPr>
        <w:ind w:left="1648" w:hanging="360"/>
      </w:pPr>
      <w:rPr>
        <w:rFonts w:cs="Times New Roman" w:hint="default"/>
        <w:b/>
        <w:bCs/>
      </w:rPr>
    </w:lvl>
    <w:lvl w:ilvl="2">
      <w:start w:val="1"/>
      <w:numFmt w:val="decimal"/>
      <w:lvlText w:val="7.3.%3."/>
      <w:lvlJc w:val="left"/>
      <w:pPr>
        <w:ind w:left="3240" w:hanging="360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6899125E"/>
    <w:multiLevelType w:val="multilevel"/>
    <w:tmpl w:val="A30817A6"/>
    <w:lvl w:ilvl="0">
      <w:start w:val="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F415F7F"/>
    <w:multiLevelType w:val="hybridMultilevel"/>
    <w:tmpl w:val="8C120D66"/>
    <w:lvl w:ilvl="0" w:tplc="10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 w16cid:durableId="1508444640">
    <w:abstractNumId w:val="13"/>
  </w:num>
  <w:num w:numId="2" w16cid:durableId="576016856">
    <w:abstractNumId w:val="8"/>
  </w:num>
  <w:num w:numId="3" w16cid:durableId="1586304663">
    <w:abstractNumId w:val="9"/>
  </w:num>
  <w:num w:numId="4" w16cid:durableId="1179393374">
    <w:abstractNumId w:val="4"/>
  </w:num>
  <w:num w:numId="5" w16cid:durableId="1584871339">
    <w:abstractNumId w:val="5"/>
  </w:num>
  <w:num w:numId="6" w16cid:durableId="1333878510">
    <w:abstractNumId w:val="16"/>
  </w:num>
  <w:num w:numId="7" w16cid:durableId="1554583561">
    <w:abstractNumId w:val="17"/>
  </w:num>
  <w:num w:numId="8" w16cid:durableId="1906794904">
    <w:abstractNumId w:val="11"/>
  </w:num>
  <w:num w:numId="9" w16cid:durableId="874392297">
    <w:abstractNumId w:val="18"/>
  </w:num>
  <w:num w:numId="10" w16cid:durableId="184055884">
    <w:abstractNumId w:val="15"/>
  </w:num>
  <w:num w:numId="11" w16cid:durableId="376979275">
    <w:abstractNumId w:val="12"/>
  </w:num>
  <w:num w:numId="12" w16cid:durableId="82730083">
    <w:abstractNumId w:val="2"/>
  </w:num>
  <w:num w:numId="13" w16cid:durableId="777406134">
    <w:abstractNumId w:val="22"/>
  </w:num>
  <w:num w:numId="14" w16cid:durableId="1553149776">
    <w:abstractNumId w:val="21"/>
  </w:num>
  <w:num w:numId="15" w16cid:durableId="522133286">
    <w:abstractNumId w:val="10"/>
  </w:num>
  <w:num w:numId="16" w16cid:durableId="2001225557">
    <w:abstractNumId w:val="6"/>
  </w:num>
  <w:num w:numId="17" w16cid:durableId="223372340">
    <w:abstractNumId w:val="19"/>
  </w:num>
  <w:num w:numId="18" w16cid:durableId="323314999">
    <w:abstractNumId w:val="1"/>
  </w:num>
  <w:num w:numId="19" w16cid:durableId="1793665499">
    <w:abstractNumId w:val="3"/>
  </w:num>
  <w:num w:numId="20" w16cid:durableId="446045656">
    <w:abstractNumId w:val="0"/>
  </w:num>
  <w:num w:numId="21" w16cid:durableId="1329820644">
    <w:abstractNumId w:val="14"/>
  </w:num>
  <w:num w:numId="22" w16cid:durableId="1930893691">
    <w:abstractNumId w:val="7"/>
  </w:num>
  <w:num w:numId="23" w16cid:durableId="545996266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12"/>
    <w:rsid w:val="0000480B"/>
    <w:rsid w:val="00005C90"/>
    <w:rsid w:val="00006FEE"/>
    <w:rsid w:val="00014FA4"/>
    <w:rsid w:val="000309CA"/>
    <w:rsid w:val="00040303"/>
    <w:rsid w:val="00047804"/>
    <w:rsid w:val="00047906"/>
    <w:rsid w:val="00052D51"/>
    <w:rsid w:val="00056632"/>
    <w:rsid w:val="00056F37"/>
    <w:rsid w:val="00065B81"/>
    <w:rsid w:val="00070BC9"/>
    <w:rsid w:val="00070E67"/>
    <w:rsid w:val="000A0DD4"/>
    <w:rsid w:val="000A367E"/>
    <w:rsid w:val="000A67F2"/>
    <w:rsid w:val="000B0CE3"/>
    <w:rsid w:val="000B0E18"/>
    <w:rsid w:val="000B2F2D"/>
    <w:rsid w:val="000B3819"/>
    <w:rsid w:val="000C211E"/>
    <w:rsid w:val="000C3A67"/>
    <w:rsid w:val="000D325B"/>
    <w:rsid w:val="000E2747"/>
    <w:rsid w:val="000F6624"/>
    <w:rsid w:val="00106E0D"/>
    <w:rsid w:val="00122CF9"/>
    <w:rsid w:val="00127ED1"/>
    <w:rsid w:val="0015516C"/>
    <w:rsid w:val="001578BA"/>
    <w:rsid w:val="001B0972"/>
    <w:rsid w:val="001B339E"/>
    <w:rsid w:val="001C5C44"/>
    <w:rsid w:val="001D0086"/>
    <w:rsid w:val="001D1E0E"/>
    <w:rsid w:val="001D221A"/>
    <w:rsid w:val="001D247D"/>
    <w:rsid w:val="001D6DB0"/>
    <w:rsid w:val="001E00F1"/>
    <w:rsid w:val="001E7BF5"/>
    <w:rsid w:val="001E7CCD"/>
    <w:rsid w:val="001F19BA"/>
    <w:rsid w:val="001F681A"/>
    <w:rsid w:val="0020661E"/>
    <w:rsid w:val="002205CB"/>
    <w:rsid w:val="0022081E"/>
    <w:rsid w:val="00221BEB"/>
    <w:rsid w:val="00226B82"/>
    <w:rsid w:val="00235296"/>
    <w:rsid w:val="00242407"/>
    <w:rsid w:val="00245450"/>
    <w:rsid w:val="00245FC5"/>
    <w:rsid w:val="00247946"/>
    <w:rsid w:val="00254D66"/>
    <w:rsid w:val="00262595"/>
    <w:rsid w:val="00271CBC"/>
    <w:rsid w:val="0028456A"/>
    <w:rsid w:val="00290F0D"/>
    <w:rsid w:val="00292E3F"/>
    <w:rsid w:val="00294A93"/>
    <w:rsid w:val="0029555D"/>
    <w:rsid w:val="002A3C19"/>
    <w:rsid w:val="002A40EE"/>
    <w:rsid w:val="002A50D2"/>
    <w:rsid w:val="002B4B27"/>
    <w:rsid w:val="002C7297"/>
    <w:rsid w:val="002D3792"/>
    <w:rsid w:val="002E1D3E"/>
    <w:rsid w:val="002E4735"/>
    <w:rsid w:val="002E7B63"/>
    <w:rsid w:val="002E7CBF"/>
    <w:rsid w:val="002E7FFE"/>
    <w:rsid w:val="002F10FC"/>
    <w:rsid w:val="002F5624"/>
    <w:rsid w:val="00304A70"/>
    <w:rsid w:val="00305BEB"/>
    <w:rsid w:val="00310EB5"/>
    <w:rsid w:val="00324891"/>
    <w:rsid w:val="00325AFC"/>
    <w:rsid w:val="00346C9E"/>
    <w:rsid w:val="003501B9"/>
    <w:rsid w:val="0035241F"/>
    <w:rsid w:val="003564B2"/>
    <w:rsid w:val="00363673"/>
    <w:rsid w:val="00365D6E"/>
    <w:rsid w:val="00385743"/>
    <w:rsid w:val="003948B5"/>
    <w:rsid w:val="00395AA7"/>
    <w:rsid w:val="003A7DEA"/>
    <w:rsid w:val="003D3A12"/>
    <w:rsid w:val="003E7FD1"/>
    <w:rsid w:val="003F0F8C"/>
    <w:rsid w:val="00400E68"/>
    <w:rsid w:val="00401455"/>
    <w:rsid w:val="004067B7"/>
    <w:rsid w:val="004126AD"/>
    <w:rsid w:val="00412BEA"/>
    <w:rsid w:val="0043497E"/>
    <w:rsid w:val="00436018"/>
    <w:rsid w:val="0044548A"/>
    <w:rsid w:val="004622B7"/>
    <w:rsid w:val="00473B11"/>
    <w:rsid w:val="0047504D"/>
    <w:rsid w:val="00490278"/>
    <w:rsid w:val="00492094"/>
    <w:rsid w:val="004A3F17"/>
    <w:rsid w:val="004B2415"/>
    <w:rsid w:val="004B7E39"/>
    <w:rsid w:val="004C508D"/>
    <w:rsid w:val="004D2B14"/>
    <w:rsid w:val="004F2EC7"/>
    <w:rsid w:val="004F6C64"/>
    <w:rsid w:val="004F6DE3"/>
    <w:rsid w:val="004F77B2"/>
    <w:rsid w:val="00506CD1"/>
    <w:rsid w:val="00522F5A"/>
    <w:rsid w:val="005249F9"/>
    <w:rsid w:val="005269F4"/>
    <w:rsid w:val="005330EE"/>
    <w:rsid w:val="00536F42"/>
    <w:rsid w:val="00537C12"/>
    <w:rsid w:val="00547C9F"/>
    <w:rsid w:val="005546D5"/>
    <w:rsid w:val="00561447"/>
    <w:rsid w:val="00571BC5"/>
    <w:rsid w:val="00573576"/>
    <w:rsid w:val="00580350"/>
    <w:rsid w:val="00580E91"/>
    <w:rsid w:val="005928F3"/>
    <w:rsid w:val="005A19DE"/>
    <w:rsid w:val="005A1EB1"/>
    <w:rsid w:val="005B2575"/>
    <w:rsid w:val="005B4321"/>
    <w:rsid w:val="005C1420"/>
    <w:rsid w:val="005C2762"/>
    <w:rsid w:val="005C29C2"/>
    <w:rsid w:val="005D0420"/>
    <w:rsid w:val="005D738C"/>
    <w:rsid w:val="005E0CDC"/>
    <w:rsid w:val="005E10EA"/>
    <w:rsid w:val="005E2A67"/>
    <w:rsid w:val="005E437F"/>
    <w:rsid w:val="005E6833"/>
    <w:rsid w:val="005F3874"/>
    <w:rsid w:val="005F4F6F"/>
    <w:rsid w:val="005F60D5"/>
    <w:rsid w:val="0061164C"/>
    <w:rsid w:val="006225DB"/>
    <w:rsid w:val="00624F77"/>
    <w:rsid w:val="0062528B"/>
    <w:rsid w:val="00626755"/>
    <w:rsid w:val="00636DE8"/>
    <w:rsid w:val="006643CB"/>
    <w:rsid w:val="00681BFD"/>
    <w:rsid w:val="00684ACE"/>
    <w:rsid w:val="00690979"/>
    <w:rsid w:val="006A6AB2"/>
    <w:rsid w:val="006A731F"/>
    <w:rsid w:val="006B23CE"/>
    <w:rsid w:val="006B2DD7"/>
    <w:rsid w:val="006B7CA4"/>
    <w:rsid w:val="006C1C4A"/>
    <w:rsid w:val="006D2E83"/>
    <w:rsid w:val="006D7108"/>
    <w:rsid w:val="006E36ED"/>
    <w:rsid w:val="006E77B6"/>
    <w:rsid w:val="00702503"/>
    <w:rsid w:val="007079DA"/>
    <w:rsid w:val="00711340"/>
    <w:rsid w:val="00724F99"/>
    <w:rsid w:val="00732715"/>
    <w:rsid w:val="007442FA"/>
    <w:rsid w:val="00751509"/>
    <w:rsid w:val="0075165C"/>
    <w:rsid w:val="00753DB4"/>
    <w:rsid w:val="007602FB"/>
    <w:rsid w:val="00767BE6"/>
    <w:rsid w:val="0077197A"/>
    <w:rsid w:val="0077308B"/>
    <w:rsid w:val="007741C0"/>
    <w:rsid w:val="007813BD"/>
    <w:rsid w:val="00782F85"/>
    <w:rsid w:val="00786D8C"/>
    <w:rsid w:val="00792120"/>
    <w:rsid w:val="00795B88"/>
    <w:rsid w:val="007C62EC"/>
    <w:rsid w:val="007C7E2D"/>
    <w:rsid w:val="007D13BB"/>
    <w:rsid w:val="007E335E"/>
    <w:rsid w:val="007F670D"/>
    <w:rsid w:val="00801E7F"/>
    <w:rsid w:val="00804350"/>
    <w:rsid w:val="008056A8"/>
    <w:rsid w:val="008248A0"/>
    <w:rsid w:val="00825473"/>
    <w:rsid w:val="0082732F"/>
    <w:rsid w:val="008278DD"/>
    <w:rsid w:val="00830870"/>
    <w:rsid w:val="00833F09"/>
    <w:rsid w:val="0083749D"/>
    <w:rsid w:val="008471EB"/>
    <w:rsid w:val="008500B7"/>
    <w:rsid w:val="00855FAE"/>
    <w:rsid w:val="008568A4"/>
    <w:rsid w:val="0087287A"/>
    <w:rsid w:val="00873616"/>
    <w:rsid w:val="00874259"/>
    <w:rsid w:val="00876B39"/>
    <w:rsid w:val="008858DA"/>
    <w:rsid w:val="00885C6A"/>
    <w:rsid w:val="008913CC"/>
    <w:rsid w:val="00892B37"/>
    <w:rsid w:val="00893C40"/>
    <w:rsid w:val="00895F93"/>
    <w:rsid w:val="008969CE"/>
    <w:rsid w:val="00897367"/>
    <w:rsid w:val="008A54B9"/>
    <w:rsid w:val="008B35D1"/>
    <w:rsid w:val="008B4807"/>
    <w:rsid w:val="008C48E6"/>
    <w:rsid w:val="008D7082"/>
    <w:rsid w:val="008D78A8"/>
    <w:rsid w:val="008E2F52"/>
    <w:rsid w:val="008E3B68"/>
    <w:rsid w:val="008E4DE0"/>
    <w:rsid w:val="008E71DD"/>
    <w:rsid w:val="008E75BF"/>
    <w:rsid w:val="008F28CC"/>
    <w:rsid w:val="008F5C2B"/>
    <w:rsid w:val="008F7AAD"/>
    <w:rsid w:val="009044BE"/>
    <w:rsid w:val="00911BDE"/>
    <w:rsid w:val="00911F2A"/>
    <w:rsid w:val="00914329"/>
    <w:rsid w:val="00917FC1"/>
    <w:rsid w:val="00932A9D"/>
    <w:rsid w:val="009344C6"/>
    <w:rsid w:val="00934FFE"/>
    <w:rsid w:val="00935C26"/>
    <w:rsid w:val="00935EB4"/>
    <w:rsid w:val="00941551"/>
    <w:rsid w:val="00946386"/>
    <w:rsid w:val="009550A6"/>
    <w:rsid w:val="00966BAA"/>
    <w:rsid w:val="009733CC"/>
    <w:rsid w:val="00986543"/>
    <w:rsid w:val="009924F8"/>
    <w:rsid w:val="00995905"/>
    <w:rsid w:val="009B07B5"/>
    <w:rsid w:val="009C1C9B"/>
    <w:rsid w:val="009D02DC"/>
    <w:rsid w:val="009D3718"/>
    <w:rsid w:val="009D38DE"/>
    <w:rsid w:val="009D6FBF"/>
    <w:rsid w:val="009E1021"/>
    <w:rsid w:val="009E1E51"/>
    <w:rsid w:val="00A061A8"/>
    <w:rsid w:val="00A13AB7"/>
    <w:rsid w:val="00A1466A"/>
    <w:rsid w:val="00A1482D"/>
    <w:rsid w:val="00A25817"/>
    <w:rsid w:val="00A367A0"/>
    <w:rsid w:val="00A40845"/>
    <w:rsid w:val="00A445B3"/>
    <w:rsid w:val="00A51E0B"/>
    <w:rsid w:val="00A547AD"/>
    <w:rsid w:val="00A57C4D"/>
    <w:rsid w:val="00A74BF8"/>
    <w:rsid w:val="00A760D9"/>
    <w:rsid w:val="00A84C90"/>
    <w:rsid w:val="00A86105"/>
    <w:rsid w:val="00A86929"/>
    <w:rsid w:val="00A945E7"/>
    <w:rsid w:val="00A95112"/>
    <w:rsid w:val="00AB1C4E"/>
    <w:rsid w:val="00AC3B9F"/>
    <w:rsid w:val="00AC4F2B"/>
    <w:rsid w:val="00AD0C76"/>
    <w:rsid w:val="00AE0CEB"/>
    <w:rsid w:val="00AE6D64"/>
    <w:rsid w:val="00AE77C2"/>
    <w:rsid w:val="00B032C6"/>
    <w:rsid w:val="00B22F50"/>
    <w:rsid w:val="00B26EC1"/>
    <w:rsid w:val="00B3006F"/>
    <w:rsid w:val="00B31162"/>
    <w:rsid w:val="00B32666"/>
    <w:rsid w:val="00B33B4E"/>
    <w:rsid w:val="00B33F8C"/>
    <w:rsid w:val="00B35913"/>
    <w:rsid w:val="00B41CB1"/>
    <w:rsid w:val="00B44D6C"/>
    <w:rsid w:val="00B47339"/>
    <w:rsid w:val="00B4767D"/>
    <w:rsid w:val="00B50077"/>
    <w:rsid w:val="00B50FA0"/>
    <w:rsid w:val="00B563F3"/>
    <w:rsid w:val="00B56A0B"/>
    <w:rsid w:val="00B61CE9"/>
    <w:rsid w:val="00B7426A"/>
    <w:rsid w:val="00B74A28"/>
    <w:rsid w:val="00B770B6"/>
    <w:rsid w:val="00B91E96"/>
    <w:rsid w:val="00B9414A"/>
    <w:rsid w:val="00B97A4F"/>
    <w:rsid w:val="00BA09D5"/>
    <w:rsid w:val="00BA0F77"/>
    <w:rsid w:val="00BA245A"/>
    <w:rsid w:val="00BA4872"/>
    <w:rsid w:val="00BA55B9"/>
    <w:rsid w:val="00BA7D09"/>
    <w:rsid w:val="00BC7960"/>
    <w:rsid w:val="00BC7E7E"/>
    <w:rsid w:val="00BD54B9"/>
    <w:rsid w:val="00C134C0"/>
    <w:rsid w:val="00C16775"/>
    <w:rsid w:val="00C20E52"/>
    <w:rsid w:val="00C2150F"/>
    <w:rsid w:val="00C27DCE"/>
    <w:rsid w:val="00C3742E"/>
    <w:rsid w:val="00C37757"/>
    <w:rsid w:val="00C40668"/>
    <w:rsid w:val="00C46F69"/>
    <w:rsid w:val="00C5317E"/>
    <w:rsid w:val="00C61499"/>
    <w:rsid w:val="00C665EC"/>
    <w:rsid w:val="00C8423A"/>
    <w:rsid w:val="00C92595"/>
    <w:rsid w:val="00C93863"/>
    <w:rsid w:val="00C96AAD"/>
    <w:rsid w:val="00CB5F24"/>
    <w:rsid w:val="00CB6CD1"/>
    <w:rsid w:val="00CC3A6B"/>
    <w:rsid w:val="00CD444B"/>
    <w:rsid w:val="00CD44E3"/>
    <w:rsid w:val="00CE1906"/>
    <w:rsid w:val="00CE59F3"/>
    <w:rsid w:val="00CE70E5"/>
    <w:rsid w:val="00D0250C"/>
    <w:rsid w:val="00D02C7D"/>
    <w:rsid w:val="00D055DC"/>
    <w:rsid w:val="00D05AEA"/>
    <w:rsid w:val="00D2169E"/>
    <w:rsid w:val="00D346E8"/>
    <w:rsid w:val="00D40AFD"/>
    <w:rsid w:val="00D52748"/>
    <w:rsid w:val="00D55AD3"/>
    <w:rsid w:val="00D85C73"/>
    <w:rsid w:val="00D87877"/>
    <w:rsid w:val="00D90F1A"/>
    <w:rsid w:val="00D91F12"/>
    <w:rsid w:val="00D95FF3"/>
    <w:rsid w:val="00D96ED4"/>
    <w:rsid w:val="00DB00BA"/>
    <w:rsid w:val="00DB665C"/>
    <w:rsid w:val="00DC1C17"/>
    <w:rsid w:val="00DC1CE2"/>
    <w:rsid w:val="00DC5C95"/>
    <w:rsid w:val="00DC6FEC"/>
    <w:rsid w:val="00DD28D1"/>
    <w:rsid w:val="00DE25CE"/>
    <w:rsid w:val="00DF0F3B"/>
    <w:rsid w:val="00DF178E"/>
    <w:rsid w:val="00E0062E"/>
    <w:rsid w:val="00E0618E"/>
    <w:rsid w:val="00E1651B"/>
    <w:rsid w:val="00E1744E"/>
    <w:rsid w:val="00E20604"/>
    <w:rsid w:val="00E21DEA"/>
    <w:rsid w:val="00E31522"/>
    <w:rsid w:val="00E32B2A"/>
    <w:rsid w:val="00E36764"/>
    <w:rsid w:val="00E37CA8"/>
    <w:rsid w:val="00E407CC"/>
    <w:rsid w:val="00E529E2"/>
    <w:rsid w:val="00E54C03"/>
    <w:rsid w:val="00E571E6"/>
    <w:rsid w:val="00E63DA0"/>
    <w:rsid w:val="00E653D5"/>
    <w:rsid w:val="00E769CF"/>
    <w:rsid w:val="00E80546"/>
    <w:rsid w:val="00E95AF0"/>
    <w:rsid w:val="00EA44D4"/>
    <w:rsid w:val="00EA49DA"/>
    <w:rsid w:val="00EA63FB"/>
    <w:rsid w:val="00EB132C"/>
    <w:rsid w:val="00EC41C1"/>
    <w:rsid w:val="00EC45F6"/>
    <w:rsid w:val="00EE04BE"/>
    <w:rsid w:val="00EE0D0C"/>
    <w:rsid w:val="00EE233E"/>
    <w:rsid w:val="00EE3E5E"/>
    <w:rsid w:val="00EE4F14"/>
    <w:rsid w:val="00EE7B57"/>
    <w:rsid w:val="00EF3192"/>
    <w:rsid w:val="00EF76D3"/>
    <w:rsid w:val="00F0185E"/>
    <w:rsid w:val="00F03777"/>
    <w:rsid w:val="00F07569"/>
    <w:rsid w:val="00F16730"/>
    <w:rsid w:val="00F21FCE"/>
    <w:rsid w:val="00F32017"/>
    <w:rsid w:val="00F33F3D"/>
    <w:rsid w:val="00F474BC"/>
    <w:rsid w:val="00F54128"/>
    <w:rsid w:val="00F65AC3"/>
    <w:rsid w:val="00F732CB"/>
    <w:rsid w:val="00F777CD"/>
    <w:rsid w:val="00F958B9"/>
    <w:rsid w:val="00FA20DB"/>
    <w:rsid w:val="00FA5048"/>
    <w:rsid w:val="00FA5059"/>
    <w:rsid w:val="00FB097F"/>
    <w:rsid w:val="00FB1C87"/>
    <w:rsid w:val="00FB3DB0"/>
    <w:rsid w:val="00FB47DE"/>
    <w:rsid w:val="00FD3D09"/>
    <w:rsid w:val="00FD6B24"/>
    <w:rsid w:val="00FE39BC"/>
    <w:rsid w:val="00FE3C8B"/>
    <w:rsid w:val="00FE6B33"/>
    <w:rsid w:val="066588F1"/>
    <w:rsid w:val="317C9040"/>
    <w:rsid w:val="33181C20"/>
    <w:rsid w:val="359395E3"/>
    <w:rsid w:val="39DE7F03"/>
    <w:rsid w:val="3F667057"/>
    <w:rsid w:val="5F9EFA94"/>
    <w:rsid w:val="60382B0B"/>
    <w:rsid w:val="6BB7F2AE"/>
    <w:rsid w:val="7075B756"/>
    <w:rsid w:val="71F0F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C4A57"/>
  <w15:chartTrackingRefBased/>
  <w15:docId w15:val="{9F9181CD-0285-45CB-86E5-D67FE484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B97A4F"/>
    <w:pPr>
      <w:keepNext/>
      <w:outlineLvl w:val="0"/>
    </w:pPr>
    <w:rPr>
      <w:rFonts w:ascii="Arial" w:hAnsi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40"/>
      <w:outlineLvl w:val="1"/>
    </w:pPr>
    <w:rPr>
      <w:rFonts w:ascii="Verdana" w:hAnsi="Verdana"/>
      <w:snapToGrid w:val="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40"/>
      <w:outlineLvl w:val="3"/>
    </w:pPr>
    <w:rPr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customStyle="1" w:styleId="NormalBold">
    <w:name w:val="Normal Bold"/>
    <w:basedOn w:val="Normal"/>
    <w:rPr>
      <w:b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A51E0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51E0B"/>
    <w:rPr>
      <w:rFonts w:ascii="Tahoma" w:hAnsi="Tahoma" w:cs="Tahoma"/>
      <w:kern w:val="24"/>
      <w:sz w:val="16"/>
      <w:szCs w:val="16"/>
    </w:rPr>
  </w:style>
  <w:style w:type="character" w:styleId="CommentReference">
    <w:name w:val="annotation reference"/>
    <w:rsid w:val="00A51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E0B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A51E0B"/>
    <w:rPr>
      <w:rFonts w:ascii="Georgia" w:hAnsi="Georgia"/>
      <w:kern w:val="24"/>
    </w:rPr>
  </w:style>
  <w:style w:type="paragraph" w:styleId="CommentSubject">
    <w:name w:val="annotation subject"/>
    <w:basedOn w:val="CommentText"/>
    <w:next w:val="CommentText"/>
    <w:link w:val="CommentSubjectChar"/>
    <w:rsid w:val="00A51E0B"/>
    <w:rPr>
      <w:b/>
      <w:bCs/>
    </w:rPr>
  </w:style>
  <w:style w:type="character" w:customStyle="1" w:styleId="CommentSubjectChar">
    <w:name w:val="Comment Subject Char"/>
    <w:link w:val="CommentSubject"/>
    <w:rsid w:val="00A51E0B"/>
    <w:rPr>
      <w:rFonts w:ascii="Georgia" w:hAnsi="Georgia"/>
      <w:b/>
      <w:bCs/>
      <w:kern w:val="24"/>
    </w:rPr>
  </w:style>
  <w:style w:type="character" w:styleId="Hyperlink">
    <w:name w:val="Hyperlink"/>
    <w:rsid w:val="002B4B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2FB"/>
    <w:pPr>
      <w:ind w:left="720"/>
    </w:pPr>
  </w:style>
  <w:style w:type="table" w:styleId="TableGrid">
    <w:name w:val="Table Grid"/>
    <w:basedOn w:val="TableNormal"/>
    <w:rsid w:val="00A4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546D5"/>
    <w:rPr>
      <w:rFonts w:ascii="Georgia" w:hAnsi="Georgia"/>
      <w:kern w:val="24"/>
      <w:sz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5C2762"/>
    <w:rPr>
      <w:color w:val="605E5C"/>
      <w:shd w:val="clear" w:color="auto" w:fill="E1DFDD"/>
    </w:rPr>
  </w:style>
  <w:style w:type="character" w:styleId="FollowedHyperlink">
    <w:name w:val="FollowedHyperlink"/>
    <w:rsid w:val="002E4735"/>
    <w:rPr>
      <w:color w:val="954F72"/>
      <w:u w:val="single"/>
    </w:rPr>
  </w:style>
  <w:style w:type="character" w:customStyle="1" w:styleId="ui-provider">
    <w:name w:val="ui-provider"/>
    <w:basedOn w:val="DefaultParagraphFont"/>
    <w:rsid w:val="00D0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ew.officeapps.live.com/op/view.aspx?src=https%3A%2F%2Ftransfusionontario.org%2Fwp-content%2Fuploads%2F2020%2F06%2FQCA.020-Medical-Director-Consultation-Protocol-final.docx&amp;wdOrigin=BROWSELINK" TargetMode="External"/><Relationship Id="rId18" Type="http://schemas.openxmlformats.org/officeDocument/2006/relationships/hyperlink" Target="https://professionaleducation.blood.ca/sites/default/files/VAG_en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view.officeapps.live.com/op/view.aspx?src=https%3A%2F%2Ftransfusionontario.org%2Fwp-content%2Fuploads%2F2020%2F08%2FCSP.001-Selection-of-Blood-Components-for-Transfusion.docx&amp;wdOrigin=BROWSELINK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ew.officeapps.live.com/op/view.aspx?src=https%3A%2F%2Ftransfusionontario.org%2Fwp-content%2Fuploads%2F2020%2F07%2FIM.005-Final-Disposition-of-Blood-Blood-Components-and-Other-Related-Products-Not-Suitable-for-Transfusion-Manual-Procedure.docx&amp;wdOrigin=BROWSELIN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professionaleducation.blood.ca/en/transfusion/best-practices/visual-assessment-guide%2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BCO%20Template%20for%20preparing%20Web%20docu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d258ae-2223-40eb-8411-918d52e3f470">
      <Terms xmlns="http://schemas.microsoft.com/office/infopath/2007/PartnerControls"/>
    </lcf76f155ced4ddcb4097134ff3c332f>
    <TaxCatchAll xmlns="c9a900f3-deef-47d2-82cb-44043b12f5d0" xsi:nil="true"/>
    <MediaLengthInSeconds xmlns="ded258ae-2223-40eb-8411-918d52e3f470" xsi:nil="true"/>
    <SharedWithUsers xmlns="c9a900f3-deef-47d2-82cb-44043b12f5d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2433FE2E8E41AA327EDD1622EDC9" ma:contentTypeVersion="16" ma:contentTypeDescription="Create a new document." ma:contentTypeScope="" ma:versionID="a0fbd5d17b329281fef0acf583f8239f">
  <xsd:schema xmlns:xsd="http://www.w3.org/2001/XMLSchema" xmlns:xs="http://www.w3.org/2001/XMLSchema" xmlns:p="http://schemas.microsoft.com/office/2006/metadata/properties" xmlns:ns2="ded258ae-2223-40eb-8411-918d52e3f470" xmlns:ns3="c9a900f3-deef-47d2-82cb-44043b12f5d0" targetNamespace="http://schemas.microsoft.com/office/2006/metadata/properties" ma:root="true" ma:fieldsID="689015f5a1ef35933a6c7917eb961d8a" ns2:_="" ns3:_="">
    <xsd:import namespace="ded258ae-2223-40eb-8411-918d52e3f470"/>
    <xsd:import namespace="c9a900f3-deef-47d2-82cb-44043b12f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258ae-2223-40eb-8411-918d52e3f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3b5efa-92df-47b6-aa84-1af354540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00f3-deef-47d2-82cb-44043b12f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12c6d1-52e8-4d49-a5da-63f8701b5060}" ma:internalName="TaxCatchAll" ma:showField="CatchAllData" ma:web="c9a900f3-deef-47d2-82cb-44043b12f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780D-0DD5-4534-82D0-A696BB4F5D25}">
  <ds:schemaRefs>
    <ds:schemaRef ds:uri="http://schemas.microsoft.com/office/2006/metadata/properties"/>
    <ds:schemaRef ds:uri="http://schemas.microsoft.com/office/infopath/2007/PartnerControls"/>
    <ds:schemaRef ds:uri="ded258ae-2223-40eb-8411-918d52e3f470"/>
    <ds:schemaRef ds:uri="c9a900f3-deef-47d2-82cb-44043b12f5d0"/>
  </ds:schemaRefs>
</ds:datastoreItem>
</file>

<file path=customXml/itemProps2.xml><?xml version="1.0" encoding="utf-8"?>
<ds:datastoreItem xmlns:ds="http://schemas.openxmlformats.org/officeDocument/2006/customXml" ds:itemID="{490DA662-ACC7-4BEE-9172-8C67A1F43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258ae-2223-40eb-8411-918d52e3f470"/>
    <ds:schemaRef ds:uri="c9a900f3-deef-47d2-82cb-44043b12f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89B40-E167-44D1-82AF-D8F3F67540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7D538B-B353-4C93-906A-018223B5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documents</Template>
  <TotalTime>2669</TotalTime>
  <Pages>6</Pages>
  <Words>1136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IM.003 - Visual Inspection of Blood, Blood Components and Fractionated Products</vt:lpstr>
    </vt:vector>
  </TitlesOfParts>
  <Company>The Ottawa Hospital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Transfusion Ontario Program Office</dc:creator>
  <cp:keywords/>
  <cp:lastModifiedBy>Emma Greening</cp:lastModifiedBy>
  <cp:revision>18</cp:revision>
  <cp:lastPrinted>2004-03-20T06:51:00Z</cp:lastPrinted>
  <dcterms:created xsi:type="dcterms:W3CDTF">2023-06-21T23:50:00Z</dcterms:created>
  <dcterms:modified xsi:type="dcterms:W3CDTF">2023-11-09T12:52:00Z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0x01010087C02433FE2E8E41AA327EDD1622EDC9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