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2F" w:rsidRDefault="002A142F" w:rsidP="002A142F">
      <w:pPr>
        <w:numPr>
          <w:ilvl w:val="0"/>
          <w:numId w:val="26"/>
        </w:numPr>
        <w:ind w:left="709" w:hanging="709"/>
        <w:rPr>
          <w:rFonts w:ascii="Arial" w:hAnsi="Arial"/>
          <w:b/>
          <w:sz w:val="28"/>
        </w:rPr>
      </w:pPr>
      <w:r w:rsidRPr="002A142F">
        <w:rPr>
          <w:rFonts w:ascii="Arial" w:hAnsi="Arial"/>
          <w:b/>
          <w:sz w:val="28"/>
        </w:rPr>
        <w:t>Principle</w:t>
      </w:r>
    </w:p>
    <w:p w:rsidR="002A142F" w:rsidRDefault="002A142F" w:rsidP="002A142F">
      <w:pPr>
        <w:ind w:left="709"/>
        <w:rPr>
          <w:rFonts w:ascii="Arial" w:hAnsi="Arial"/>
          <w:b/>
          <w:sz w:val="28"/>
        </w:rPr>
      </w:pPr>
    </w:p>
    <w:p w:rsidR="002A142F" w:rsidRDefault="002A142F" w:rsidP="002A142F">
      <w:pPr>
        <w:ind w:left="709"/>
        <w:rPr>
          <w:rFonts w:ascii="Arial" w:hAnsi="Arial"/>
          <w:b/>
          <w:sz w:val="28"/>
        </w:rPr>
      </w:pPr>
      <w:r w:rsidRPr="002A142F">
        <w:rPr>
          <w:rFonts w:ascii="Arial" w:hAnsi="Arial"/>
        </w:rPr>
        <w:t xml:space="preserve">To receive blood, blood components and plasma protein products into inventory, including the receipt of inter-hospital exchange for inventory and blood products transported with a patient. </w:t>
      </w:r>
    </w:p>
    <w:p w:rsidR="002A142F" w:rsidRDefault="002A142F" w:rsidP="002A142F">
      <w:pPr>
        <w:ind w:left="709"/>
        <w:rPr>
          <w:rFonts w:ascii="Arial" w:hAnsi="Arial"/>
          <w:b/>
          <w:sz w:val="28"/>
        </w:rPr>
      </w:pPr>
    </w:p>
    <w:p w:rsidR="00B56ADF" w:rsidRDefault="002A142F" w:rsidP="002A142F">
      <w:pPr>
        <w:ind w:left="709"/>
        <w:rPr>
          <w:rFonts w:ascii="Arial" w:hAnsi="Arial"/>
        </w:rPr>
      </w:pPr>
      <w:proofErr w:type="gramStart"/>
      <w:r w:rsidRPr="002A142F">
        <w:rPr>
          <w:rFonts w:ascii="Arial" w:hAnsi="Arial"/>
        </w:rPr>
        <w:t>To provide an accurate record of the receipt of blood components and plasma protein products.</w:t>
      </w:r>
      <w:proofErr w:type="gramEnd"/>
    </w:p>
    <w:p w:rsidR="002A142F" w:rsidRDefault="002A142F" w:rsidP="002A142F">
      <w:pPr>
        <w:rPr>
          <w:rFonts w:ascii="Arial" w:hAnsi="Arial"/>
          <w:b/>
          <w:sz w:val="28"/>
        </w:rPr>
      </w:pPr>
    </w:p>
    <w:p w:rsidR="002A142F" w:rsidRDefault="002A142F" w:rsidP="002A142F">
      <w:pPr>
        <w:numPr>
          <w:ilvl w:val="0"/>
          <w:numId w:val="26"/>
        </w:numPr>
        <w:ind w:left="709" w:hanging="709"/>
        <w:rPr>
          <w:rFonts w:ascii="Arial" w:hAnsi="Arial"/>
          <w:b/>
          <w:sz w:val="28"/>
        </w:rPr>
      </w:pPr>
      <w:r w:rsidRPr="002A142F">
        <w:rPr>
          <w:rFonts w:ascii="Arial" w:hAnsi="Arial"/>
          <w:b/>
          <w:sz w:val="28"/>
        </w:rPr>
        <w:t>Scope and Related Policies</w:t>
      </w:r>
    </w:p>
    <w:p w:rsidR="002A142F" w:rsidRPr="002A142F" w:rsidRDefault="002A142F" w:rsidP="002A142F">
      <w:pPr>
        <w:ind w:left="1080"/>
        <w:rPr>
          <w:rFonts w:ascii="Arial" w:hAnsi="Arial"/>
          <w:b/>
          <w:sz w:val="28"/>
        </w:rPr>
      </w:pPr>
    </w:p>
    <w:p w:rsidR="002A142F" w:rsidRDefault="002A142F" w:rsidP="002A142F">
      <w:pPr>
        <w:numPr>
          <w:ilvl w:val="1"/>
          <w:numId w:val="26"/>
        </w:numPr>
        <w:ind w:left="1418" w:hanging="709"/>
        <w:rPr>
          <w:rFonts w:ascii="Arial" w:hAnsi="Arial"/>
        </w:rPr>
      </w:pPr>
      <w:r w:rsidRPr="002A142F">
        <w:rPr>
          <w:rFonts w:ascii="Arial" w:hAnsi="Arial"/>
        </w:rPr>
        <w:t>Blood components and blood products shall be transported in a manner that prevents damage or deterioration.</w:t>
      </w:r>
    </w:p>
    <w:p w:rsidR="002A142F" w:rsidRDefault="002A142F" w:rsidP="002A142F">
      <w:pPr>
        <w:ind w:left="1418"/>
        <w:rPr>
          <w:rFonts w:ascii="Arial" w:hAnsi="Arial"/>
        </w:rPr>
      </w:pPr>
    </w:p>
    <w:p w:rsidR="002A142F" w:rsidRDefault="002A142F" w:rsidP="002A142F">
      <w:pPr>
        <w:numPr>
          <w:ilvl w:val="1"/>
          <w:numId w:val="26"/>
        </w:numPr>
        <w:ind w:left="1418" w:hanging="709"/>
        <w:rPr>
          <w:rFonts w:ascii="Arial" w:hAnsi="Arial"/>
        </w:rPr>
      </w:pPr>
      <w:r w:rsidRPr="002A142F">
        <w:rPr>
          <w:rFonts w:ascii="Arial" w:hAnsi="Arial"/>
        </w:rPr>
        <w:t>Discontinuation of platelet agitation during transportation shall not  exceed 24 hours as per the blood supplier’s recommendation.</w:t>
      </w:r>
      <w:r w:rsidRPr="002A142F">
        <w:rPr>
          <w:rFonts w:ascii="Arial" w:hAnsi="Arial"/>
          <w:vertAlign w:val="superscript"/>
        </w:rPr>
        <w:t>9.1</w:t>
      </w:r>
    </w:p>
    <w:p w:rsidR="002A142F" w:rsidRDefault="002A142F" w:rsidP="002A142F">
      <w:pPr>
        <w:ind w:left="1418"/>
        <w:rPr>
          <w:rFonts w:ascii="Arial" w:hAnsi="Arial"/>
        </w:rPr>
      </w:pPr>
    </w:p>
    <w:p w:rsidR="002A142F" w:rsidRDefault="002A142F" w:rsidP="002A142F">
      <w:pPr>
        <w:numPr>
          <w:ilvl w:val="1"/>
          <w:numId w:val="26"/>
        </w:numPr>
        <w:ind w:left="1418" w:hanging="709"/>
        <w:rPr>
          <w:rFonts w:ascii="Arial" w:hAnsi="Arial"/>
        </w:rPr>
      </w:pPr>
      <w:r w:rsidRPr="002A142F">
        <w:rPr>
          <w:rFonts w:ascii="Arial" w:hAnsi="Arial"/>
        </w:rPr>
        <w:t>All packing slips (issue vouchers) must be checked against the actual blood components and blood products received to ensure the accuracy of the information. The blood supplier (or shipping facility) should be notified of any discrepancies.</w:t>
      </w:r>
    </w:p>
    <w:p w:rsidR="002A142F" w:rsidRDefault="002A142F" w:rsidP="002A142F">
      <w:pPr>
        <w:ind w:left="1418"/>
        <w:rPr>
          <w:rFonts w:ascii="Arial" w:hAnsi="Arial"/>
        </w:rPr>
      </w:pPr>
    </w:p>
    <w:p w:rsidR="002A142F" w:rsidRDefault="002A142F" w:rsidP="002A142F">
      <w:pPr>
        <w:numPr>
          <w:ilvl w:val="1"/>
          <w:numId w:val="26"/>
        </w:numPr>
        <w:ind w:left="1418" w:hanging="709"/>
        <w:rPr>
          <w:rFonts w:ascii="Arial" w:hAnsi="Arial"/>
        </w:rPr>
      </w:pPr>
      <w:r w:rsidRPr="002A142F">
        <w:rPr>
          <w:rFonts w:ascii="Arial" w:hAnsi="Arial"/>
        </w:rPr>
        <w:t>After verification, all shipping documents (e.g. packing slips, inter-hospital exchange forms, etc.) shall be initialed and the date and time recorded by the person receiving the shipment. A copy of the shipping document (for plasma protein products only) is returned to the blood supplier. Hospital staff shall sign for all deliveries by the blood supplier. All shipments by air, bus o</w:t>
      </w:r>
      <w:r>
        <w:rPr>
          <w:rFonts w:ascii="Arial" w:hAnsi="Arial"/>
        </w:rPr>
        <w:t>r courier should have a waybill.</w:t>
      </w:r>
    </w:p>
    <w:p w:rsidR="002A142F" w:rsidRDefault="002A142F" w:rsidP="002A142F">
      <w:pPr>
        <w:rPr>
          <w:rFonts w:ascii="Arial" w:hAnsi="Arial"/>
        </w:rPr>
      </w:pPr>
    </w:p>
    <w:p w:rsidR="00CE6E2D" w:rsidRDefault="002A142F" w:rsidP="002A142F">
      <w:pPr>
        <w:numPr>
          <w:ilvl w:val="1"/>
          <w:numId w:val="26"/>
        </w:numPr>
        <w:ind w:left="1418" w:hanging="709"/>
        <w:rPr>
          <w:rFonts w:ascii="Arial" w:hAnsi="Arial"/>
        </w:rPr>
      </w:pPr>
      <w:r w:rsidRPr="002A142F">
        <w:rPr>
          <w:rFonts w:ascii="Arial" w:hAnsi="Arial"/>
        </w:rPr>
        <w:t xml:space="preserve">Blood components and blood products shall be inspected for abnormal appearance and date of expiry upon receipt by the TS.  Blood components and products not passing inspection shall be </w:t>
      </w:r>
    </w:p>
    <w:p w:rsidR="00CE6E2D" w:rsidRDefault="00CE6E2D" w:rsidP="00CE6E2D">
      <w:pPr>
        <w:pStyle w:val="ListParagraph"/>
        <w:rPr>
          <w:rFonts w:ascii="Arial" w:hAnsi="Arial"/>
        </w:rPr>
      </w:pPr>
    </w:p>
    <w:p w:rsidR="002A142F" w:rsidRDefault="002A142F" w:rsidP="00CE6E2D">
      <w:pPr>
        <w:ind w:left="1418"/>
        <w:rPr>
          <w:rFonts w:ascii="Arial" w:hAnsi="Arial"/>
        </w:rPr>
      </w:pPr>
      <w:proofErr w:type="gramStart"/>
      <w:r w:rsidRPr="002A142F">
        <w:rPr>
          <w:rFonts w:ascii="Arial" w:hAnsi="Arial"/>
        </w:rPr>
        <w:t>quarantined</w:t>
      </w:r>
      <w:proofErr w:type="gramEnd"/>
      <w:r w:rsidRPr="002A142F">
        <w:rPr>
          <w:rFonts w:ascii="Arial" w:hAnsi="Arial"/>
        </w:rPr>
        <w:t xml:space="preserve"> until appropriate disposition is determined. The process must be documented and the shipper informed.</w:t>
      </w:r>
      <w:r w:rsidRPr="002A142F">
        <w:rPr>
          <w:rFonts w:ascii="Arial" w:hAnsi="Arial"/>
          <w:vertAlign w:val="superscript"/>
        </w:rPr>
        <w:t>9.1</w:t>
      </w:r>
    </w:p>
    <w:p w:rsidR="002A142F" w:rsidRDefault="002A142F" w:rsidP="002A142F">
      <w:pPr>
        <w:ind w:left="1418"/>
        <w:rPr>
          <w:rFonts w:ascii="Arial" w:hAnsi="Arial"/>
        </w:rPr>
      </w:pPr>
    </w:p>
    <w:p w:rsidR="002A142F" w:rsidRDefault="002A142F" w:rsidP="002A142F">
      <w:pPr>
        <w:numPr>
          <w:ilvl w:val="1"/>
          <w:numId w:val="26"/>
        </w:numPr>
        <w:ind w:left="1418" w:hanging="709"/>
        <w:rPr>
          <w:rFonts w:ascii="Arial" w:hAnsi="Arial"/>
        </w:rPr>
      </w:pPr>
      <w:r w:rsidRPr="002A142F">
        <w:rPr>
          <w:rFonts w:ascii="Arial" w:hAnsi="Arial"/>
        </w:rPr>
        <w:t>A process shall be established to maintain traceability of all blood components and blood products from the issuing facility to the final disposition at the receiving facility.</w:t>
      </w:r>
      <w:r w:rsidRPr="002A142F">
        <w:rPr>
          <w:rFonts w:ascii="Arial" w:hAnsi="Arial"/>
          <w:vertAlign w:val="superscript"/>
        </w:rPr>
        <w:t>9.1</w:t>
      </w:r>
      <w:r w:rsidRPr="002A142F">
        <w:rPr>
          <w:rFonts w:ascii="Arial" w:hAnsi="Arial"/>
        </w:rPr>
        <w:t xml:space="preserve"> See Procedural Notes 8.4.</w:t>
      </w:r>
    </w:p>
    <w:p w:rsidR="002A142F" w:rsidRDefault="002A142F" w:rsidP="002A142F">
      <w:pPr>
        <w:ind w:left="1418"/>
        <w:rPr>
          <w:rFonts w:ascii="Arial" w:hAnsi="Arial"/>
        </w:rPr>
      </w:pPr>
    </w:p>
    <w:p w:rsidR="002A142F" w:rsidRDefault="002A142F" w:rsidP="002A142F">
      <w:pPr>
        <w:numPr>
          <w:ilvl w:val="1"/>
          <w:numId w:val="26"/>
        </w:numPr>
        <w:ind w:left="1418" w:hanging="709"/>
        <w:rPr>
          <w:rFonts w:ascii="Arial" w:hAnsi="Arial"/>
        </w:rPr>
      </w:pPr>
      <w:r w:rsidRPr="002A142F">
        <w:rPr>
          <w:rFonts w:ascii="Arial" w:hAnsi="Arial"/>
        </w:rPr>
        <w:t>The temperature of red cell units should ideally be 1°C to 6°C during transportation, but temperatures up to 10°C are acceptable. Products/components requiring room temperature (20-24°C) storage must be shipped at 20-24°C. Frozen products must be shipped to ensure a frozen state is maintained. See QCA.009 - Temperature Check of Blood and Blood Components. Products outside this range must not be used unless authorized by the TS Medical Director or designate. This authorization must be documented.</w:t>
      </w:r>
    </w:p>
    <w:p w:rsidR="002A142F" w:rsidRDefault="002A142F" w:rsidP="002A142F">
      <w:pPr>
        <w:ind w:left="1418"/>
        <w:rPr>
          <w:rFonts w:ascii="Arial" w:hAnsi="Arial"/>
        </w:rPr>
      </w:pPr>
    </w:p>
    <w:p w:rsidR="002A142F" w:rsidRPr="002A142F" w:rsidRDefault="002A142F" w:rsidP="002A142F">
      <w:pPr>
        <w:numPr>
          <w:ilvl w:val="1"/>
          <w:numId w:val="26"/>
        </w:numPr>
        <w:ind w:left="1418" w:hanging="709"/>
        <w:rPr>
          <w:rFonts w:ascii="Arial" w:hAnsi="Arial"/>
        </w:rPr>
      </w:pPr>
      <w:r w:rsidRPr="002A142F">
        <w:rPr>
          <w:rFonts w:ascii="Arial" w:hAnsi="Arial"/>
        </w:rPr>
        <w:t>An identifiable segment from the donor unit of all transfused red cells shall be stored at 1-6</w:t>
      </w:r>
      <w:r w:rsidR="00CE6E2D">
        <w:rPr>
          <w:rFonts w:ascii="Arial" w:hAnsi="Arial" w:cs="Arial"/>
        </w:rPr>
        <w:t>º</w:t>
      </w:r>
      <w:r w:rsidRPr="002A142F">
        <w:rPr>
          <w:rFonts w:ascii="Arial" w:hAnsi="Arial"/>
        </w:rPr>
        <w:t>C for at least 7 days after transfusion.</w:t>
      </w:r>
      <w:r w:rsidRPr="002A142F">
        <w:rPr>
          <w:rFonts w:ascii="Arial" w:hAnsi="Arial"/>
          <w:vertAlign w:val="superscript"/>
        </w:rPr>
        <w:t>9.1</w:t>
      </w:r>
    </w:p>
    <w:p w:rsidR="002A142F" w:rsidRDefault="002A142F">
      <w:pPr>
        <w:rPr>
          <w:rFonts w:ascii="Arial" w:hAnsi="Arial"/>
        </w:rPr>
      </w:pPr>
    </w:p>
    <w:p w:rsidR="002A142F" w:rsidRDefault="002A142F" w:rsidP="002A142F">
      <w:pPr>
        <w:numPr>
          <w:ilvl w:val="0"/>
          <w:numId w:val="26"/>
        </w:numPr>
        <w:ind w:left="709" w:hanging="709"/>
        <w:rPr>
          <w:rFonts w:ascii="Arial" w:hAnsi="Arial"/>
          <w:b/>
          <w:sz w:val="28"/>
        </w:rPr>
      </w:pPr>
      <w:r w:rsidRPr="002A142F">
        <w:rPr>
          <w:rFonts w:ascii="Arial" w:hAnsi="Arial"/>
          <w:b/>
          <w:sz w:val="28"/>
        </w:rPr>
        <w:t>Specimens – N/A</w:t>
      </w:r>
    </w:p>
    <w:p w:rsidR="002A142F" w:rsidRDefault="002A142F" w:rsidP="002A142F">
      <w:pPr>
        <w:ind w:left="709"/>
        <w:rPr>
          <w:rFonts w:ascii="Arial" w:hAnsi="Arial"/>
          <w:b/>
          <w:sz w:val="28"/>
        </w:rPr>
      </w:pPr>
    </w:p>
    <w:p w:rsidR="002234F3" w:rsidRDefault="002A142F" w:rsidP="002A142F">
      <w:pPr>
        <w:numPr>
          <w:ilvl w:val="0"/>
          <w:numId w:val="26"/>
        </w:numPr>
        <w:ind w:left="709" w:hanging="709"/>
        <w:rPr>
          <w:rFonts w:ascii="Arial" w:hAnsi="Arial"/>
          <w:b/>
          <w:sz w:val="32"/>
        </w:rPr>
      </w:pPr>
      <w:r w:rsidRPr="002A142F">
        <w:rPr>
          <w:rFonts w:ascii="Arial" w:hAnsi="Arial"/>
          <w:b/>
          <w:sz w:val="28"/>
        </w:rPr>
        <w:t>Materials</w:t>
      </w:r>
    </w:p>
    <w:p w:rsidR="002234F3" w:rsidRDefault="002234F3" w:rsidP="002234F3">
      <w:pPr>
        <w:pStyle w:val="ListParagraph"/>
        <w:rPr>
          <w:rFonts w:ascii="Arial" w:hAnsi="Arial"/>
        </w:rPr>
      </w:pPr>
    </w:p>
    <w:p w:rsidR="002A142F" w:rsidRPr="002234F3" w:rsidRDefault="002A142F" w:rsidP="002234F3">
      <w:pPr>
        <w:ind w:left="709"/>
        <w:rPr>
          <w:rFonts w:ascii="Arial" w:hAnsi="Arial"/>
          <w:b/>
          <w:sz w:val="32"/>
        </w:rPr>
      </w:pPr>
      <w:r w:rsidRPr="002234F3">
        <w:rPr>
          <w:rFonts w:ascii="Arial" w:hAnsi="Arial"/>
          <w:b/>
        </w:rPr>
        <w:t>Supplies:</w:t>
      </w:r>
      <w:r w:rsidR="002234F3">
        <w:rPr>
          <w:rFonts w:ascii="Arial" w:hAnsi="Arial"/>
        </w:rPr>
        <w:tab/>
      </w:r>
      <w:r w:rsidRPr="002234F3">
        <w:rPr>
          <w:rFonts w:ascii="Arial" w:hAnsi="Arial"/>
        </w:rPr>
        <w:t>Blood shipping containers</w:t>
      </w:r>
    </w:p>
    <w:p w:rsidR="002A142F" w:rsidRPr="002A142F" w:rsidRDefault="002A142F" w:rsidP="002234F3">
      <w:pPr>
        <w:ind w:left="2149" w:firstLine="11"/>
        <w:rPr>
          <w:rFonts w:ascii="Arial" w:hAnsi="Arial"/>
        </w:rPr>
      </w:pPr>
      <w:r w:rsidRPr="002A142F">
        <w:rPr>
          <w:rFonts w:ascii="Arial" w:hAnsi="Arial"/>
        </w:rPr>
        <w:t>Ice packs</w:t>
      </w:r>
    </w:p>
    <w:p w:rsidR="002A142F" w:rsidRPr="002A142F" w:rsidRDefault="002A142F" w:rsidP="002234F3">
      <w:pPr>
        <w:ind w:left="2138" w:firstLine="11"/>
        <w:rPr>
          <w:rFonts w:ascii="Arial" w:hAnsi="Arial"/>
        </w:rPr>
      </w:pPr>
      <w:r w:rsidRPr="002A142F">
        <w:rPr>
          <w:rFonts w:ascii="Arial" w:hAnsi="Arial"/>
        </w:rPr>
        <w:t>Gel packs</w:t>
      </w:r>
    </w:p>
    <w:p w:rsidR="002A142F" w:rsidRPr="002A142F" w:rsidRDefault="002A142F" w:rsidP="002234F3">
      <w:pPr>
        <w:ind w:left="2127" w:firstLine="11"/>
        <w:rPr>
          <w:rFonts w:ascii="Arial" w:hAnsi="Arial"/>
        </w:rPr>
      </w:pPr>
      <w:r w:rsidRPr="002A142F">
        <w:rPr>
          <w:rFonts w:ascii="Arial" w:hAnsi="Arial"/>
        </w:rPr>
        <w:t>Dry Ice</w:t>
      </w:r>
    </w:p>
    <w:p w:rsidR="002A142F" w:rsidRPr="002A142F" w:rsidRDefault="002A142F" w:rsidP="002234F3">
      <w:pPr>
        <w:ind w:left="2116" w:firstLine="11"/>
        <w:rPr>
          <w:rFonts w:ascii="Arial" w:hAnsi="Arial"/>
        </w:rPr>
      </w:pPr>
      <w:r w:rsidRPr="002A142F">
        <w:rPr>
          <w:rFonts w:ascii="Arial" w:hAnsi="Arial"/>
        </w:rPr>
        <w:t>Cardboard</w:t>
      </w:r>
    </w:p>
    <w:p w:rsidR="002234F3" w:rsidRDefault="002A142F" w:rsidP="002234F3">
      <w:pPr>
        <w:ind w:left="2105" w:firstLine="11"/>
        <w:rPr>
          <w:rFonts w:ascii="Arial" w:hAnsi="Arial"/>
        </w:rPr>
      </w:pPr>
      <w:r w:rsidRPr="002A142F">
        <w:rPr>
          <w:rFonts w:ascii="Arial" w:hAnsi="Arial"/>
        </w:rPr>
        <w:t>Packing slip(s) from the blood supplier or</w:t>
      </w:r>
      <w:r w:rsidR="002234F3">
        <w:rPr>
          <w:rFonts w:ascii="Arial" w:hAnsi="Arial"/>
        </w:rPr>
        <w:t xml:space="preserve"> </w:t>
      </w:r>
    </w:p>
    <w:p w:rsidR="002234F3" w:rsidRDefault="002A142F" w:rsidP="002234F3">
      <w:pPr>
        <w:ind w:left="2105" w:firstLine="11"/>
        <w:rPr>
          <w:rFonts w:ascii="Arial" w:hAnsi="Arial"/>
        </w:rPr>
      </w:pPr>
      <w:r w:rsidRPr="002A142F">
        <w:rPr>
          <w:rFonts w:ascii="Arial" w:hAnsi="Arial"/>
        </w:rPr>
        <w:t>Inter</w:t>
      </w:r>
      <w:r w:rsidR="002234F3">
        <w:rPr>
          <w:rFonts w:ascii="Arial" w:hAnsi="Arial"/>
        </w:rPr>
        <w:t>-</w:t>
      </w:r>
      <w:r w:rsidRPr="002A142F">
        <w:rPr>
          <w:rFonts w:ascii="Arial" w:hAnsi="Arial"/>
        </w:rPr>
        <w:t>hospital Transfer Form – Blood Components/ Plasma Protein Products (IM.006F) or</w:t>
      </w:r>
    </w:p>
    <w:p w:rsidR="002A142F" w:rsidRPr="002A142F" w:rsidRDefault="002A142F" w:rsidP="002234F3">
      <w:pPr>
        <w:ind w:left="2105" w:firstLine="11"/>
        <w:rPr>
          <w:rFonts w:ascii="Arial" w:hAnsi="Arial"/>
        </w:rPr>
      </w:pPr>
      <w:r w:rsidRPr="002A142F">
        <w:rPr>
          <w:rFonts w:ascii="Arial" w:hAnsi="Arial"/>
        </w:rPr>
        <w:t>Inter</w:t>
      </w:r>
      <w:r w:rsidR="00565826">
        <w:rPr>
          <w:rFonts w:ascii="Arial" w:hAnsi="Arial"/>
        </w:rPr>
        <w:t>-</w:t>
      </w:r>
      <w:r w:rsidRPr="002A142F">
        <w:rPr>
          <w:rFonts w:ascii="Arial" w:hAnsi="Arial"/>
        </w:rPr>
        <w:t>hospital Transfer Form – Blood Components/Products Accompanying a Patient (IM.007F1)</w:t>
      </w:r>
    </w:p>
    <w:p w:rsidR="002A142F" w:rsidRPr="002A142F" w:rsidRDefault="002A142F" w:rsidP="002234F3">
      <w:pPr>
        <w:ind w:left="2094" w:firstLine="11"/>
        <w:rPr>
          <w:rFonts w:ascii="Arial" w:hAnsi="Arial"/>
        </w:rPr>
      </w:pPr>
      <w:r w:rsidRPr="002A142F">
        <w:rPr>
          <w:rFonts w:ascii="Arial" w:hAnsi="Arial"/>
        </w:rPr>
        <w:t>Tamper Evident Seal</w:t>
      </w:r>
    </w:p>
    <w:p w:rsidR="002A142F" w:rsidRDefault="002A142F">
      <w:pPr>
        <w:rPr>
          <w:rFonts w:ascii="Arial" w:hAnsi="Arial"/>
        </w:rPr>
      </w:pPr>
    </w:p>
    <w:p w:rsidR="002234F3" w:rsidRDefault="002234F3" w:rsidP="002234F3">
      <w:pPr>
        <w:numPr>
          <w:ilvl w:val="0"/>
          <w:numId w:val="26"/>
        </w:numPr>
        <w:ind w:left="709" w:hanging="709"/>
        <w:rPr>
          <w:rFonts w:ascii="Arial" w:hAnsi="Arial"/>
          <w:b/>
          <w:sz w:val="28"/>
        </w:rPr>
      </w:pPr>
      <w:r w:rsidRPr="002234F3">
        <w:rPr>
          <w:rFonts w:ascii="Arial" w:hAnsi="Arial"/>
          <w:b/>
          <w:sz w:val="28"/>
        </w:rPr>
        <w:t>Quality Control</w:t>
      </w:r>
    </w:p>
    <w:p w:rsidR="002234F3" w:rsidRPr="002234F3" w:rsidRDefault="002234F3" w:rsidP="002234F3">
      <w:pPr>
        <w:ind w:left="1080"/>
        <w:rPr>
          <w:rFonts w:ascii="Arial" w:hAnsi="Arial"/>
          <w:b/>
          <w:sz w:val="28"/>
        </w:rPr>
      </w:pPr>
    </w:p>
    <w:p w:rsidR="002234F3" w:rsidRDefault="002234F3" w:rsidP="002234F3">
      <w:pPr>
        <w:numPr>
          <w:ilvl w:val="1"/>
          <w:numId w:val="26"/>
        </w:numPr>
        <w:ind w:left="1418" w:hanging="698"/>
        <w:rPr>
          <w:rFonts w:ascii="Arial" w:hAnsi="Arial"/>
          <w:b/>
          <w:sz w:val="28"/>
        </w:rPr>
      </w:pPr>
      <w:r w:rsidRPr="002234F3">
        <w:rPr>
          <w:rFonts w:ascii="Arial" w:hAnsi="Arial"/>
        </w:rPr>
        <w:t>Optimal storage temperatures for blood products are outlined in the Circular of Information for human blood and blood components.  Temperature ranges for commonly used products are</w:t>
      </w:r>
      <w:r w:rsidRPr="002234F3">
        <w:rPr>
          <w:rFonts w:ascii="Arial" w:hAnsi="Arial"/>
          <w:vertAlign w:val="superscript"/>
        </w:rPr>
        <w:t>9.2</w:t>
      </w:r>
      <w:r>
        <w:rPr>
          <w:rFonts w:ascii="Arial" w:hAnsi="Arial"/>
          <w:vertAlign w:val="superscript"/>
        </w:rPr>
        <w:t xml:space="preserve"> </w:t>
      </w:r>
      <w:r>
        <w:rPr>
          <w:rFonts w:ascii="Arial" w:hAnsi="Arial"/>
        </w:rPr>
        <w:t xml:space="preserve">: </w:t>
      </w:r>
    </w:p>
    <w:p w:rsidR="002234F3" w:rsidRPr="002234F3" w:rsidRDefault="002234F3" w:rsidP="002234F3">
      <w:pPr>
        <w:ind w:left="2694"/>
        <w:rPr>
          <w:rFonts w:ascii="Arial" w:hAnsi="Arial"/>
          <w:b/>
          <w:sz w:val="28"/>
        </w:rPr>
      </w:pPr>
    </w:p>
    <w:p w:rsidR="002234F3" w:rsidRDefault="002234F3" w:rsidP="00F5352D">
      <w:pPr>
        <w:numPr>
          <w:ilvl w:val="2"/>
          <w:numId w:val="26"/>
        </w:numPr>
        <w:ind w:left="2160" w:hanging="671"/>
        <w:rPr>
          <w:rFonts w:ascii="Arial" w:hAnsi="Arial"/>
          <w:b/>
          <w:sz w:val="28"/>
        </w:rPr>
      </w:pPr>
      <w:r>
        <w:rPr>
          <w:rFonts w:ascii="Arial" w:hAnsi="Arial"/>
        </w:rPr>
        <w:t>Red blood cell components: 1-6°</w:t>
      </w:r>
      <w:r w:rsidRPr="002234F3">
        <w:rPr>
          <w:rFonts w:ascii="Arial" w:hAnsi="Arial"/>
        </w:rPr>
        <w:t>C.</w:t>
      </w:r>
    </w:p>
    <w:p w:rsidR="002234F3" w:rsidRPr="002234F3" w:rsidRDefault="002234F3" w:rsidP="002234F3">
      <w:pPr>
        <w:ind w:left="2694"/>
        <w:rPr>
          <w:rFonts w:ascii="Arial" w:hAnsi="Arial"/>
          <w:b/>
          <w:sz w:val="28"/>
        </w:rPr>
      </w:pPr>
    </w:p>
    <w:p w:rsidR="002234F3" w:rsidRDefault="002234F3" w:rsidP="00F5352D">
      <w:pPr>
        <w:numPr>
          <w:ilvl w:val="2"/>
          <w:numId w:val="26"/>
        </w:numPr>
        <w:ind w:left="2160"/>
        <w:rPr>
          <w:rFonts w:ascii="Arial" w:hAnsi="Arial"/>
          <w:b/>
          <w:sz w:val="28"/>
        </w:rPr>
      </w:pPr>
      <w:r>
        <w:rPr>
          <w:rFonts w:ascii="Arial" w:hAnsi="Arial"/>
        </w:rPr>
        <w:lastRenderedPageBreak/>
        <w:t>Platelets: 20-24°</w:t>
      </w:r>
      <w:r w:rsidRPr="002234F3">
        <w:rPr>
          <w:rFonts w:ascii="Arial" w:hAnsi="Arial"/>
        </w:rPr>
        <w:t>C.</w:t>
      </w:r>
    </w:p>
    <w:p w:rsidR="002234F3" w:rsidRPr="002234F3" w:rsidRDefault="002234F3" w:rsidP="00F5352D">
      <w:pPr>
        <w:ind w:left="2160" w:hanging="720"/>
        <w:rPr>
          <w:rFonts w:ascii="Arial" w:hAnsi="Arial"/>
          <w:b/>
          <w:sz w:val="28"/>
        </w:rPr>
      </w:pPr>
    </w:p>
    <w:p w:rsidR="002234F3" w:rsidRDefault="002234F3" w:rsidP="00F5352D">
      <w:pPr>
        <w:numPr>
          <w:ilvl w:val="2"/>
          <w:numId w:val="26"/>
        </w:numPr>
        <w:ind w:left="2160"/>
        <w:rPr>
          <w:rFonts w:ascii="Arial" w:hAnsi="Arial"/>
          <w:b/>
          <w:sz w:val="28"/>
        </w:rPr>
      </w:pPr>
      <w:r>
        <w:rPr>
          <w:rFonts w:ascii="Arial" w:hAnsi="Arial"/>
        </w:rPr>
        <w:t>Frozen plasma components: -18°</w:t>
      </w:r>
      <w:r w:rsidRPr="002234F3">
        <w:rPr>
          <w:rFonts w:ascii="Arial" w:hAnsi="Arial"/>
        </w:rPr>
        <w:t>C or colder.</w:t>
      </w:r>
    </w:p>
    <w:p w:rsidR="002234F3" w:rsidRPr="002234F3" w:rsidRDefault="002234F3" w:rsidP="00F5352D">
      <w:pPr>
        <w:ind w:left="2160" w:hanging="720"/>
        <w:rPr>
          <w:rFonts w:ascii="Arial" w:hAnsi="Arial"/>
          <w:b/>
          <w:sz w:val="28"/>
        </w:rPr>
      </w:pPr>
    </w:p>
    <w:p w:rsidR="002234F3" w:rsidRDefault="002234F3" w:rsidP="00F5352D">
      <w:pPr>
        <w:numPr>
          <w:ilvl w:val="2"/>
          <w:numId w:val="26"/>
        </w:numPr>
        <w:ind w:left="2160"/>
        <w:rPr>
          <w:rFonts w:ascii="Arial" w:hAnsi="Arial"/>
          <w:b/>
          <w:sz w:val="28"/>
        </w:rPr>
      </w:pPr>
      <w:r w:rsidRPr="002234F3">
        <w:rPr>
          <w:rFonts w:ascii="Arial" w:hAnsi="Arial"/>
        </w:rPr>
        <w:t>Plasma p</w:t>
      </w:r>
      <w:r>
        <w:rPr>
          <w:rFonts w:ascii="Arial" w:hAnsi="Arial"/>
        </w:rPr>
        <w:t>rotein products: generally 1–6°</w:t>
      </w:r>
      <w:r w:rsidRPr="002234F3">
        <w:rPr>
          <w:rFonts w:ascii="Arial" w:hAnsi="Arial"/>
        </w:rPr>
        <w:t>C but check individual manufacturer’s insert.</w:t>
      </w:r>
    </w:p>
    <w:p w:rsidR="002234F3" w:rsidRDefault="002234F3" w:rsidP="002234F3">
      <w:pPr>
        <w:pStyle w:val="ListParagraph"/>
        <w:rPr>
          <w:rFonts w:ascii="Arial" w:hAnsi="Arial"/>
        </w:rPr>
      </w:pPr>
    </w:p>
    <w:p w:rsidR="002234F3" w:rsidRPr="002234F3" w:rsidRDefault="002234F3" w:rsidP="002234F3">
      <w:pPr>
        <w:numPr>
          <w:ilvl w:val="1"/>
          <w:numId w:val="26"/>
        </w:numPr>
        <w:ind w:left="1418" w:hanging="698"/>
        <w:rPr>
          <w:rFonts w:ascii="Arial" w:hAnsi="Arial"/>
          <w:b/>
          <w:sz w:val="28"/>
        </w:rPr>
      </w:pPr>
      <w:r w:rsidRPr="002234F3">
        <w:rPr>
          <w:rFonts w:ascii="Arial" w:hAnsi="Arial"/>
        </w:rPr>
        <w:t>Specialized product requests will be labeled on the component and will indicate the requested modification on the packing slip.</w:t>
      </w:r>
    </w:p>
    <w:p w:rsidR="00772C31" w:rsidRPr="00772C31" w:rsidRDefault="00772C31" w:rsidP="00772C31">
      <w:pPr>
        <w:ind w:left="2160"/>
        <w:rPr>
          <w:rFonts w:ascii="Arial" w:hAnsi="Arial"/>
          <w:b/>
          <w:sz w:val="28"/>
        </w:rPr>
      </w:pPr>
    </w:p>
    <w:p w:rsidR="00F5352D" w:rsidRDefault="002234F3" w:rsidP="00F5352D">
      <w:pPr>
        <w:numPr>
          <w:ilvl w:val="2"/>
          <w:numId w:val="26"/>
        </w:numPr>
        <w:ind w:left="2160"/>
        <w:rPr>
          <w:rFonts w:ascii="Arial" w:hAnsi="Arial"/>
          <w:b/>
          <w:sz w:val="28"/>
        </w:rPr>
      </w:pPr>
      <w:r>
        <w:rPr>
          <w:rFonts w:ascii="Arial" w:hAnsi="Arial"/>
        </w:rPr>
        <w:t xml:space="preserve">Irradiated: </w:t>
      </w:r>
      <w:r w:rsidRPr="002234F3">
        <w:rPr>
          <w:rFonts w:ascii="Arial" w:hAnsi="Arial"/>
        </w:rPr>
        <w:t>The date of irradiation and the corrected expiry date should be documented on the blood component and on the hospital TS records. Irradiated units must have a ‘</w:t>
      </w:r>
      <w:proofErr w:type="spellStart"/>
      <w:r w:rsidRPr="002234F3">
        <w:rPr>
          <w:rFonts w:ascii="Arial" w:hAnsi="Arial"/>
        </w:rPr>
        <w:t>radsure</w:t>
      </w:r>
      <w:proofErr w:type="spellEnd"/>
      <w:r w:rsidRPr="002234F3">
        <w:rPr>
          <w:rFonts w:ascii="Arial" w:hAnsi="Arial"/>
        </w:rPr>
        <w:t>’ label indicating the unit has been irradiated.</w:t>
      </w:r>
    </w:p>
    <w:p w:rsidR="00F5352D" w:rsidRDefault="00F5352D" w:rsidP="00F5352D">
      <w:pPr>
        <w:ind w:left="2160"/>
        <w:rPr>
          <w:rFonts w:ascii="Arial" w:hAnsi="Arial"/>
          <w:b/>
          <w:sz w:val="28"/>
        </w:rPr>
      </w:pPr>
    </w:p>
    <w:p w:rsidR="002234F3" w:rsidRPr="00B9045A" w:rsidRDefault="00B9045A" w:rsidP="00F5352D">
      <w:pPr>
        <w:ind w:left="2160"/>
        <w:rPr>
          <w:rFonts w:ascii="Arial" w:hAnsi="Arial"/>
          <w:b/>
          <w:sz w:val="28"/>
          <w:vertAlign w:val="superscript"/>
        </w:rPr>
      </w:pPr>
      <w:r>
        <w:rPr>
          <w:rFonts w:ascii="Arial" w:hAnsi="Arial"/>
        </w:rPr>
        <w:t>Irradiated units expire 14</w:t>
      </w:r>
      <w:r w:rsidR="002234F3" w:rsidRPr="00B9045A">
        <w:rPr>
          <w:rFonts w:ascii="Arial" w:hAnsi="Arial"/>
        </w:rPr>
        <w:t xml:space="preserve"> days from date of irradiation or the original expiry date, whichever is sooner.</w:t>
      </w:r>
      <w:r>
        <w:rPr>
          <w:rFonts w:ascii="Arial" w:hAnsi="Arial"/>
          <w:vertAlign w:val="superscript"/>
        </w:rPr>
        <w:t>9.3</w:t>
      </w:r>
    </w:p>
    <w:p w:rsidR="002234F3" w:rsidRPr="00B9045A" w:rsidRDefault="00B9045A" w:rsidP="00F5352D">
      <w:pPr>
        <w:ind w:left="2160" w:hanging="720"/>
        <w:rPr>
          <w:rFonts w:ascii="Arial" w:hAnsi="Arial"/>
          <w:szCs w:val="24"/>
          <w:vertAlign w:val="superscript"/>
        </w:rPr>
      </w:pPr>
      <w:r>
        <w:rPr>
          <w:rFonts w:ascii="Arial" w:hAnsi="Arial"/>
          <w:b/>
          <w:sz w:val="28"/>
        </w:rPr>
        <w:tab/>
      </w:r>
      <w:r>
        <w:rPr>
          <w:rFonts w:ascii="Arial" w:hAnsi="Arial"/>
          <w:szCs w:val="24"/>
        </w:rPr>
        <w:t>Note: CBS irradiates only units 14 days or less from date of collection.</w:t>
      </w:r>
      <w:r>
        <w:rPr>
          <w:rFonts w:ascii="Arial" w:hAnsi="Arial"/>
          <w:szCs w:val="24"/>
          <w:vertAlign w:val="superscript"/>
        </w:rPr>
        <w:t>9.4</w:t>
      </w:r>
    </w:p>
    <w:p w:rsidR="00B9045A" w:rsidRPr="00B9045A" w:rsidRDefault="00B9045A" w:rsidP="00F5352D">
      <w:pPr>
        <w:ind w:left="2160" w:hanging="720"/>
        <w:rPr>
          <w:rFonts w:ascii="Arial" w:hAnsi="Arial"/>
          <w:szCs w:val="24"/>
        </w:rPr>
      </w:pPr>
    </w:p>
    <w:p w:rsidR="00772C31" w:rsidRDefault="002234F3" w:rsidP="00F5352D">
      <w:pPr>
        <w:numPr>
          <w:ilvl w:val="2"/>
          <w:numId w:val="26"/>
        </w:numPr>
        <w:ind w:left="2160"/>
        <w:rPr>
          <w:rFonts w:ascii="Arial" w:hAnsi="Arial"/>
          <w:b/>
          <w:sz w:val="28"/>
        </w:rPr>
      </w:pPr>
      <w:r w:rsidRPr="002234F3">
        <w:rPr>
          <w:rFonts w:ascii="Arial" w:hAnsi="Arial"/>
        </w:rPr>
        <w:t>Negative for anti-CMV.</w:t>
      </w:r>
    </w:p>
    <w:p w:rsidR="00772C31" w:rsidRPr="00772C31" w:rsidRDefault="00772C31" w:rsidP="00F5352D">
      <w:pPr>
        <w:ind w:left="2160" w:hanging="720"/>
        <w:rPr>
          <w:rFonts w:ascii="Arial" w:hAnsi="Arial"/>
          <w:b/>
          <w:sz w:val="28"/>
        </w:rPr>
      </w:pPr>
    </w:p>
    <w:p w:rsidR="00772C31" w:rsidRDefault="002234F3" w:rsidP="00F5352D">
      <w:pPr>
        <w:numPr>
          <w:ilvl w:val="2"/>
          <w:numId w:val="26"/>
        </w:numPr>
        <w:ind w:left="2160"/>
        <w:rPr>
          <w:rFonts w:ascii="Arial" w:hAnsi="Arial"/>
          <w:b/>
          <w:sz w:val="28"/>
        </w:rPr>
      </w:pPr>
      <w:r w:rsidRPr="00772C31">
        <w:rPr>
          <w:rFonts w:ascii="Arial" w:hAnsi="Arial"/>
        </w:rPr>
        <w:t>Antigen typed units.</w:t>
      </w:r>
    </w:p>
    <w:p w:rsidR="00772C31" w:rsidRPr="00772C31" w:rsidRDefault="00772C31" w:rsidP="00772C31">
      <w:pPr>
        <w:ind w:left="3479"/>
        <w:rPr>
          <w:rFonts w:ascii="Arial" w:hAnsi="Arial"/>
          <w:b/>
          <w:sz w:val="28"/>
        </w:rPr>
      </w:pPr>
    </w:p>
    <w:p w:rsidR="00772C31" w:rsidRPr="00B9045A" w:rsidRDefault="002234F3" w:rsidP="00772C31">
      <w:pPr>
        <w:numPr>
          <w:ilvl w:val="0"/>
          <w:numId w:val="28"/>
        </w:numPr>
        <w:rPr>
          <w:rFonts w:ascii="Arial" w:hAnsi="Arial"/>
          <w:b/>
          <w:sz w:val="28"/>
        </w:rPr>
      </w:pPr>
      <w:r w:rsidRPr="00B9045A">
        <w:rPr>
          <w:rFonts w:ascii="Arial" w:hAnsi="Arial"/>
        </w:rPr>
        <w:t>Supplier antigen typed units will have the relevant antigen typing results identified on the product label or tag attached to the unit.</w:t>
      </w:r>
      <w:r w:rsidR="001F103C" w:rsidRPr="00B9045A">
        <w:rPr>
          <w:rFonts w:ascii="Arial" w:hAnsi="Arial"/>
        </w:rPr>
        <w:t xml:space="preserve"> Hospitals are not required to </w:t>
      </w:r>
      <w:r w:rsidR="00565826" w:rsidRPr="00B9045A">
        <w:rPr>
          <w:rFonts w:ascii="Arial" w:hAnsi="Arial"/>
        </w:rPr>
        <w:t>re-</w:t>
      </w:r>
      <w:r w:rsidR="001F103C" w:rsidRPr="00B9045A">
        <w:rPr>
          <w:rFonts w:ascii="Arial" w:hAnsi="Arial"/>
        </w:rPr>
        <w:t>confirm phenotype of the unit from the supplier.</w:t>
      </w:r>
      <w:r w:rsidR="00B9045A">
        <w:rPr>
          <w:rFonts w:ascii="Arial" w:hAnsi="Arial"/>
          <w:vertAlign w:val="superscript"/>
        </w:rPr>
        <w:t>9.</w:t>
      </w:r>
      <w:r w:rsidR="00747C7F">
        <w:rPr>
          <w:rFonts w:ascii="Arial" w:hAnsi="Arial"/>
          <w:vertAlign w:val="superscript"/>
        </w:rPr>
        <w:t>5</w:t>
      </w:r>
    </w:p>
    <w:p w:rsidR="00772C31" w:rsidRDefault="00772C31" w:rsidP="002234F3">
      <w:pPr>
        <w:rPr>
          <w:rFonts w:ascii="Arial" w:hAnsi="Arial"/>
        </w:rPr>
      </w:pPr>
    </w:p>
    <w:p w:rsidR="00772C31" w:rsidRDefault="002234F3" w:rsidP="002234F3">
      <w:pPr>
        <w:numPr>
          <w:ilvl w:val="1"/>
          <w:numId w:val="26"/>
        </w:numPr>
        <w:ind w:left="1418" w:hanging="698"/>
        <w:rPr>
          <w:rFonts w:ascii="Arial" w:hAnsi="Arial"/>
        </w:rPr>
      </w:pPr>
      <w:r w:rsidRPr="002234F3">
        <w:rPr>
          <w:rFonts w:ascii="Arial" w:hAnsi="Arial"/>
        </w:rPr>
        <w:t xml:space="preserve">A maximum number of components can be placed </w:t>
      </w:r>
      <w:r w:rsidR="001F103C">
        <w:rPr>
          <w:rFonts w:ascii="Arial" w:hAnsi="Arial"/>
        </w:rPr>
        <w:t xml:space="preserve">in a </w:t>
      </w:r>
      <w:r w:rsidRPr="002234F3">
        <w:rPr>
          <w:rFonts w:ascii="Arial" w:hAnsi="Arial"/>
        </w:rPr>
        <w:t>shipping box. Ensure to follow the appropriate packing configuration to maintain acceptable storage temperature during shipment.</w:t>
      </w:r>
    </w:p>
    <w:p w:rsidR="00772C31" w:rsidRDefault="00772C31" w:rsidP="00772C31">
      <w:pPr>
        <w:ind w:left="1418"/>
        <w:rPr>
          <w:rFonts w:ascii="Arial" w:hAnsi="Arial"/>
        </w:rPr>
      </w:pPr>
    </w:p>
    <w:p w:rsidR="00772C31" w:rsidRDefault="002234F3" w:rsidP="002234F3">
      <w:pPr>
        <w:numPr>
          <w:ilvl w:val="1"/>
          <w:numId w:val="26"/>
        </w:numPr>
        <w:ind w:left="1418" w:hanging="698"/>
        <w:rPr>
          <w:rFonts w:ascii="Arial" w:hAnsi="Arial"/>
        </w:rPr>
      </w:pPr>
      <w:r w:rsidRPr="00772C31">
        <w:rPr>
          <w:rFonts w:ascii="Arial" w:hAnsi="Arial"/>
        </w:rPr>
        <w:t>Frozen products are shipped on dry ice. Dry ice should remain in box to ensure no thawing has occurred during shipping.</w:t>
      </w:r>
    </w:p>
    <w:p w:rsidR="00772C31" w:rsidRDefault="00772C31" w:rsidP="00772C31">
      <w:pPr>
        <w:pStyle w:val="ListParagraph"/>
        <w:rPr>
          <w:rFonts w:ascii="Arial" w:hAnsi="Arial"/>
        </w:rPr>
      </w:pPr>
    </w:p>
    <w:p w:rsidR="00772C31" w:rsidRDefault="002234F3" w:rsidP="002234F3">
      <w:pPr>
        <w:numPr>
          <w:ilvl w:val="1"/>
          <w:numId w:val="26"/>
        </w:numPr>
        <w:ind w:left="1418" w:hanging="698"/>
        <w:rPr>
          <w:rFonts w:ascii="Arial" w:hAnsi="Arial"/>
        </w:rPr>
      </w:pPr>
      <w:r w:rsidRPr="00772C31">
        <w:rPr>
          <w:rFonts w:ascii="Arial" w:hAnsi="Arial"/>
        </w:rPr>
        <w:t>Cardboard must be placed between red cell components and the ice pack (red cells should not be in direct contact with frozen packs).</w:t>
      </w:r>
    </w:p>
    <w:p w:rsidR="00772C31" w:rsidRDefault="00772C31" w:rsidP="00772C31">
      <w:pPr>
        <w:pStyle w:val="ListParagraph"/>
        <w:rPr>
          <w:rFonts w:ascii="Arial" w:hAnsi="Arial"/>
        </w:rPr>
      </w:pPr>
    </w:p>
    <w:p w:rsidR="00772C31" w:rsidRDefault="002234F3" w:rsidP="002234F3">
      <w:pPr>
        <w:numPr>
          <w:ilvl w:val="1"/>
          <w:numId w:val="26"/>
        </w:numPr>
        <w:ind w:left="1418" w:hanging="698"/>
        <w:rPr>
          <w:rFonts w:ascii="Arial" w:hAnsi="Arial"/>
        </w:rPr>
      </w:pPr>
      <w:r w:rsidRPr="00772C31">
        <w:rPr>
          <w:rFonts w:ascii="Arial" w:hAnsi="Arial"/>
        </w:rPr>
        <w:t>Care of shipping containers:</w:t>
      </w:r>
    </w:p>
    <w:p w:rsidR="00772C31" w:rsidRDefault="00772C31" w:rsidP="00772C31">
      <w:pPr>
        <w:pStyle w:val="ListParagraph"/>
        <w:rPr>
          <w:rFonts w:ascii="Arial" w:hAnsi="Arial"/>
        </w:rPr>
      </w:pPr>
    </w:p>
    <w:p w:rsidR="00772C31" w:rsidRDefault="002234F3" w:rsidP="002234F3">
      <w:pPr>
        <w:numPr>
          <w:ilvl w:val="1"/>
          <w:numId w:val="30"/>
        </w:numPr>
        <w:rPr>
          <w:rFonts w:ascii="Arial" w:hAnsi="Arial"/>
        </w:rPr>
      </w:pPr>
      <w:r w:rsidRPr="00772C31">
        <w:rPr>
          <w:rFonts w:ascii="Arial" w:hAnsi="Arial"/>
        </w:rPr>
        <w:t xml:space="preserve">Do not write directly onto the cardboard or </w:t>
      </w:r>
      <w:r w:rsidR="00772C31" w:rsidRPr="00772C31">
        <w:rPr>
          <w:rFonts w:ascii="Arial" w:hAnsi="Arial"/>
        </w:rPr>
        <w:t>Styrofoam</w:t>
      </w:r>
      <w:r w:rsidRPr="00772C31">
        <w:rPr>
          <w:rFonts w:ascii="Arial" w:hAnsi="Arial"/>
        </w:rPr>
        <w:t xml:space="preserve"> boxes</w:t>
      </w:r>
    </w:p>
    <w:p w:rsidR="00772C31" w:rsidRDefault="00772C31" w:rsidP="00772C31">
      <w:pPr>
        <w:ind w:left="2204"/>
        <w:rPr>
          <w:rFonts w:ascii="Arial" w:hAnsi="Arial"/>
        </w:rPr>
      </w:pPr>
    </w:p>
    <w:p w:rsidR="00772C31" w:rsidRDefault="002234F3" w:rsidP="002234F3">
      <w:pPr>
        <w:numPr>
          <w:ilvl w:val="1"/>
          <w:numId w:val="30"/>
        </w:numPr>
        <w:rPr>
          <w:rFonts w:ascii="Arial" w:hAnsi="Arial"/>
        </w:rPr>
      </w:pPr>
      <w:r w:rsidRPr="00772C31">
        <w:rPr>
          <w:rFonts w:ascii="Arial" w:hAnsi="Arial"/>
        </w:rPr>
        <w:t>Do not cut or tie knots in the belts around the box</w:t>
      </w:r>
    </w:p>
    <w:p w:rsidR="00772C31" w:rsidRDefault="00772C31" w:rsidP="00772C31">
      <w:pPr>
        <w:ind w:left="2204"/>
        <w:rPr>
          <w:rFonts w:ascii="Arial" w:hAnsi="Arial"/>
        </w:rPr>
      </w:pPr>
    </w:p>
    <w:p w:rsidR="00772C31" w:rsidRDefault="002234F3" w:rsidP="002234F3">
      <w:pPr>
        <w:numPr>
          <w:ilvl w:val="1"/>
          <w:numId w:val="30"/>
        </w:numPr>
        <w:rPr>
          <w:rFonts w:ascii="Arial" w:hAnsi="Arial"/>
        </w:rPr>
      </w:pPr>
      <w:r w:rsidRPr="00772C31">
        <w:rPr>
          <w:rFonts w:ascii="Arial" w:hAnsi="Arial"/>
        </w:rPr>
        <w:t>Remove all shipping labels from the boxes to avoid confusion of destination</w:t>
      </w:r>
      <w:r w:rsidR="00772C31">
        <w:rPr>
          <w:rFonts w:ascii="Arial" w:hAnsi="Arial"/>
        </w:rPr>
        <w:t>.</w:t>
      </w:r>
    </w:p>
    <w:p w:rsidR="00772C31" w:rsidRDefault="00772C31" w:rsidP="00772C31">
      <w:pPr>
        <w:pStyle w:val="ListParagraph"/>
        <w:rPr>
          <w:rFonts w:ascii="Arial" w:hAnsi="Arial"/>
        </w:rPr>
      </w:pPr>
    </w:p>
    <w:p w:rsidR="00772C31" w:rsidRDefault="002234F3" w:rsidP="002234F3">
      <w:pPr>
        <w:numPr>
          <w:ilvl w:val="1"/>
          <w:numId w:val="26"/>
        </w:numPr>
        <w:ind w:left="1418" w:hanging="698"/>
        <w:rPr>
          <w:rFonts w:ascii="Arial" w:hAnsi="Arial"/>
        </w:rPr>
      </w:pPr>
      <w:r w:rsidRPr="00772C31">
        <w:rPr>
          <w:rFonts w:ascii="Arial" w:hAnsi="Arial"/>
        </w:rPr>
        <w:t>Security seal must be secure.</w:t>
      </w:r>
    </w:p>
    <w:p w:rsidR="00772C31" w:rsidRDefault="00772C31" w:rsidP="00772C31">
      <w:pPr>
        <w:ind w:left="360"/>
        <w:rPr>
          <w:rFonts w:ascii="Arial" w:hAnsi="Arial"/>
          <w:b/>
          <w:sz w:val="28"/>
        </w:rPr>
      </w:pPr>
    </w:p>
    <w:p w:rsidR="002234F3" w:rsidRDefault="002234F3" w:rsidP="00772C31">
      <w:pPr>
        <w:numPr>
          <w:ilvl w:val="0"/>
          <w:numId w:val="26"/>
        </w:numPr>
        <w:rPr>
          <w:rFonts w:ascii="Arial" w:hAnsi="Arial"/>
          <w:b/>
          <w:sz w:val="28"/>
        </w:rPr>
      </w:pPr>
      <w:r w:rsidRPr="00772C31">
        <w:rPr>
          <w:rFonts w:ascii="Arial" w:hAnsi="Arial"/>
          <w:b/>
          <w:sz w:val="28"/>
        </w:rPr>
        <w:t>Procedure</w:t>
      </w:r>
    </w:p>
    <w:p w:rsidR="00772C31" w:rsidRDefault="00772C31" w:rsidP="00772C31">
      <w:pPr>
        <w:rPr>
          <w:rFonts w:ascii="Arial" w:hAnsi="Arial"/>
          <w:b/>
          <w:sz w:val="28"/>
        </w:rPr>
      </w:pP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669"/>
      </w:tblGrid>
      <w:tr w:rsidR="002268F9" w:rsidRPr="00B97086" w:rsidTr="002E154C">
        <w:trPr>
          <w:trHeight w:val="2540"/>
          <w:jc w:val="center"/>
        </w:trPr>
        <w:tc>
          <w:tcPr>
            <w:tcW w:w="4112" w:type="dxa"/>
            <w:vMerge w:val="restart"/>
            <w:shd w:val="clear" w:color="auto" w:fill="auto"/>
          </w:tcPr>
          <w:p w:rsidR="002268F9" w:rsidRPr="00B97086" w:rsidRDefault="002268F9" w:rsidP="00B97086">
            <w:pPr>
              <w:numPr>
                <w:ilvl w:val="1"/>
                <w:numId w:val="26"/>
              </w:numPr>
              <w:ind w:left="709" w:hanging="709"/>
              <w:rPr>
                <w:rFonts w:ascii="Arial" w:hAnsi="Arial"/>
              </w:rPr>
            </w:pPr>
            <w:r w:rsidRPr="00B97086">
              <w:rPr>
                <w:rFonts w:ascii="Arial" w:hAnsi="Arial"/>
              </w:rPr>
              <w:t xml:space="preserve">A white copy of the packing list (voucher) accompanies the blood supplier boxes. This packing list must be checked to ensure products have been delivered to the correct hospital and that they were shipped in a sealed container and found to be satisfactory. Count the number of boxes in the shipment to confirm that the number is correctly recorded. The person receiving the blood must sign, date and record the time received on the packing list.  </w:t>
            </w:r>
          </w:p>
          <w:p w:rsidR="002268F9" w:rsidRPr="00B97086" w:rsidRDefault="002268F9" w:rsidP="00B97086">
            <w:pPr>
              <w:ind w:left="709"/>
              <w:rPr>
                <w:rFonts w:ascii="Arial" w:hAnsi="Arial"/>
              </w:rPr>
            </w:pPr>
          </w:p>
          <w:p w:rsidR="002268F9" w:rsidRPr="00B97086" w:rsidRDefault="002268F9" w:rsidP="00B97086">
            <w:pPr>
              <w:ind w:left="709"/>
              <w:rPr>
                <w:rFonts w:ascii="Arial" w:hAnsi="Arial"/>
              </w:rPr>
            </w:pPr>
            <w:r w:rsidRPr="00B97086">
              <w:rPr>
                <w:rFonts w:ascii="Arial" w:hAnsi="Arial"/>
              </w:rPr>
              <w:t>Inform the shipper immediately to resolve any problems.</w:t>
            </w:r>
          </w:p>
          <w:p w:rsidR="002268F9" w:rsidRPr="00B97086" w:rsidRDefault="002268F9" w:rsidP="00B97086">
            <w:pPr>
              <w:ind w:left="709"/>
              <w:rPr>
                <w:rFonts w:ascii="Arial" w:hAnsi="Arial"/>
              </w:rPr>
            </w:pPr>
          </w:p>
        </w:tc>
        <w:tc>
          <w:tcPr>
            <w:tcW w:w="5669" w:type="dxa"/>
            <w:shd w:val="clear" w:color="auto" w:fill="auto"/>
          </w:tcPr>
          <w:p w:rsidR="002268F9" w:rsidRDefault="002268F9" w:rsidP="00B97086">
            <w:pPr>
              <w:numPr>
                <w:ilvl w:val="2"/>
                <w:numId w:val="26"/>
              </w:numPr>
              <w:ind w:left="601"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685"/>
            </w:tblGrid>
            <w:tr w:rsidR="002268F9" w:rsidRPr="00B97086" w:rsidTr="00F5352D">
              <w:tc>
                <w:tcPr>
                  <w:tcW w:w="1731" w:type="dxa"/>
                  <w:shd w:val="clear" w:color="auto" w:fill="F2F2F2" w:themeFill="background1" w:themeFillShade="F2"/>
                </w:tcPr>
                <w:p w:rsidR="002268F9" w:rsidRPr="00F5352D" w:rsidRDefault="002268F9" w:rsidP="00B97086">
                  <w:pPr>
                    <w:rPr>
                      <w:rFonts w:ascii="Arial" w:hAnsi="Arial"/>
                      <w:b/>
                      <w:i/>
                    </w:rPr>
                  </w:pPr>
                  <w:r w:rsidRPr="00F5352D">
                    <w:rPr>
                      <w:rFonts w:ascii="Arial" w:hAnsi="Arial"/>
                      <w:b/>
                      <w:i/>
                    </w:rPr>
                    <w:t>If</w:t>
                  </w:r>
                </w:p>
              </w:tc>
              <w:tc>
                <w:tcPr>
                  <w:tcW w:w="3685" w:type="dxa"/>
                  <w:shd w:val="clear" w:color="auto" w:fill="F2F2F2" w:themeFill="background1" w:themeFillShade="F2"/>
                </w:tcPr>
                <w:p w:rsidR="002268F9" w:rsidRPr="00F5352D" w:rsidRDefault="002268F9" w:rsidP="00B97086">
                  <w:pPr>
                    <w:rPr>
                      <w:rFonts w:ascii="Arial" w:hAnsi="Arial"/>
                      <w:b/>
                      <w:i/>
                    </w:rPr>
                  </w:pPr>
                  <w:r w:rsidRPr="00F5352D">
                    <w:rPr>
                      <w:rFonts w:ascii="Arial" w:hAnsi="Arial"/>
                      <w:b/>
                      <w:i/>
                    </w:rPr>
                    <w:t xml:space="preserve">Then </w:t>
                  </w:r>
                </w:p>
              </w:tc>
            </w:tr>
            <w:tr w:rsidR="002268F9" w:rsidRPr="00B97086" w:rsidTr="00B97086">
              <w:tc>
                <w:tcPr>
                  <w:tcW w:w="1731" w:type="dxa"/>
                  <w:shd w:val="clear" w:color="auto" w:fill="auto"/>
                </w:tcPr>
                <w:p w:rsidR="002268F9" w:rsidRPr="00B97086" w:rsidRDefault="002268F9" w:rsidP="002268F9">
                  <w:pPr>
                    <w:rPr>
                      <w:rFonts w:ascii="Arial" w:hAnsi="Arial"/>
                      <w:sz w:val="22"/>
                    </w:rPr>
                  </w:pPr>
                  <w:r w:rsidRPr="00B97086">
                    <w:rPr>
                      <w:rFonts w:ascii="Arial" w:hAnsi="Arial"/>
                      <w:sz w:val="22"/>
                    </w:rPr>
                    <w:t>A tamper proof security seal is not present on the shipped box(</w:t>
                  </w:r>
                  <w:proofErr w:type="spellStart"/>
                  <w:r w:rsidRPr="00B97086">
                    <w:rPr>
                      <w:rFonts w:ascii="Arial" w:hAnsi="Arial"/>
                      <w:sz w:val="22"/>
                    </w:rPr>
                    <w:t>es</w:t>
                  </w:r>
                  <w:proofErr w:type="spellEnd"/>
                  <w:r w:rsidRPr="00B97086">
                    <w:rPr>
                      <w:rFonts w:ascii="Arial" w:hAnsi="Arial"/>
                      <w:sz w:val="22"/>
                    </w:rPr>
                    <w:t>)</w:t>
                  </w:r>
                </w:p>
                <w:p w:rsidR="002268F9" w:rsidRPr="00B97086" w:rsidRDefault="002268F9" w:rsidP="00B97086">
                  <w:pPr>
                    <w:ind w:left="29"/>
                    <w:rPr>
                      <w:rFonts w:ascii="Arial" w:hAnsi="Arial"/>
                      <w:sz w:val="22"/>
                    </w:rPr>
                  </w:pPr>
                </w:p>
              </w:tc>
              <w:tc>
                <w:tcPr>
                  <w:tcW w:w="3685" w:type="dxa"/>
                  <w:shd w:val="clear" w:color="auto" w:fill="auto"/>
                </w:tcPr>
                <w:p w:rsidR="002268F9" w:rsidRPr="00B97086" w:rsidRDefault="002268F9" w:rsidP="00B97086">
                  <w:pPr>
                    <w:rPr>
                      <w:rFonts w:ascii="Arial" w:hAnsi="Arial"/>
                      <w:sz w:val="22"/>
                    </w:rPr>
                  </w:pPr>
                  <w:proofErr w:type="gramStart"/>
                  <w:r w:rsidRPr="00B97086">
                    <w:rPr>
                      <w:rFonts w:ascii="Arial" w:hAnsi="Arial"/>
                      <w:sz w:val="22"/>
                    </w:rPr>
                    <w:t>contact</w:t>
                  </w:r>
                  <w:proofErr w:type="gramEnd"/>
                  <w:r w:rsidRPr="00B97086">
                    <w:rPr>
                      <w:rFonts w:ascii="Arial" w:hAnsi="Arial"/>
                      <w:sz w:val="22"/>
                    </w:rPr>
                    <w:t xml:space="preserve"> the shipping facility (blood supplier or other hospital) immediately. Contact the TS Supervisor/Manager to determine the disposition of the products within the </w:t>
                  </w:r>
                  <w:proofErr w:type="gramStart"/>
                  <w:r w:rsidRPr="00B97086">
                    <w:rPr>
                      <w:rFonts w:ascii="Arial" w:hAnsi="Arial"/>
                      <w:sz w:val="22"/>
                    </w:rPr>
                    <w:t>box(</w:t>
                  </w:r>
                  <w:proofErr w:type="spellStart"/>
                  <w:proofErr w:type="gramEnd"/>
                  <w:r w:rsidRPr="00B97086">
                    <w:rPr>
                      <w:rFonts w:ascii="Arial" w:hAnsi="Arial"/>
                      <w:sz w:val="22"/>
                    </w:rPr>
                    <w:t>es</w:t>
                  </w:r>
                  <w:proofErr w:type="spellEnd"/>
                  <w:r w:rsidRPr="00B97086">
                    <w:rPr>
                      <w:rFonts w:ascii="Arial" w:hAnsi="Arial"/>
                      <w:sz w:val="22"/>
                    </w:rPr>
                    <w:t>). See Procedural Notes 8.1.3.</w:t>
                  </w:r>
                </w:p>
              </w:tc>
            </w:tr>
          </w:tbl>
          <w:p w:rsidR="002268F9" w:rsidRPr="00B97086" w:rsidRDefault="002268F9" w:rsidP="00B97086">
            <w:pPr>
              <w:ind w:left="709"/>
              <w:rPr>
                <w:rFonts w:ascii="Arial" w:hAnsi="Arial"/>
              </w:rPr>
            </w:pPr>
          </w:p>
        </w:tc>
      </w:tr>
      <w:tr w:rsidR="002268F9" w:rsidRPr="00B97086" w:rsidTr="002E154C">
        <w:trPr>
          <w:trHeight w:val="3260"/>
          <w:jc w:val="center"/>
        </w:trPr>
        <w:tc>
          <w:tcPr>
            <w:tcW w:w="4112" w:type="dxa"/>
            <w:vMerge/>
            <w:shd w:val="clear" w:color="auto" w:fill="auto"/>
          </w:tcPr>
          <w:p w:rsidR="002268F9" w:rsidRPr="00B97086" w:rsidRDefault="002268F9" w:rsidP="00B97086">
            <w:pPr>
              <w:numPr>
                <w:ilvl w:val="1"/>
                <w:numId w:val="26"/>
              </w:numPr>
              <w:ind w:left="709" w:hanging="709"/>
              <w:rPr>
                <w:rFonts w:ascii="Arial" w:hAnsi="Arial"/>
              </w:rPr>
            </w:pPr>
          </w:p>
        </w:tc>
        <w:tc>
          <w:tcPr>
            <w:tcW w:w="5669" w:type="dxa"/>
            <w:shd w:val="clear" w:color="auto" w:fill="auto"/>
          </w:tcPr>
          <w:tbl>
            <w:tblPr>
              <w:tblpPr w:leftFromText="180" w:rightFromText="180" w:horzAnchor="margin" w:tblpY="4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tblGrid>
            <w:tr w:rsidR="002268F9" w:rsidRPr="00B97086" w:rsidTr="00F5352D">
              <w:tc>
                <w:tcPr>
                  <w:tcW w:w="1696" w:type="dxa"/>
                  <w:shd w:val="clear" w:color="auto" w:fill="F2F2F2" w:themeFill="background1" w:themeFillShade="F2"/>
                </w:tcPr>
                <w:p w:rsidR="002268F9" w:rsidRPr="00F5352D" w:rsidRDefault="002268F9" w:rsidP="002268F9">
                  <w:pPr>
                    <w:rPr>
                      <w:rFonts w:ascii="Arial" w:hAnsi="Arial"/>
                      <w:b/>
                      <w:i/>
                    </w:rPr>
                  </w:pPr>
                  <w:r w:rsidRPr="00F5352D">
                    <w:rPr>
                      <w:rFonts w:ascii="Arial" w:hAnsi="Arial"/>
                      <w:b/>
                      <w:i/>
                    </w:rPr>
                    <w:t xml:space="preserve">If </w:t>
                  </w:r>
                </w:p>
              </w:tc>
              <w:tc>
                <w:tcPr>
                  <w:tcW w:w="3686" w:type="dxa"/>
                  <w:shd w:val="clear" w:color="auto" w:fill="F2F2F2" w:themeFill="background1" w:themeFillShade="F2"/>
                </w:tcPr>
                <w:p w:rsidR="002268F9" w:rsidRPr="00F5352D" w:rsidRDefault="002268F9" w:rsidP="002268F9">
                  <w:pPr>
                    <w:rPr>
                      <w:rFonts w:ascii="Arial" w:hAnsi="Arial"/>
                      <w:b/>
                      <w:i/>
                    </w:rPr>
                  </w:pPr>
                  <w:r w:rsidRPr="00F5352D">
                    <w:rPr>
                      <w:rFonts w:ascii="Arial" w:hAnsi="Arial"/>
                      <w:b/>
                      <w:i/>
                    </w:rPr>
                    <w:t>Then</w:t>
                  </w:r>
                </w:p>
              </w:tc>
            </w:tr>
            <w:tr w:rsidR="002268F9" w:rsidRPr="00B97086" w:rsidTr="00B97086">
              <w:tc>
                <w:tcPr>
                  <w:tcW w:w="1696" w:type="dxa"/>
                  <w:shd w:val="clear" w:color="auto" w:fill="auto"/>
                </w:tcPr>
                <w:p w:rsidR="002268F9" w:rsidRPr="00B97086" w:rsidRDefault="002268F9" w:rsidP="002268F9">
                  <w:pPr>
                    <w:rPr>
                      <w:rFonts w:ascii="Arial" w:hAnsi="Arial"/>
                    </w:rPr>
                  </w:pPr>
                  <w:r w:rsidRPr="00F5352D">
                    <w:rPr>
                      <w:rFonts w:ascii="Arial" w:hAnsi="Arial"/>
                      <w:sz w:val="22"/>
                    </w:rPr>
                    <w:t>The time of transport is greater than 24 hours</w:t>
                  </w:r>
                </w:p>
              </w:tc>
              <w:tc>
                <w:tcPr>
                  <w:tcW w:w="3686" w:type="dxa"/>
                  <w:shd w:val="clear" w:color="auto" w:fill="auto"/>
                </w:tcPr>
                <w:p w:rsidR="002268F9" w:rsidRPr="00F5352D" w:rsidRDefault="002268F9" w:rsidP="00B97086">
                  <w:pPr>
                    <w:numPr>
                      <w:ilvl w:val="0"/>
                      <w:numId w:val="35"/>
                    </w:numPr>
                    <w:rPr>
                      <w:rFonts w:ascii="Arial" w:hAnsi="Arial"/>
                      <w:sz w:val="22"/>
                    </w:rPr>
                  </w:pPr>
                  <w:r w:rsidRPr="00F5352D">
                    <w:rPr>
                      <w:rFonts w:ascii="Arial" w:hAnsi="Arial"/>
                      <w:sz w:val="22"/>
                    </w:rPr>
                    <w:t>Record the length of transit time on the shipping or inter-hospital exchange voucher</w:t>
                  </w:r>
                </w:p>
                <w:p w:rsidR="002268F9" w:rsidRPr="00B97086" w:rsidRDefault="002268F9" w:rsidP="00B97086">
                  <w:pPr>
                    <w:numPr>
                      <w:ilvl w:val="0"/>
                      <w:numId w:val="35"/>
                    </w:numPr>
                    <w:rPr>
                      <w:rFonts w:ascii="Arial" w:hAnsi="Arial"/>
                    </w:rPr>
                  </w:pPr>
                  <w:r w:rsidRPr="00F5352D">
                    <w:rPr>
                      <w:rFonts w:ascii="Arial" w:hAnsi="Arial"/>
                      <w:sz w:val="22"/>
                    </w:rPr>
                    <w:t>The temperature of the blood components should be taken as described in QCA.009 – Temperature Check of Blood and Blood Components. See Procedural Notes 8.1</w:t>
                  </w:r>
                </w:p>
              </w:tc>
            </w:tr>
          </w:tbl>
          <w:p w:rsidR="002268F9" w:rsidRDefault="002268F9" w:rsidP="00B97086">
            <w:pPr>
              <w:numPr>
                <w:ilvl w:val="2"/>
                <w:numId w:val="26"/>
              </w:numPr>
              <w:ind w:left="743" w:hanging="709"/>
            </w:pPr>
          </w:p>
        </w:tc>
      </w:tr>
      <w:tr w:rsidR="00772C31" w:rsidRPr="00B97086" w:rsidTr="00B97086">
        <w:trPr>
          <w:jc w:val="center"/>
        </w:trPr>
        <w:tc>
          <w:tcPr>
            <w:tcW w:w="9781" w:type="dxa"/>
            <w:gridSpan w:val="2"/>
            <w:shd w:val="clear" w:color="auto" w:fill="auto"/>
          </w:tcPr>
          <w:p w:rsidR="00C426C9" w:rsidRPr="00B97086" w:rsidRDefault="00C426C9" w:rsidP="00B97086">
            <w:pPr>
              <w:numPr>
                <w:ilvl w:val="1"/>
                <w:numId w:val="26"/>
              </w:numPr>
              <w:ind w:left="744" w:hanging="710"/>
              <w:rPr>
                <w:rFonts w:ascii="Arial" w:hAnsi="Arial"/>
              </w:rPr>
            </w:pPr>
            <w:r w:rsidRPr="00B97086">
              <w:rPr>
                <w:rFonts w:ascii="Arial" w:hAnsi="Arial"/>
              </w:rPr>
              <w:t>If the shipment is received from another hospital, confirm:</w:t>
            </w:r>
          </w:p>
          <w:p w:rsidR="00C426C9" w:rsidRPr="00B97086" w:rsidRDefault="00C426C9" w:rsidP="00B97086">
            <w:pPr>
              <w:ind w:left="1495"/>
              <w:rPr>
                <w:rFonts w:ascii="Arial" w:hAnsi="Arial"/>
              </w:rPr>
            </w:pPr>
          </w:p>
          <w:p w:rsidR="00C426C9" w:rsidRPr="00B97086" w:rsidRDefault="00C426C9" w:rsidP="00B97086">
            <w:pPr>
              <w:numPr>
                <w:ilvl w:val="0"/>
                <w:numId w:val="36"/>
              </w:numPr>
              <w:rPr>
                <w:rFonts w:ascii="Arial" w:hAnsi="Arial"/>
              </w:rPr>
            </w:pPr>
            <w:r w:rsidRPr="00B97086">
              <w:rPr>
                <w:rFonts w:ascii="Arial" w:hAnsi="Arial"/>
              </w:rPr>
              <w:t xml:space="preserve">the box was shipped sealed </w:t>
            </w:r>
          </w:p>
          <w:p w:rsidR="00C426C9" w:rsidRPr="00B97086" w:rsidRDefault="00C426C9" w:rsidP="00B97086">
            <w:pPr>
              <w:ind w:left="1495"/>
              <w:rPr>
                <w:rFonts w:ascii="Arial" w:hAnsi="Arial"/>
              </w:rPr>
            </w:pPr>
          </w:p>
          <w:p w:rsidR="00C426C9" w:rsidRPr="00B97086" w:rsidRDefault="00C426C9" w:rsidP="00B97086">
            <w:pPr>
              <w:numPr>
                <w:ilvl w:val="0"/>
                <w:numId w:val="36"/>
              </w:numPr>
              <w:rPr>
                <w:rFonts w:ascii="Arial" w:hAnsi="Arial"/>
              </w:rPr>
            </w:pPr>
            <w:r w:rsidRPr="00B97086">
              <w:rPr>
                <w:rFonts w:ascii="Arial" w:hAnsi="Arial"/>
              </w:rPr>
              <w:t xml:space="preserve">there is an inter-hospital transfer form </w:t>
            </w:r>
          </w:p>
          <w:p w:rsidR="00C426C9" w:rsidRPr="00B97086" w:rsidRDefault="00C426C9" w:rsidP="00B97086">
            <w:pPr>
              <w:ind w:left="1495"/>
              <w:rPr>
                <w:rFonts w:ascii="Arial" w:hAnsi="Arial"/>
              </w:rPr>
            </w:pPr>
          </w:p>
          <w:p w:rsidR="00C426C9" w:rsidRPr="00B97086" w:rsidRDefault="00C426C9" w:rsidP="00B97086">
            <w:pPr>
              <w:numPr>
                <w:ilvl w:val="0"/>
                <w:numId w:val="36"/>
              </w:numPr>
              <w:rPr>
                <w:rFonts w:ascii="Arial" w:hAnsi="Arial"/>
              </w:rPr>
            </w:pPr>
            <w:r w:rsidRPr="00B97086">
              <w:rPr>
                <w:rFonts w:ascii="Arial" w:hAnsi="Arial"/>
              </w:rPr>
              <w:t xml:space="preserve">the products have been stored and shipped according to current standards  </w:t>
            </w:r>
          </w:p>
          <w:p w:rsidR="00C426C9" w:rsidRPr="00B97086" w:rsidRDefault="00C426C9" w:rsidP="00B97086">
            <w:pPr>
              <w:ind w:left="1495"/>
              <w:rPr>
                <w:rFonts w:ascii="Arial" w:hAnsi="Arial"/>
              </w:rPr>
            </w:pPr>
          </w:p>
          <w:p w:rsidR="00772C31" w:rsidRPr="00B97086" w:rsidRDefault="00C426C9" w:rsidP="00B97086">
            <w:pPr>
              <w:numPr>
                <w:ilvl w:val="0"/>
                <w:numId w:val="36"/>
              </w:numPr>
              <w:rPr>
                <w:rFonts w:ascii="Arial" w:hAnsi="Arial"/>
              </w:rPr>
            </w:pPr>
            <w:r w:rsidRPr="00B97086">
              <w:rPr>
                <w:rFonts w:ascii="Arial" w:hAnsi="Arial"/>
              </w:rPr>
              <w:t>temperature storage records shall be available upon request</w:t>
            </w:r>
          </w:p>
        </w:tc>
      </w:tr>
      <w:tr w:rsidR="00772C31" w:rsidRPr="00B97086" w:rsidTr="00B97086">
        <w:trPr>
          <w:jc w:val="center"/>
        </w:trPr>
        <w:tc>
          <w:tcPr>
            <w:tcW w:w="9781" w:type="dxa"/>
            <w:gridSpan w:val="2"/>
            <w:shd w:val="clear" w:color="auto" w:fill="auto"/>
          </w:tcPr>
          <w:p w:rsidR="00772C31" w:rsidRPr="00B97086" w:rsidRDefault="00C426C9" w:rsidP="00B97086">
            <w:pPr>
              <w:numPr>
                <w:ilvl w:val="1"/>
                <w:numId w:val="26"/>
              </w:numPr>
              <w:ind w:left="744" w:hanging="744"/>
              <w:rPr>
                <w:rFonts w:ascii="Arial" w:hAnsi="Arial"/>
              </w:rPr>
            </w:pPr>
            <w:r w:rsidRPr="00B97086">
              <w:rPr>
                <w:rFonts w:ascii="Arial" w:hAnsi="Arial"/>
              </w:rPr>
              <w:t>Remove the plastic tamper evident seal and open the shipping box.</w:t>
            </w:r>
          </w:p>
        </w:tc>
      </w:tr>
      <w:tr w:rsidR="00C426C9" w:rsidRPr="00B97086" w:rsidTr="00B97086">
        <w:trPr>
          <w:trHeight w:val="130"/>
          <w:jc w:val="center"/>
        </w:trPr>
        <w:tc>
          <w:tcPr>
            <w:tcW w:w="4112" w:type="dxa"/>
            <w:vMerge w:val="restart"/>
            <w:shd w:val="clear" w:color="auto" w:fill="auto"/>
          </w:tcPr>
          <w:p w:rsidR="00C426C9" w:rsidRPr="00B97086" w:rsidRDefault="00C426C9" w:rsidP="00B97086">
            <w:pPr>
              <w:numPr>
                <w:ilvl w:val="1"/>
                <w:numId w:val="26"/>
              </w:numPr>
              <w:ind w:left="744" w:hanging="710"/>
              <w:rPr>
                <w:rFonts w:ascii="Arial" w:hAnsi="Arial"/>
              </w:rPr>
            </w:pPr>
            <w:r w:rsidRPr="00B97086">
              <w:rPr>
                <w:rFonts w:ascii="Arial" w:hAnsi="Arial"/>
              </w:rPr>
              <w:t>Inspect the packaging of the product inside the shipping box.</w:t>
            </w:r>
          </w:p>
        </w:tc>
        <w:tc>
          <w:tcPr>
            <w:tcW w:w="5669" w:type="dxa"/>
            <w:shd w:val="clear" w:color="auto" w:fill="auto"/>
          </w:tcPr>
          <w:p w:rsidR="00C426C9" w:rsidRPr="00B97086" w:rsidRDefault="00C426C9" w:rsidP="00B97086">
            <w:pPr>
              <w:numPr>
                <w:ilvl w:val="2"/>
                <w:numId w:val="26"/>
              </w:numPr>
              <w:ind w:left="743" w:hanging="743"/>
              <w:rPr>
                <w:rFonts w:ascii="Arial" w:hAnsi="Arial"/>
              </w:rPr>
            </w:pPr>
            <w:r w:rsidRPr="00B97086">
              <w:rPr>
                <w:rFonts w:ascii="Arial" w:hAnsi="Arial"/>
              </w:rPr>
              <w:t>If the units are not packaged correctly, notify the sending hospital or blood supplier of the error and complete an incident report.</w:t>
            </w:r>
          </w:p>
        </w:tc>
      </w:tr>
      <w:tr w:rsidR="00C426C9" w:rsidRPr="00B97086" w:rsidTr="00B97086">
        <w:trPr>
          <w:trHeight w:val="150"/>
          <w:jc w:val="center"/>
        </w:trPr>
        <w:tc>
          <w:tcPr>
            <w:tcW w:w="4112" w:type="dxa"/>
            <w:vMerge/>
            <w:shd w:val="clear" w:color="auto" w:fill="auto"/>
          </w:tcPr>
          <w:p w:rsidR="00C426C9" w:rsidRPr="00B97086" w:rsidRDefault="00C426C9" w:rsidP="00B97086">
            <w:pPr>
              <w:numPr>
                <w:ilvl w:val="1"/>
                <w:numId w:val="26"/>
              </w:numPr>
              <w:ind w:left="744" w:hanging="710"/>
              <w:rPr>
                <w:rFonts w:ascii="Arial" w:hAnsi="Arial"/>
              </w:rPr>
            </w:pPr>
          </w:p>
        </w:tc>
        <w:tc>
          <w:tcPr>
            <w:tcW w:w="5669" w:type="dxa"/>
            <w:shd w:val="clear" w:color="auto" w:fill="auto"/>
          </w:tcPr>
          <w:p w:rsidR="00C426C9" w:rsidRPr="00B97086" w:rsidRDefault="00C426C9" w:rsidP="00B97086">
            <w:pPr>
              <w:numPr>
                <w:ilvl w:val="2"/>
                <w:numId w:val="26"/>
              </w:numPr>
              <w:ind w:left="744"/>
              <w:rPr>
                <w:rFonts w:ascii="Arial" w:hAnsi="Arial"/>
              </w:rPr>
            </w:pPr>
            <w:r w:rsidRPr="00B97086">
              <w:rPr>
                <w:rFonts w:ascii="Arial" w:hAnsi="Arial"/>
              </w:rPr>
              <w:t>Quarantine the units until the incident is reviewed. See Procedural Notes 8.1.</w:t>
            </w:r>
          </w:p>
        </w:tc>
      </w:tr>
      <w:tr w:rsidR="00C426C9" w:rsidRPr="00B97086" w:rsidTr="00B97086">
        <w:trPr>
          <w:trHeight w:val="160"/>
          <w:jc w:val="center"/>
        </w:trPr>
        <w:tc>
          <w:tcPr>
            <w:tcW w:w="4112" w:type="dxa"/>
            <w:vMerge/>
            <w:shd w:val="clear" w:color="auto" w:fill="auto"/>
          </w:tcPr>
          <w:p w:rsidR="00C426C9" w:rsidRPr="00B97086" w:rsidRDefault="00C426C9" w:rsidP="00B97086">
            <w:pPr>
              <w:numPr>
                <w:ilvl w:val="1"/>
                <w:numId w:val="26"/>
              </w:numPr>
              <w:ind w:left="744" w:hanging="710"/>
              <w:rPr>
                <w:rFonts w:ascii="Arial" w:hAnsi="Arial"/>
              </w:rPr>
            </w:pPr>
          </w:p>
        </w:tc>
        <w:tc>
          <w:tcPr>
            <w:tcW w:w="5669" w:type="dxa"/>
            <w:shd w:val="clear" w:color="auto" w:fill="auto"/>
          </w:tcPr>
          <w:p w:rsidR="00C426C9" w:rsidRPr="00B97086" w:rsidRDefault="00C426C9" w:rsidP="00B97086">
            <w:pPr>
              <w:numPr>
                <w:ilvl w:val="2"/>
                <w:numId w:val="26"/>
              </w:numPr>
              <w:ind w:left="744"/>
              <w:rPr>
                <w:rFonts w:ascii="Arial" w:hAnsi="Arial"/>
              </w:rPr>
            </w:pPr>
            <w:r w:rsidRPr="00B97086">
              <w:rPr>
                <w:rFonts w:ascii="Arial" w:hAnsi="Arial"/>
              </w:rPr>
              <w:t xml:space="preserve">For description of proper packaging, see IM.006 – Shipment of Blood Components/Products using Canadian Blood Services Shipping Containers </w:t>
            </w:r>
            <w:proofErr w:type="gramStart"/>
            <w:r w:rsidRPr="00B97086">
              <w:rPr>
                <w:rFonts w:ascii="Arial" w:hAnsi="Arial"/>
              </w:rPr>
              <w:t>Or</w:t>
            </w:r>
            <w:proofErr w:type="gramEnd"/>
            <w:r w:rsidRPr="00B97086">
              <w:rPr>
                <w:rFonts w:ascii="Arial" w:hAnsi="Arial"/>
              </w:rPr>
              <w:t xml:space="preserve"> IM.011 Shipment of Blood Components/Products using MTS Shipping Containers.</w:t>
            </w:r>
          </w:p>
        </w:tc>
      </w:tr>
      <w:tr w:rsidR="00C426C9" w:rsidRPr="00B97086" w:rsidTr="00B97086">
        <w:trPr>
          <w:trHeight w:val="140"/>
          <w:jc w:val="center"/>
        </w:trPr>
        <w:tc>
          <w:tcPr>
            <w:tcW w:w="4112" w:type="dxa"/>
            <w:vMerge/>
            <w:shd w:val="clear" w:color="auto" w:fill="auto"/>
          </w:tcPr>
          <w:p w:rsidR="00C426C9" w:rsidRPr="00B97086" w:rsidRDefault="00C426C9" w:rsidP="00B97086">
            <w:pPr>
              <w:numPr>
                <w:ilvl w:val="1"/>
                <w:numId w:val="26"/>
              </w:numPr>
              <w:ind w:left="744" w:hanging="710"/>
              <w:rPr>
                <w:rFonts w:ascii="Arial" w:hAnsi="Arial"/>
              </w:rPr>
            </w:pPr>
          </w:p>
        </w:tc>
        <w:tc>
          <w:tcPr>
            <w:tcW w:w="5669" w:type="dxa"/>
            <w:shd w:val="clear" w:color="auto" w:fill="auto"/>
          </w:tcPr>
          <w:p w:rsidR="00C426C9" w:rsidRPr="00B97086" w:rsidRDefault="002E154C" w:rsidP="002E154C">
            <w:pPr>
              <w:numPr>
                <w:ilvl w:val="2"/>
                <w:numId w:val="26"/>
              </w:numPr>
              <w:ind w:left="743"/>
              <w:rPr>
                <w:rFonts w:ascii="Arial" w:hAnsi="Arial"/>
              </w:rPr>
            </w:pPr>
            <w:r w:rsidRPr="002234F3">
              <w:rPr>
                <w:rFonts w:ascii="Arial" w:hAnsi="Arial"/>
              </w:rPr>
              <w:t>Check off the appropriate box on the CBS packing slip or inter</w:t>
            </w:r>
            <w:r>
              <w:rPr>
                <w:rFonts w:ascii="Arial" w:hAnsi="Arial"/>
              </w:rPr>
              <w:t>-</w:t>
            </w:r>
            <w:r w:rsidRPr="002234F3">
              <w:rPr>
                <w:rFonts w:ascii="Arial" w:hAnsi="Arial"/>
              </w:rPr>
              <w:t>hospital transfer form, if applicable (IM.006F or IM.007F1).</w:t>
            </w:r>
          </w:p>
        </w:tc>
      </w:tr>
      <w:tr w:rsidR="00772C31" w:rsidRPr="00B97086" w:rsidTr="00B97086">
        <w:trPr>
          <w:jc w:val="center"/>
        </w:trPr>
        <w:tc>
          <w:tcPr>
            <w:tcW w:w="9781" w:type="dxa"/>
            <w:gridSpan w:val="2"/>
            <w:shd w:val="clear" w:color="auto" w:fill="auto"/>
          </w:tcPr>
          <w:p w:rsidR="00772C31" w:rsidRPr="00B97086" w:rsidRDefault="002E154C" w:rsidP="002E154C">
            <w:pPr>
              <w:numPr>
                <w:ilvl w:val="1"/>
                <w:numId w:val="26"/>
              </w:numPr>
              <w:ind w:left="744" w:hanging="710"/>
              <w:rPr>
                <w:rFonts w:ascii="Arial" w:hAnsi="Arial"/>
              </w:rPr>
            </w:pPr>
            <w:r w:rsidRPr="002234F3">
              <w:rPr>
                <w:rFonts w:ascii="Arial" w:hAnsi="Arial"/>
              </w:rPr>
              <w:t xml:space="preserve">Unpack one shipping box at a time, beginning with fresh and frozen blood products.   </w:t>
            </w:r>
          </w:p>
        </w:tc>
      </w:tr>
      <w:tr w:rsidR="00772C31" w:rsidRPr="00B97086" w:rsidTr="00B97086">
        <w:trPr>
          <w:jc w:val="center"/>
        </w:trPr>
        <w:tc>
          <w:tcPr>
            <w:tcW w:w="9781" w:type="dxa"/>
            <w:gridSpan w:val="2"/>
            <w:shd w:val="clear" w:color="auto" w:fill="auto"/>
          </w:tcPr>
          <w:p w:rsidR="00772C31" w:rsidRPr="00B97086" w:rsidRDefault="002E154C" w:rsidP="002E154C">
            <w:pPr>
              <w:numPr>
                <w:ilvl w:val="1"/>
                <w:numId w:val="26"/>
              </w:numPr>
              <w:ind w:left="744" w:hanging="710"/>
              <w:rPr>
                <w:rFonts w:ascii="Arial" w:hAnsi="Arial"/>
              </w:rPr>
            </w:pPr>
            <w:r w:rsidRPr="002234F3">
              <w:rPr>
                <w:rFonts w:ascii="Arial" w:hAnsi="Arial"/>
              </w:rPr>
              <w:t>Remove the plastic bag from the shipping container.</w:t>
            </w:r>
          </w:p>
        </w:tc>
      </w:tr>
      <w:tr w:rsidR="00772C31" w:rsidRPr="00B97086" w:rsidTr="00B97086">
        <w:trPr>
          <w:jc w:val="center"/>
        </w:trPr>
        <w:tc>
          <w:tcPr>
            <w:tcW w:w="9781" w:type="dxa"/>
            <w:gridSpan w:val="2"/>
            <w:shd w:val="clear" w:color="auto" w:fill="auto"/>
          </w:tcPr>
          <w:p w:rsidR="002E154C" w:rsidRPr="002E154C" w:rsidRDefault="002E154C" w:rsidP="002E154C">
            <w:pPr>
              <w:numPr>
                <w:ilvl w:val="1"/>
                <w:numId w:val="26"/>
              </w:numPr>
              <w:ind w:left="744" w:hanging="710"/>
              <w:rPr>
                <w:rFonts w:ascii="Arial" w:hAnsi="Arial"/>
              </w:rPr>
            </w:pPr>
            <w:r w:rsidRPr="002234F3">
              <w:rPr>
                <w:rFonts w:ascii="Arial" w:hAnsi="Arial"/>
              </w:rPr>
              <w:t xml:space="preserve">Inspect the contents of the bag for breakage or leaks. </w:t>
            </w:r>
          </w:p>
          <w:p w:rsidR="002E154C" w:rsidRDefault="002E154C" w:rsidP="002E154C">
            <w:pPr>
              <w:ind w:left="744"/>
              <w:rPr>
                <w:rFonts w:ascii="Arial" w:hAnsi="Arial"/>
              </w:rPr>
            </w:pPr>
          </w:p>
          <w:tbl>
            <w:tblPr>
              <w:tblStyle w:val="TableGrid"/>
              <w:tblW w:w="0" w:type="auto"/>
              <w:jc w:val="center"/>
              <w:tblLook w:val="04A0" w:firstRow="1" w:lastRow="0" w:firstColumn="1" w:lastColumn="0" w:noHBand="0" w:noVBand="1"/>
            </w:tblPr>
            <w:tblGrid>
              <w:gridCol w:w="3699"/>
              <w:gridCol w:w="5580"/>
            </w:tblGrid>
            <w:tr w:rsidR="002E154C" w:rsidTr="00F5352D">
              <w:trPr>
                <w:jc w:val="center"/>
              </w:trPr>
              <w:tc>
                <w:tcPr>
                  <w:tcW w:w="0" w:type="auto"/>
                  <w:shd w:val="clear" w:color="auto" w:fill="F2F2F2" w:themeFill="background1" w:themeFillShade="F2"/>
                </w:tcPr>
                <w:p w:rsidR="002E154C" w:rsidRPr="00F5352D" w:rsidRDefault="002E154C" w:rsidP="002E154C">
                  <w:pPr>
                    <w:rPr>
                      <w:rFonts w:ascii="Arial" w:hAnsi="Arial"/>
                      <w:b/>
                      <w:i/>
                      <w:sz w:val="22"/>
                    </w:rPr>
                  </w:pPr>
                  <w:r w:rsidRPr="00F5352D">
                    <w:rPr>
                      <w:rFonts w:ascii="Arial" w:hAnsi="Arial"/>
                      <w:b/>
                      <w:i/>
                      <w:sz w:val="22"/>
                    </w:rPr>
                    <w:t>If</w:t>
                  </w:r>
                </w:p>
              </w:tc>
              <w:tc>
                <w:tcPr>
                  <w:tcW w:w="0" w:type="auto"/>
                  <w:shd w:val="clear" w:color="auto" w:fill="F2F2F2" w:themeFill="background1" w:themeFillShade="F2"/>
                </w:tcPr>
                <w:p w:rsidR="002E154C" w:rsidRPr="00F5352D" w:rsidRDefault="002E154C" w:rsidP="002E154C">
                  <w:pPr>
                    <w:rPr>
                      <w:rFonts w:ascii="Arial" w:hAnsi="Arial"/>
                      <w:b/>
                      <w:i/>
                      <w:sz w:val="22"/>
                    </w:rPr>
                  </w:pPr>
                  <w:r w:rsidRPr="00F5352D">
                    <w:rPr>
                      <w:rFonts w:ascii="Arial" w:hAnsi="Arial"/>
                      <w:b/>
                      <w:i/>
                      <w:sz w:val="22"/>
                    </w:rPr>
                    <w:t>Then</w:t>
                  </w:r>
                </w:p>
              </w:tc>
            </w:tr>
            <w:tr w:rsidR="002E154C" w:rsidTr="002E154C">
              <w:trPr>
                <w:jc w:val="center"/>
              </w:trPr>
              <w:tc>
                <w:tcPr>
                  <w:tcW w:w="0" w:type="auto"/>
                </w:tcPr>
                <w:p w:rsidR="002E154C" w:rsidRDefault="002E154C" w:rsidP="002E154C">
                  <w:pPr>
                    <w:rPr>
                      <w:rFonts w:ascii="Arial" w:hAnsi="Arial"/>
                    </w:rPr>
                  </w:pPr>
                  <w:r>
                    <w:rPr>
                      <w:rFonts w:ascii="Arial" w:hAnsi="Arial"/>
                    </w:rPr>
                    <w:t>T</w:t>
                  </w:r>
                  <w:r w:rsidRPr="002234F3">
                    <w:rPr>
                      <w:rFonts w:ascii="Arial" w:hAnsi="Arial"/>
                    </w:rPr>
                    <w:t>here is liquid in the bag</w:t>
                  </w:r>
                  <w:r>
                    <w:rPr>
                      <w:rFonts w:ascii="Arial" w:hAnsi="Arial"/>
                    </w:rPr>
                    <w:t>,</w:t>
                  </w:r>
                </w:p>
              </w:tc>
              <w:tc>
                <w:tcPr>
                  <w:tcW w:w="0" w:type="auto"/>
                </w:tcPr>
                <w:p w:rsidR="002E154C" w:rsidRDefault="002E154C" w:rsidP="002E154C">
                  <w:pPr>
                    <w:rPr>
                      <w:rFonts w:ascii="Arial" w:hAnsi="Arial"/>
                    </w:rPr>
                  </w:pPr>
                  <w:proofErr w:type="gramStart"/>
                  <w:r w:rsidRPr="002234F3">
                    <w:rPr>
                      <w:rFonts w:ascii="Arial" w:hAnsi="Arial"/>
                    </w:rPr>
                    <w:t>determine</w:t>
                  </w:r>
                  <w:proofErr w:type="gramEnd"/>
                  <w:r w:rsidRPr="002234F3">
                    <w:rPr>
                      <w:rFonts w:ascii="Arial" w:hAnsi="Arial"/>
                    </w:rPr>
                    <w:t xml:space="preserve"> whether any of the contents are broken</w:t>
                  </w:r>
                  <w:r>
                    <w:rPr>
                      <w:rFonts w:ascii="Arial" w:hAnsi="Arial"/>
                    </w:rPr>
                    <w:t>.</w:t>
                  </w:r>
                </w:p>
              </w:tc>
            </w:tr>
            <w:tr w:rsidR="002E154C" w:rsidTr="002E154C">
              <w:trPr>
                <w:jc w:val="center"/>
              </w:trPr>
              <w:tc>
                <w:tcPr>
                  <w:tcW w:w="0" w:type="auto"/>
                </w:tcPr>
                <w:p w:rsidR="002E154C" w:rsidRDefault="002E154C" w:rsidP="002E154C">
                  <w:pPr>
                    <w:rPr>
                      <w:rFonts w:ascii="Arial" w:hAnsi="Arial"/>
                    </w:rPr>
                  </w:pPr>
                  <w:r>
                    <w:rPr>
                      <w:rFonts w:ascii="Arial" w:hAnsi="Arial"/>
                    </w:rPr>
                    <w:t>S</w:t>
                  </w:r>
                  <w:r w:rsidRPr="002234F3">
                    <w:rPr>
                      <w:rFonts w:ascii="Arial" w:hAnsi="Arial"/>
                    </w:rPr>
                    <w:t>ome of the contents are broken</w:t>
                  </w:r>
                </w:p>
              </w:tc>
              <w:tc>
                <w:tcPr>
                  <w:tcW w:w="0" w:type="auto"/>
                </w:tcPr>
                <w:p w:rsidR="002E154C" w:rsidRDefault="002E154C" w:rsidP="002E154C">
                  <w:pPr>
                    <w:rPr>
                      <w:rFonts w:ascii="Arial" w:hAnsi="Arial"/>
                    </w:rPr>
                  </w:pPr>
                  <w:proofErr w:type="gramStart"/>
                  <w:r w:rsidRPr="002234F3">
                    <w:rPr>
                      <w:rFonts w:ascii="Arial" w:hAnsi="Arial"/>
                    </w:rPr>
                    <w:t>notify</w:t>
                  </w:r>
                  <w:proofErr w:type="gramEnd"/>
                  <w:r w:rsidRPr="002234F3">
                    <w:rPr>
                      <w:rFonts w:ascii="Arial" w:hAnsi="Arial"/>
                    </w:rPr>
                    <w:t xml:space="preserve"> the shipping facility</w:t>
                  </w:r>
                  <w:r>
                    <w:rPr>
                      <w:rFonts w:ascii="Arial" w:hAnsi="Arial"/>
                    </w:rPr>
                    <w:t>.</w:t>
                  </w:r>
                </w:p>
              </w:tc>
            </w:tr>
          </w:tbl>
          <w:p w:rsidR="002E154C" w:rsidRDefault="002E154C" w:rsidP="002E154C">
            <w:pPr>
              <w:ind w:left="744"/>
              <w:rPr>
                <w:rFonts w:ascii="Arial" w:hAnsi="Arial"/>
              </w:rPr>
            </w:pPr>
          </w:p>
          <w:p w:rsidR="00772C31" w:rsidRPr="00B97086" w:rsidRDefault="002E154C" w:rsidP="002E154C">
            <w:pPr>
              <w:ind w:left="744"/>
              <w:rPr>
                <w:rFonts w:ascii="Arial" w:hAnsi="Arial"/>
              </w:rPr>
            </w:pPr>
            <w:r w:rsidRPr="002E154C">
              <w:rPr>
                <w:rFonts w:ascii="Arial" w:hAnsi="Arial"/>
                <w:b/>
              </w:rPr>
              <w:t>Note:</w:t>
            </w:r>
            <w:r w:rsidRPr="002234F3">
              <w:rPr>
                <w:rFonts w:ascii="Arial" w:hAnsi="Arial"/>
              </w:rPr>
              <w:t xml:space="preserve"> if contents of the broken unit(s) have contaminated other units, these units </w:t>
            </w:r>
            <w:r>
              <w:rPr>
                <w:rFonts w:ascii="Arial" w:hAnsi="Arial"/>
              </w:rPr>
              <w:t>will need to be discarded also.</w:t>
            </w:r>
            <w:r w:rsidRPr="002234F3">
              <w:rPr>
                <w:rFonts w:ascii="Arial" w:hAnsi="Arial"/>
              </w:rPr>
              <w:t xml:space="preserve"> See Reporting 7.3.</w:t>
            </w:r>
          </w:p>
        </w:tc>
      </w:tr>
      <w:tr w:rsidR="00772C31" w:rsidRPr="00B97086" w:rsidTr="00B97086">
        <w:trPr>
          <w:jc w:val="center"/>
        </w:trPr>
        <w:tc>
          <w:tcPr>
            <w:tcW w:w="9781" w:type="dxa"/>
            <w:gridSpan w:val="2"/>
            <w:shd w:val="clear" w:color="auto" w:fill="auto"/>
          </w:tcPr>
          <w:p w:rsidR="00772C31" w:rsidRPr="00B97086" w:rsidRDefault="002E154C" w:rsidP="002E154C">
            <w:pPr>
              <w:numPr>
                <w:ilvl w:val="1"/>
                <w:numId w:val="26"/>
              </w:numPr>
              <w:ind w:left="744" w:hanging="710"/>
              <w:rPr>
                <w:rFonts w:ascii="Arial" w:hAnsi="Arial"/>
              </w:rPr>
            </w:pPr>
            <w:r w:rsidRPr="002234F3">
              <w:rPr>
                <w:rFonts w:ascii="Arial" w:hAnsi="Arial"/>
              </w:rPr>
              <w:t>If no breakage or leaks are noted, remove the blood components/products from the bag.</w:t>
            </w:r>
          </w:p>
        </w:tc>
      </w:tr>
      <w:tr w:rsidR="002E154C" w:rsidRPr="00B97086" w:rsidTr="00987E7A">
        <w:trPr>
          <w:trHeight w:val="848"/>
          <w:jc w:val="center"/>
        </w:trPr>
        <w:tc>
          <w:tcPr>
            <w:tcW w:w="4112" w:type="dxa"/>
            <w:vMerge w:val="restart"/>
            <w:shd w:val="clear" w:color="auto" w:fill="auto"/>
          </w:tcPr>
          <w:p w:rsidR="002E154C" w:rsidRPr="00B97086" w:rsidRDefault="002E154C" w:rsidP="002E154C">
            <w:pPr>
              <w:numPr>
                <w:ilvl w:val="1"/>
                <w:numId w:val="26"/>
              </w:numPr>
              <w:ind w:left="744" w:hanging="710"/>
              <w:rPr>
                <w:rFonts w:ascii="Arial" w:hAnsi="Arial"/>
              </w:rPr>
            </w:pPr>
            <w:r w:rsidRPr="002234F3">
              <w:rPr>
                <w:rFonts w:ascii="Arial" w:hAnsi="Arial"/>
              </w:rPr>
              <w:t>Compare the information on the product label with the information on the packing slip.</w:t>
            </w:r>
          </w:p>
        </w:tc>
        <w:tc>
          <w:tcPr>
            <w:tcW w:w="5669" w:type="dxa"/>
            <w:shd w:val="clear" w:color="auto" w:fill="auto"/>
          </w:tcPr>
          <w:p w:rsidR="002E154C" w:rsidRPr="00B97086" w:rsidRDefault="002E154C" w:rsidP="002E154C">
            <w:pPr>
              <w:numPr>
                <w:ilvl w:val="2"/>
                <w:numId w:val="26"/>
              </w:numPr>
              <w:ind w:left="742"/>
              <w:rPr>
                <w:rFonts w:ascii="Arial" w:hAnsi="Arial"/>
              </w:rPr>
            </w:pPr>
            <w:r w:rsidRPr="002234F3">
              <w:rPr>
                <w:rFonts w:ascii="Arial" w:hAnsi="Arial"/>
              </w:rPr>
              <w:t>If the information matches, place a check mark beside the corresponding unit on the packing slip.</w:t>
            </w:r>
          </w:p>
        </w:tc>
      </w:tr>
      <w:tr w:rsidR="002E154C" w:rsidRPr="00B97086" w:rsidTr="002E154C">
        <w:trPr>
          <w:trHeight w:val="463"/>
          <w:jc w:val="center"/>
        </w:trPr>
        <w:tc>
          <w:tcPr>
            <w:tcW w:w="4112" w:type="dxa"/>
            <w:vMerge/>
            <w:shd w:val="clear" w:color="auto" w:fill="auto"/>
          </w:tcPr>
          <w:p w:rsidR="002E154C" w:rsidRPr="002234F3" w:rsidRDefault="002E154C" w:rsidP="002E154C">
            <w:pPr>
              <w:numPr>
                <w:ilvl w:val="1"/>
                <w:numId w:val="26"/>
              </w:numPr>
              <w:ind w:left="744" w:hanging="710"/>
              <w:rPr>
                <w:rFonts w:ascii="Arial" w:hAnsi="Arial"/>
              </w:rPr>
            </w:pPr>
          </w:p>
        </w:tc>
        <w:tc>
          <w:tcPr>
            <w:tcW w:w="5669" w:type="dxa"/>
            <w:shd w:val="clear" w:color="auto" w:fill="auto"/>
          </w:tcPr>
          <w:p w:rsidR="002E154C" w:rsidRPr="002234F3" w:rsidRDefault="002E154C" w:rsidP="002E154C">
            <w:pPr>
              <w:numPr>
                <w:ilvl w:val="2"/>
                <w:numId w:val="26"/>
              </w:numPr>
              <w:ind w:left="742"/>
              <w:rPr>
                <w:rFonts w:ascii="Arial" w:hAnsi="Arial"/>
              </w:rPr>
            </w:pPr>
            <w:r w:rsidRPr="002234F3">
              <w:rPr>
                <w:rFonts w:ascii="Arial" w:hAnsi="Arial"/>
              </w:rPr>
              <w:t>Ensure the product is not outdated.  If the unit is outdated, see Reporting 7.3.</w:t>
            </w:r>
          </w:p>
        </w:tc>
      </w:tr>
      <w:tr w:rsidR="00772C31" w:rsidRPr="00B97086" w:rsidTr="00B97086">
        <w:trPr>
          <w:jc w:val="center"/>
        </w:trPr>
        <w:tc>
          <w:tcPr>
            <w:tcW w:w="9781" w:type="dxa"/>
            <w:gridSpan w:val="2"/>
            <w:shd w:val="clear" w:color="auto" w:fill="auto"/>
          </w:tcPr>
          <w:p w:rsidR="00772C31" w:rsidRPr="00B97086" w:rsidRDefault="002E154C" w:rsidP="002E154C">
            <w:pPr>
              <w:numPr>
                <w:ilvl w:val="1"/>
                <w:numId w:val="26"/>
              </w:numPr>
              <w:ind w:left="744" w:hanging="710"/>
              <w:rPr>
                <w:rFonts w:ascii="Arial" w:hAnsi="Arial"/>
              </w:rPr>
            </w:pPr>
            <w:r w:rsidRPr="002234F3">
              <w:rPr>
                <w:rFonts w:ascii="Arial" w:hAnsi="Arial"/>
              </w:rPr>
              <w:t>For receiving plasma protein products, go to step 6.19.</w:t>
            </w:r>
          </w:p>
        </w:tc>
      </w:tr>
      <w:tr w:rsidR="00772C31" w:rsidRPr="00B97086" w:rsidTr="00B97086">
        <w:trPr>
          <w:jc w:val="center"/>
        </w:trPr>
        <w:tc>
          <w:tcPr>
            <w:tcW w:w="9781" w:type="dxa"/>
            <w:gridSpan w:val="2"/>
            <w:shd w:val="clear" w:color="auto" w:fill="auto"/>
          </w:tcPr>
          <w:p w:rsidR="001866B8" w:rsidRPr="001866B8" w:rsidRDefault="002E154C" w:rsidP="001866B8">
            <w:pPr>
              <w:numPr>
                <w:ilvl w:val="1"/>
                <w:numId w:val="26"/>
              </w:numPr>
              <w:ind w:left="744" w:hanging="710"/>
              <w:rPr>
                <w:rFonts w:ascii="Arial" w:hAnsi="Arial"/>
              </w:rPr>
            </w:pPr>
            <w:r w:rsidRPr="002234F3">
              <w:rPr>
                <w:rFonts w:ascii="Arial" w:hAnsi="Arial"/>
              </w:rPr>
              <w:t xml:space="preserve">If there are special instructions on the packing slip, confirm that the special instructions have been followed. </w:t>
            </w:r>
          </w:p>
          <w:p w:rsidR="001866B8" w:rsidRPr="00B97086" w:rsidRDefault="002E154C" w:rsidP="001866B8">
            <w:pPr>
              <w:ind w:left="744"/>
              <w:rPr>
                <w:rFonts w:ascii="Arial" w:hAnsi="Arial"/>
              </w:rPr>
            </w:pPr>
            <w:r w:rsidRPr="002234F3">
              <w:rPr>
                <w:rFonts w:ascii="Arial" w:hAnsi="Arial"/>
              </w:rPr>
              <w:t xml:space="preserve">For example, if the unit is irradiated, there must be an irradiation label on the unit. Place a check mark beside the applicable special instructions when the label has been confirmed. </w:t>
            </w:r>
            <w:r w:rsidR="001866B8">
              <w:rPr>
                <w:rFonts w:ascii="Arial" w:hAnsi="Arial"/>
              </w:rPr>
              <w:t>See Quality Control 5.2.1.</w:t>
            </w:r>
          </w:p>
        </w:tc>
      </w:tr>
      <w:tr w:rsidR="00772C31" w:rsidRPr="00B97086" w:rsidTr="001866B8">
        <w:trPr>
          <w:trHeight w:val="1715"/>
          <w:jc w:val="center"/>
        </w:trPr>
        <w:tc>
          <w:tcPr>
            <w:tcW w:w="9781" w:type="dxa"/>
            <w:gridSpan w:val="2"/>
            <w:shd w:val="clear" w:color="auto" w:fill="auto"/>
          </w:tcPr>
          <w:p w:rsidR="001866B8" w:rsidRPr="001866B8" w:rsidRDefault="001866B8" w:rsidP="001866B8">
            <w:pPr>
              <w:numPr>
                <w:ilvl w:val="1"/>
                <w:numId w:val="26"/>
              </w:numPr>
              <w:ind w:left="744" w:hanging="710"/>
              <w:rPr>
                <w:rFonts w:ascii="Arial" w:hAnsi="Arial"/>
              </w:rPr>
            </w:pPr>
            <w:r w:rsidRPr="002234F3">
              <w:rPr>
                <w:rFonts w:ascii="Arial" w:hAnsi="Arial"/>
              </w:rPr>
              <w:t>When all units from the box have been accounted for, visually inspect each unit.  See IM.003 – Visual Inspection of Blood, Blood Components and Plasma Protein Products.</w:t>
            </w:r>
          </w:p>
          <w:tbl>
            <w:tblPr>
              <w:tblStyle w:val="TableGrid"/>
              <w:tblW w:w="0" w:type="auto"/>
              <w:tblInd w:w="744" w:type="dxa"/>
              <w:tblLook w:val="04A0" w:firstRow="1" w:lastRow="0" w:firstColumn="1" w:lastColumn="0" w:noHBand="0" w:noVBand="1"/>
            </w:tblPr>
            <w:tblGrid>
              <w:gridCol w:w="3142"/>
              <w:gridCol w:w="5669"/>
            </w:tblGrid>
            <w:tr w:rsidR="001866B8" w:rsidTr="00F5352D">
              <w:tc>
                <w:tcPr>
                  <w:tcW w:w="0" w:type="auto"/>
                  <w:shd w:val="clear" w:color="auto" w:fill="F2F2F2" w:themeFill="background1" w:themeFillShade="F2"/>
                </w:tcPr>
                <w:p w:rsidR="001866B8" w:rsidRPr="00F5352D" w:rsidRDefault="001866B8" w:rsidP="001866B8">
                  <w:pPr>
                    <w:rPr>
                      <w:rFonts w:ascii="Arial" w:hAnsi="Arial"/>
                      <w:b/>
                      <w:i/>
                      <w:sz w:val="22"/>
                    </w:rPr>
                  </w:pPr>
                  <w:r w:rsidRPr="00F5352D">
                    <w:rPr>
                      <w:rFonts w:ascii="Arial" w:hAnsi="Arial"/>
                      <w:b/>
                      <w:i/>
                      <w:sz w:val="22"/>
                    </w:rPr>
                    <w:t>If</w:t>
                  </w:r>
                </w:p>
              </w:tc>
              <w:tc>
                <w:tcPr>
                  <w:tcW w:w="0" w:type="auto"/>
                  <w:shd w:val="clear" w:color="auto" w:fill="F2F2F2" w:themeFill="background1" w:themeFillShade="F2"/>
                </w:tcPr>
                <w:p w:rsidR="001866B8" w:rsidRPr="00F5352D" w:rsidRDefault="001866B8" w:rsidP="001866B8">
                  <w:pPr>
                    <w:rPr>
                      <w:rFonts w:ascii="Arial" w:hAnsi="Arial"/>
                      <w:b/>
                      <w:i/>
                      <w:sz w:val="22"/>
                    </w:rPr>
                  </w:pPr>
                  <w:r w:rsidRPr="00F5352D">
                    <w:rPr>
                      <w:rFonts w:ascii="Arial" w:hAnsi="Arial"/>
                      <w:b/>
                      <w:i/>
                      <w:sz w:val="22"/>
                    </w:rPr>
                    <w:t>Then</w:t>
                  </w:r>
                </w:p>
              </w:tc>
            </w:tr>
            <w:tr w:rsidR="001866B8" w:rsidTr="001866B8">
              <w:tc>
                <w:tcPr>
                  <w:tcW w:w="0" w:type="auto"/>
                </w:tcPr>
                <w:p w:rsidR="001866B8" w:rsidRPr="001866B8" w:rsidRDefault="001866B8" w:rsidP="001866B8">
                  <w:pPr>
                    <w:rPr>
                      <w:rFonts w:ascii="Arial" w:hAnsi="Arial"/>
                      <w:sz w:val="22"/>
                    </w:rPr>
                  </w:pPr>
                  <w:r>
                    <w:rPr>
                      <w:rFonts w:ascii="Arial" w:hAnsi="Arial"/>
                      <w:sz w:val="22"/>
                    </w:rPr>
                    <w:t>V</w:t>
                  </w:r>
                  <w:r w:rsidRPr="001866B8">
                    <w:rPr>
                      <w:rFonts w:ascii="Arial" w:hAnsi="Arial"/>
                      <w:sz w:val="22"/>
                    </w:rPr>
                    <w:t xml:space="preserve">isual inspection criteria are not met, </w:t>
                  </w:r>
                </w:p>
              </w:tc>
              <w:tc>
                <w:tcPr>
                  <w:tcW w:w="0" w:type="auto"/>
                </w:tcPr>
                <w:p w:rsidR="001866B8" w:rsidRPr="001866B8" w:rsidRDefault="001866B8" w:rsidP="001866B8">
                  <w:pPr>
                    <w:rPr>
                      <w:rFonts w:ascii="Arial" w:hAnsi="Arial"/>
                      <w:sz w:val="22"/>
                    </w:rPr>
                  </w:pPr>
                  <w:proofErr w:type="gramStart"/>
                  <w:r w:rsidRPr="001866B8">
                    <w:rPr>
                      <w:rFonts w:ascii="Arial" w:hAnsi="Arial"/>
                      <w:sz w:val="22"/>
                    </w:rPr>
                    <w:t>document</w:t>
                  </w:r>
                  <w:proofErr w:type="gramEnd"/>
                  <w:r w:rsidRPr="001866B8">
                    <w:rPr>
                      <w:rFonts w:ascii="Arial" w:hAnsi="Arial"/>
                      <w:sz w:val="22"/>
                    </w:rPr>
                    <w:t xml:space="preserve"> the failure on the issue voucher or inter</w:t>
                  </w:r>
                  <w:r>
                    <w:rPr>
                      <w:rFonts w:ascii="Arial" w:hAnsi="Arial"/>
                      <w:sz w:val="22"/>
                    </w:rPr>
                    <w:t>-</w:t>
                  </w:r>
                  <w:r w:rsidRPr="001866B8">
                    <w:rPr>
                      <w:rFonts w:ascii="Arial" w:hAnsi="Arial"/>
                      <w:sz w:val="22"/>
                    </w:rPr>
                    <w:t>hospital transfer form.</w:t>
                  </w:r>
                </w:p>
              </w:tc>
            </w:tr>
          </w:tbl>
          <w:p w:rsidR="001866B8" w:rsidRPr="00B97086" w:rsidRDefault="001866B8" w:rsidP="001866B8">
            <w:pPr>
              <w:ind w:left="744"/>
              <w:rPr>
                <w:rFonts w:ascii="Arial" w:hAnsi="Arial"/>
              </w:rPr>
            </w:pPr>
          </w:p>
        </w:tc>
      </w:tr>
      <w:tr w:rsidR="00772C31" w:rsidRPr="00B97086" w:rsidTr="00B97086">
        <w:trPr>
          <w:jc w:val="center"/>
        </w:trPr>
        <w:tc>
          <w:tcPr>
            <w:tcW w:w="9781" w:type="dxa"/>
            <w:gridSpan w:val="2"/>
            <w:shd w:val="clear" w:color="auto" w:fill="auto"/>
          </w:tcPr>
          <w:p w:rsidR="00772C31" w:rsidRPr="00B97086" w:rsidRDefault="001866B8" w:rsidP="001866B8">
            <w:pPr>
              <w:numPr>
                <w:ilvl w:val="1"/>
                <w:numId w:val="26"/>
              </w:numPr>
              <w:ind w:left="744" w:hanging="710"/>
              <w:rPr>
                <w:rFonts w:ascii="Arial" w:hAnsi="Arial"/>
              </w:rPr>
            </w:pPr>
            <w:r w:rsidRPr="002234F3">
              <w:rPr>
                <w:rFonts w:ascii="Arial" w:hAnsi="Arial"/>
              </w:rPr>
              <w:t>Irradiated RBC components may e</w:t>
            </w:r>
            <w:r>
              <w:rPr>
                <w:rFonts w:ascii="Arial" w:hAnsi="Arial"/>
              </w:rPr>
              <w:t xml:space="preserve">xpire before normal outdating. </w:t>
            </w:r>
            <w:r w:rsidRPr="002234F3">
              <w:rPr>
                <w:rFonts w:ascii="Arial" w:hAnsi="Arial"/>
              </w:rPr>
              <w:t>See Quality Control 5.2.1.</w:t>
            </w:r>
          </w:p>
        </w:tc>
      </w:tr>
      <w:tr w:rsidR="00772C31" w:rsidRPr="00B97086" w:rsidTr="00B97086">
        <w:trPr>
          <w:jc w:val="center"/>
        </w:trPr>
        <w:tc>
          <w:tcPr>
            <w:tcW w:w="9781" w:type="dxa"/>
            <w:gridSpan w:val="2"/>
            <w:shd w:val="clear" w:color="auto" w:fill="auto"/>
          </w:tcPr>
          <w:p w:rsidR="00772C31" w:rsidRPr="00B97086" w:rsidRDefault="001866B8" w:rsidP="001866B8">
            <w:pPr>
              <w:numPr>
                <w:ilvl w:val="1"/>
                <w:numId w:val="26"/>
              </w:numPr>
              <w:ind w:left="744" w:hanging="710"/>
              <w:rPr>
                <w:rFonts w:ascii="Arial" w:hAnsi="Arial"/>
              </w:rPr>
            </w:pPr>
            <w:r w:rsidRPr="002234F3">
              <w:rPr>
                <w:rFonts w:ascii="Arial" w:hAnsi="Arial"/>
              </w:rPr>
              <w:t>Repeat steps 6.6 to 6.15 for all other fresh and frozen products received.</w:t>
            </w:r>
          </w:p>
        </w:tc>
      </w:tr>
      <w:tr w:rsidR="00772C31" w:rsidRPr="00B97086" w:rsidTr="00B97086">
        <w:trPr>
          <w:jc w:val="center"/>
        </w:trPr>
        <w:tc>
          <w:tcPr>
            <w:tcW w:w="9781" w:type="dxa"/>
            <w:gridSpan w:val="2"/>
            <w:shd w:val="clear" w:color="auto" w:fill="auto"/>
          </w:tcPr>
          <w:p w:rsidR="00772C31" w:rsidRPr="00B97086" w:rsidRDefault="001866B8" w:rsidP="001866B8">
            <w:pPr>
              <w:numPr>
                <w:ilvl w:val="1"/>
                <w:numId w:val="26"/>
              </w:numPr>
              <w:ind w:left="744" w:hanging="710"/>
              <w:rPr>
                <w:rFonts w:ascii="Arial" w:hAnsi="Arial"/>
              </w:rPr>
            </w:pPr>
            <w:r w:rsidRPr="002234F3">
              <w:rPr>
                <w:rFonts w:ascii="Arial" w:hAnsi="Arial"/>
              </w:rPr>
              <w:t>If there is a computer system in TS, enter the units into inventory</w:t>
            </w:r>
            <w:r>
              <w:rPr>
                <w:rFonts w:ascii="Arial" w:hAnsi="Arial"/>
              </w:rPr>
              <w:t xml:space="preserve"> as per established procedure. </w:t>
            </w:r>
            <w:r w:rsidRPr="002234F3">
              <w:rPr>
                <w:rFonts w:ascii="Arial" w:hAnsi="Arial"/>
              </w:rPr>
              <w:t xml:space="preserve">If an electronic </w:t>
            </w:r>
            <w:proofErr w:type="spellStart"/>
            <w:r w:rsidRPr="002234F3">
              <w:rPr>
                <w:rFonts w:ascii="Arial" w:hAnsi="Arial"/>
              </w:rPr>
              <w:t>crossmatch</w:t>
            </w:r>
            <w:proofErr w:type="spellEnd"/>
            <w:r w:rsidRPr="002234F3">
              <w:rPr>
                <w:rFonts w:ascii="Arial" w:hAnsi="Arial"/>
              </w:rPr>
              <w:t xml:space="preserve"> is used, prepare the units for ABO/Rh confirmation as per established procedure.</w:t>
            </w:r>
          </w:p>
        </w:tc>
      </w:tr>
      <w:tr w:rsidR="00772C31" w:rsidRPr="00B97086" w:rsidTr="00B97086">
        <w:trPr>
          <w:jc w:val="center"/>
        </w:trPr>
        <w:tc>
          <w:tcPr>
            <w:tcW w:w="9781" w:type="dxa"/>
            <w:gridSpan w:val="2"/>
            <w:shd w:val="clear" w:color="auto" w:fill="auto"/>
          </w:tcPr>
          <w:p w:rsidR="00772C31" w:rsidRPr="001866B8" w:rsidRDefault="001866B8" w:rsidP="00772C31">
            <w:pPr>
              <w:numPr>
                <w:ilvl w:val="1"/>
                <w:numId w:val="26"/>
              </w:numPr>
              <w:ind w:left="744" w:hanging="744"/>
              <w:rPr>
                <w:rFonts w:ascii="Arial" w:hAnsi="Arial"/>
              </w:rPr>
            </w:pPr>
            <w:r w:rsidRPr="002234F3">
              <w:rPr>
                <w:rFonts w:ascii="Arial" w:hAnsi="Arial"/>
              </w:rPr>
              <w:t>Remove at least one segment from each red cell unit received and label the segment with a sti</w:t>
            </w:r>
            <w:r w:rsidR="00667BD9">
              <w:rPr>
                <w:rFonts w:ascii="Arial" w:hAnsi="Arial"/>
              </w:rPr>
              <w:t>cker from the back of the unit.</w:t>
            </w:r>
            <w:r w:rsidRPr="002234F3">
              <w:rPr>
                <w:rFonts w:ascii="Arial" w:hAnsi="Arial"/>
              </w:rPr>
              <w:t xml:space="preserve"> If there are no stickers on the back of the unit, write the ISBT 128 donor uni</w:t>
            </w:r>
            <w:r w:rsidR="00667BD9">
              <w:rPr>
                <w:rFonts w:ascii="Arial" w:hAnsi="Arial"/>
              </w:rPr>
              <w:t xml:space="preserve">t number including source code, </w:t>
            </w:r>
            <w:r w:rsidRPr="002234F3">
              <w:rPr>
                <w:rFonts w:ascii="Arial" w:hAnsi="Arial"/>
              </w:rPr>
              <w:t>year, unit number and  check character on a piece of tape or a blank label and attach the tape/label to the segment.</w:t>
            </w:r>
          </w:p>
        </w:tc>
      </w:tr>
      <w:tr w:rsidR="00772C31" w:rsidRPr="00B97086" w:rsidTr="00B97086">
        <w:trPr>
          <w:jc w:val="center"/>
        </w:trPr>
        <w:tc>
          <w:tcPr>
            <w:tcW w:w="9781" w:type="dxa"/>
            <w:gridSpan w:val="2"/>
            <w:shd w:val="clear" w:color="auto" w:fill="auto"/>
          </w:tcPr>
          <w:p w:rsidR="00772C31" w:rsidRPr="00B97086" w:rsidRDefault="00667BD9" w:rsidP="00667BD9">
            <w:pPr>
              <w:numPr>
                <w:ilvl w:val="1"/>
                <w:numId w:val="26"/>
              </w:numPr>
              <w:ind w:left="744" w:hanging="710"/>
              <w:rPr>
                <w:rFonts w:ascii="Arial" w:hAnsi="Arial"/>
              </w:rPr>
            </w:pPr>
            <w:r w:rsidRPr="002234F3">
              <w:rPr>
                <w:rFonts w:ascii="Arial" w:hAnsi="Arial"/>
              </w:rPr>
              <w:t>Store the segments at 1-6°C for at least 49 days (7 weeks). See Procedural Notes 8.2.</w:t>
            </w:r>
          </w:p>
        </w:tc>
      </w:tr>
      <w:tr w:rsidR="00772C31" w:rsidRPr="00B97086" w:rsidTr="00B97086">
        <w:trPr>
          <w:jc w:val="center"/>
        </w:trPr>
        <w:tc>
          <w:tcPr>
            <w:tcW w:w="9781" w:type="dxa"/>
            <w:gridSpan w:val="2"/>
            <w:shd w:val="clear" w:color="auto" w:fill="auto"/>
          </w:tcPr>
          <w:p w:rsidR="00772C31" w:rsidRPr="00B97086" w:rsidRDefault="00667BD9" w:rsidP="00667BD9">
            <w:pPr>
              <w:numPr>
                <w:ilvl w:val="1"/>
                <w:numId w:val="26"/>
              </w:numPr>
              <w:ind w:left="744" w:hanging="710"/>
              <w:rPr>
                <w:rFonts w:ascii="Arial" w:hAnsi="Arial"/>
              </w:rPr>
            </w:pPr>
            <w:r w:rsidRPr="002234F3">
              <w:rPr>
                <w:rFonts w:ascii="Arial" w:hAnsi="Arial"/>
              </w:rPr>
              <w:t>Place the products in the appropriate storage areas ensuring that the oldest products are placed in an area where they will be selected first.</w:t>
            </w:r>
          </w:p>
        </w:tc>
      </w:tr>
      <w:tr w:rsidR="00667BD9" w:rsidRPr="00B97086" w:rsidTr="00667BD9">
        <w:trPr>
          <w:trHeight w:val="1070"/>
          <w:jc w:val="center"/>
        </w:trPr>
        <w:tc>
          <w:tcPr>
            <w:tcW w:w="4112" w:type="dxa"/>
            <w:vMerge w:val="restart"/>
            <w:shd w:val="clear" w:color="auto" w:fill="auto"/>
          </w:tcPr>
          <w:p w:rsidR="00667BD9" w:rsidRPr="00B97086" w:rsidRDefault="00667BD9" w:rsidP="00667BD9">
            <w:pPr>
              <w:numPr>
                <w:ilvl w:val="1"/>
                <w:numId w:val="26"/>
              </w:numPr>
              <w:ind w:left="744" w:hanging="710"/>
              <w:rPr>
                <w:rFonts w:ascii="Arial" w:hAnsi="Arial"/>
              </w:rPr>
            </w:pPr>
            <w:r w:rsidRPr="002234F3">
              <w:rPr>
                <w:rFonts w:ascii="Arial" w:hAnsi="Arial"/>
              </w:rPr>
              <w:t>To receive plasma protein products</w:t>
            </w:r>
            <w:r>
              <w:rPr>
                <w:rFonts w:ascii="Arial" w:hAnsi="Arial"/>
              </w:rPr>
              <w:t>:</w:t>
            </w:r>
          </w:p>
        </w:tc>
        <w:tc>
          <w:tcPr>
            <w:tcW w:w="5669" w:type="dxa"/>
            <w:shd w:val="clear" w:color="auto" w:fill="auto"/>
          </w:tcPr>
          <w:p w:rsidR="00667BD9" w:rsidRPr="00B97086" w:rsidRDefault="00667BD9" w:rsidP="00667BD9">
            <w:pPr>
              <w:numPr>
                <w:ilvl w:val="2"/>
                <w:numId w:val="26"/>
              </w:numPr>
              <w:ind w:left="743"/>
              <w:rPr>
                <w:rFonts w:ascii="Arial" w:hAnsi="Arial"/>
              </w:rPr>
            </w:pPr>
            <w:r w:rsidRPr="002234F3">
              <w:rPr>
                <w:rFonts w:ascii="Arial" w:hAnsi="Arial"/>
              </w:rPr>
              <w:t>Compare the lot number and quantity (number of bottles/vials) received to the information on the packing slip or inter</w:t>
            </w:r>
            <w:r>
              <w:rPr>
                <w:rFonts w:ascii="Arial" w:hAnsi="Arial"/>
              </w:rPr>
              <w:t>-</w:t>
            </w:r>
            <w:r w:rsidRPr="002234F3">
              <w:rPr>
                <w:rFonts w:ascii="Arial" w:hAnsi="Arial"/>
              </w:rPr>
              <w:t>hospital exchange form</w:t>
            </w:r>
          </w:p>
        </w:tc>
      </w:tr>
      <w:tr w:rsidR="00667BD9" w:rsidRPr="00B97086" w:rsidTr="00667BD9">
        <w:trPr>
          <w:trHeight w:val="760"/>
          <w:jc w:val="center"/>
        </w:trPr>
        <w:tc>
          <w:tcPr>
            <w:tcW w:w="4112" w:type="dxa"/>
            <w:vMerge/>
            <w:shd w:val="clear" w:color="auto" w:fill="auto"/>
          </w:tcPr>
          <w:p w:rsidR="00667BD9" w:rsidRPr="002234F3" w:rsidRDefault="00667BD9" w:rsidP="00667BD9">
            <w:pPr>
              <w:numPr>
                <w:ilvl w:val="1"/>
                <w:numId w:val="26"/>
              </w:numPr>
              <w:ind w:left="744" w:hanging="710"/>
              <w:rPr>
                <w:rFonts w:ascii="Arial" w:hAnsi="Arial"/>
              </w:rPr>
            </w:pPr>
          </w:p>
        </w:tc>
        <w:tc>
          <w:tcPr>
            <w:tcW w:w="5669" w:type="dxa"/>
            <w:shd w:val="clear" w:color="auto" w:fill="auto"/>
          </w:tcPr>
          <w:p w:rsidR="00667BD9" w:rsidRPr="002234F3" w:rsidRDefault="00667BD9" w:rsidP="00667BD9">
            <w:pPr>
              <w:numPr>
                <w:ilvl w:val="2"/>
                <w:numId w:val="26"/>
              </w:numPr>
              <w:ind w:left="743"/>
              <w:rPr>
                <w:rFonts w:ascii="Arial" w:hAnsi="Arial"/>
              </w:rPr>
            </w:pPr>
            <w:r w:rsidRPr="002234F3">
              <w:rPr>
                <w:rFonts w:ascii="Arial" w:hAnsi="Arial"/>
              </w:rPr>
              <w:t>Record date and time on the issue voucher or the inter</w:t>
            </w:r>
            <w:r>
              <w:rPr>
                <w:rFonts w:ascii="Arial" w:hAnsi="Arial"/>
              </w:rPr>
              <w:t>-</w:t>
            </w:r>
            <w:r w:rsidRPr="002234F3">
              <w:rPr>
                <w:rFonts w:ascii="Arial" w:hAnsi="Arial"/>
              </w:rPr>
              <w:t>hospital exchange form in the appropriate area (IM.006F or IM.007F1).</w:t>
            </w:r>
          </w:p>
        </w:tc>
      </w:tr>
      <w:tr w:rsidR="00667BD9" w:rsidRPr="00B97086" w:rsidTr="00667BD9">
        <w:trPr>
          <w:trHeight w:val="2270"/>
          <w:jc w:val="center"/>
        </w:trPr>
        <w:tc>
          <w:tcPr>
            <w:tcW w:w="4112" w:type="dxa"/>
            <w:vMerge/>
            <w:shd w:val="clear" w:color="auto" w:fill="auto"/>
          </w:tcPr>
          <w:p w:rsidR="00667BD9" w:rsidRPr="002234F3" w:rsidRDefault="00667BD9" w:rsidP="00667BD9">
            <w:pPr>
              <w:numPr>
                <w:ilvl w:val="1"/>
                <w:numId w:val="26"/>
              </w:numPr>
              <w:ind w:left="744" w:hanging="710"/>
              <w:rPr>
                <w:rFonts w:ascii="Arial" w:hAnsi="Arial"/>
              </w:rPr>
            </w:pPr>
          </w:p>
        </w:tc>
        <w:tc>
          <w:tcPr>
            <w:tcW w:w="5669" w:type="dxa"/>
            <w:shd w:val="clear" w:color="auto" w:fill="auto"/>
          </w:tcPr>
          <w:p w:rsidR="00667BD9" w:rsidRPr="002234F3" w:rsidRDefault="00667BD9" w:rsidP="00667BD9">
            <w:pPr>
              <w:numPr>
                <w:ilvl w:val="2"/>
                <w:numId w:val="26"/>
              </w:numPr>
              <w:ind w:left="743"/>
              <w:rPr>
                <w:rFonts w:ascii="Arial" w:hAnsi="Arial"/>
              </w:rPr>
            </w:pPr>
            <w:r w:rsidRPr="002234F3">
              <w:rPr>
                <w:rFonts w:ascii="Arial" w:hAnsi="Arial"/>
              </w:rPr>
              <w:t>If the products have been sent for a hemophilia or other home care patient (Factor Concentrates, Subcutaneous Ig, C1 Esterase Inhibitor):</w:t>
            </w:r>
          </w:p>
          <w:p w:rsidR="00667BD9" w:rsidRPr="002234F3" w:rsidRDefault="00667BD9" w:rsidP="00667BD9">
            <w:pPr>
              <w:numPr>
                <w:ilvl w:val="0"/>
                <w:numId w:val="40"/>
              </w:numPr>
              <w:rPr>
                <w:rFonts w:ascii="Arial" w:hAnsi="Arial"/>
              </w:rPr>
            </w:pPr>
            <w:r w:rsidRPr="002234F3">
              <w:rPr>
                <w:rFonts w:ascii="Arial" w:hAnsi="Arial"/>
              </w:rPr>
              <w:t>Record the name of the patient from the issue voucher onto a label</w:t>
            </w:r>
          </w:p>
          <w:p w:rsidR="00667BD9" w:rsidRPr="002234F3" w:rsidRDefault="00667BD9" w:rsidP="00667BD9">
            <w:pPr>
              <w:numPr>
                <w:ilvl w:val="0"/>
                <w:numId w:val="40"/>
              </w:numPr>
              <w:rPr>
                <w:rFonts w:ascii="Arial" w:hAnsi="Arial"/>
              </w:rPr>
            </w:pPr>
            <w:r w:rsidRPr="002234F3">
              <w:rPr>
                <w:rFonts w:ascii="Arial" w:hAnsi="Arial"/>
              </w:rPr>
              <w:t>Attach the label to a bag containing the plasma protein products</w:t>
            </w:r>
          </w:p>
        </w:tc>
      </w:tr>
      <w:tr w:rsidR="00667BD9" w:rsidRPr="00B97086" w:rsidTr="00667BD9">
        <w:trPr>
          <w:trHeight w:val="1370"/>
          <w:jc w:val="center"/>
        </w:trPr>
        <w:tc>
          <w:tcPr>
            <w:tcW w:w="4112" w:type="dxa"/>
            <w:vMerge/>
            <w:shd w:val="clear" w:color="auto" w:fill="auto"/>
          </w:tcPr>
          <w:p w:rsidR="00667BD9" w:rsidRPr="002234F3" w:rsidRDefault="00667BD9" w:rsidP="00667BD9">
            <w:pPr>
              <w:numPr>
                <w:ilvl w:val="1"/>
                <w:numId w:val="26"/>
              </w:numPr>
              <w:ind w:left="744" w:hanging="710"/>
              <w:rPr>
                <w:rFonts w:ascii="Arial" w:hAnsi="Arial"/>
              </w:rPr>
            </w:pPr>
          </w:p>
        </w:tc>
        <w:tc>
          <w:tcPr>
            <w:tcW w:w="5669" w:type="dxa"/>
            <w:shd w:val="clear" w:color="auto" w:fill="auto"/>
          </w:tcPr>
          <w:p w:rsidR="00667BD9" w:rsidRPr="002234F3" w:rsidRDefault="00667BD9" w:rsidP="00667BD9">
            <w:pPr>
              <w:numPr>
                <w:ilvl w:val="2"/>
                <w:numId w:val="26"/>
              </w:numPr>
              <w:ind w:left="743"/>
              <w:rPr>
                <w:rFonts w:ascii="Arial" w:hAnsi="Arial"/>
              </w:rPr>
            </w:pPr>
            <w:r w:rsidRPr="002234F3">
              <w:rPr>
                <w:rFonts w:ascii="Arial" w:hAnsi="Arial"/>
              </w:rPr>
              <w:t>Place the products for inventory in the appropriate storage area ensuring that the oldest products are placed in an area where they will be selected first for assignment to a patient.</w:t>
            </w:r>
          </w:p>
        </w:tc>
      </w:tr>
      <w:tr w:rsidR="00667BD9" w:rsidRPr="00B97086" w:rsidTr="00667BD9">
        <w:trPr>
          <w:trHeight w:val="280"/>
          <w:jc w:val="center"/>
        </w:trPr>
        <w:tc>
          <w:tcPr>
            <w:tcW w:w="4112" w:type="dxa"/>
            <w:vMerge/>
            <w:shd w:val="clear" w:color="auto" w:fill="auto"/>
          </w:tcPr>
          <w:p w:rsidR="00667BD9" w:rsidRPr="002234F3" w:rsidRDefault="00667BD9" w:rsidP="00667BD9">
            <w:pPr>
              <w:numPr>
                <w:ilvl w:val="1"/>
                <w:numId w:val="26"/>
              </w:numPr>
              <w:ind w:left="744" w:hanging="710"/>
              <w:rPr>
                <w:rFonts w:ascii="Arial" w:hAnsi="Arial"/>
              </w:rPr>
            </w:pPr>
          </w:p>
        </w:tc>
        <w:tc>
          <w:tcPr>
            <w:tcW w:w="5669" w:type="dxa"/>
            <w:shd w:val="clear" w:color="auto" w:fill="auto"/>
          </w:tcPr>
          <w:p w:rsidR="00667BD9" w:rsidRPr="002234F3" w:rsidRDefault="00667BD9" w:rsidP="00667BD9">
            <w:pPr>
              <w:numPr>
                <w:ilvl w:val="2"/>
                <w:numId w:val="26"/>
              </w:numPr>
              <w:ind w:left="743"/>
              <w:rPr>
                <w:rFonts w:ascii="Arial" w:hAnsi="Arial"/>
              </w:rPr>
            </w:pPr>
            <w:r w:rsidRPr="002234F3">
              <w:rPr>
                <w:rFonts w:ascii="Arial" w:hAnsi="Arial"/>
              </w:rPr>
              <w:t>Place products for home care patients in designated storage area.</w:t>
            </w:r>
          </w:p>
        </w:tc>
      </w:tr>
      <w:tr w:rsidR="00772C31" w:rsidRPr="00B97086" w:rsidTr="00B97086">
        <w:trPr>
          <w:jc w:val="center"/>
        </w:trPr>
        <w:tc>
          <w:tcPr>
            <w:tcW w:w="9781" w:type="dxa"/>
            <w:gridSpan w:val="2"/>
            <w:shd w:val="clear" w:color="auto" w:fill="auto"/>
          </w:tcPr>
          <w:p w:rsidR="00772C31" w:rsidRPr="00B97086" w:rsidRDefault="00667BD9" w:rsidP="00667BD9">
            <w:pPr>
              <w:numPr>
                <w:ilvl w:val="1"/>
                <w:numId w:val="26"/>
              </w:numPr>
              <w:ind w:left="744" w:hanging="710"/>
              <w:rPr>
                <w:rFonts w:ascii="Arial" w:hAnsi="Arial"/>
              </w:rPr>
            </w:pPr>
            <w:r w:rsidRPr="002234F3">
              <w:rPr>
                <w:rFonts w:ascii="Arial" w:hAnsi="Arial"/>
              </w:rPr>
              <w:t>Close all boxes and reattach closure straps. Remove shipping label(s) from the boxes if indicated.</w:t>
            </w:r>
          </w:p>
        </w:tc>
      </w:tr>
      <w:tr w:rsidR="00772C31" w:rsidRPr="00B97086" w:rsidTr="00B97086">
        <w:trPr>
          <w:jc w:val="center"/>
        </w:trPr>
        <w:tc>
          <w:tcPr>
            <w:tcW w:w="9781" w:type="dxa"/>
            <w:gridSpan w:val="2"/>
            <w:shd w:val="clear" w:color="auto" w:fill="auto"/>
          </w:tcPr>
          <w:p w:rsidR="00772C31" w:rsidRPr="00B97086" w:rsidRDefault="00667BD9" w:rsidP="00667BD9">
            <w:pPr>
              <w:numPr>
                <w:ilvl w:val="1"/>
                <w:numId w:val="26"/>
              </w:numPr>
              <w:ind w:left="744" w:hanging="710"/>
              <w:rPr>
                <w:rFonts w:ascii="Arial" w:hAnsi="Arial"/>
              </w:rPr>
            </w:pPr>
            <w:r w:rsidRPr="002234F3">
              <w:rPr>
                <w:rFonts w:ascii="Arial" w:hAnsi="Arial"/>
              </w:rPr>
              <w:t>Store the boxes in an appropriate location or return to blood supplier as per established procedure.</w:t>
            </w:r>
          </w:p>
        </w:tc>
      </w:tr>
    </w:tbl>
    <w:p w:rsidR="00667BD9" w:rsidRDefault="00667BD9" w:rsidP="00667BD9">
      <w:pPr>
        <w:rPr>
          <w:rFonts w:ascii="Arial" w:hAnsi="Arial"/>
        </w:rPr>
      </w:pPr>
    </w:p>
    <w:p w:rsidR="00667BD9" w:rsidRPr="00F00A29" w:rsidRDefault="00667BD9" w:rsidP="00F00A29">
      <w:pPr>
        <w:numPr>
          <w:ilvl w:val="0"/>
          <w:numId w:val="26"/>
        </w:numPr>
        <w:spacing w:after="200"/>
        <w:ind w:left="706" w:hanging="706"/>
        <w:rPr>
          <w:rFonts w:ascii="Arial" w:hAnsi="Arial"/>
        </w:rPr>
      </w:pPr>
      <w:r w:rsidRPr="00F5352D">
        <w:rPr>
          <w:rFonts w:ascii="Arial" w:hAnsi="Arial"/>
          <w:b/>
          <w:sz w:val="28"/>
        </w:rPr>
        <w:t>Reporting</w:t>
      </w:r>
    </w:p>
    <w:p w:rsidR="00667BD9" w:rsidRDefault="00667BD9" w:rsidP="00667BD9">
      <w:pPr>
        <w:numPr>
          <w:ilvl w:val="1"/>
          <w:numId w:val="26"/>
        </w:numPr>
        <w:ind w:left="1418" w:hanging="698"/>
        <w:rPr>
          <w:rFonts w:ascii="Arial" w:hAnsi="Arial"/>
        </w:rPr>
      </w:pPr>
      <w:r w:rsidRPr="00667BD9">
        <w:rPr>
          <w:rFonts w:ascii="Arial" w:hAnsi="Arial"/>
        </w:rPr>
        <w:t>For shipments of plasma protein products from the blood supplier, return one copy of the packi</w:t>
      </w:r>
      <w:r>
        <w:rPr>
          <w:rFonts w:ascii="Arial" w:hAnsi="Arial"/>
        </w:rPr>
        <w:t xml:space="preserve">ng slip to the blood supplier. </w:t>
      </w:r>
      <w:r w:rsidRPr="00667BD9">
        <w:rPr>
          <w:rFonts w:ascii="Arial" w:hAnsi="Arial"/>
        </w:rPr>
        <w:t>The other copy must be retained by the facility indefinitely.</w:t>
      </w:r>
    </w:p>
    <w:p w:rsidR="00667BD9" w:rsidRDefault="00667BD9" w:rsidP="00667BD9">
      <w:pPr>
        <w:ind w:left="1080"/>
        <w:rPr>
          <w:rFonts w:ascii="Arial" w:hAnsi="Arial"/>
        </w:rPr>
      </w:pPr>
    </w:p>
    <w:p w:rsidR="00667BD9" w:rsidRDefault="00667BD9" w:rsidP="00667BD9">
      <w:pPr>
        <w:numPr>
          <w:ilvl w:val="1"/>
          <w:numId w:val="26"/>
        </w:numPr>
        <w:ind w:left="1418" w:hanging="698"/>
        <w:rPr>
          <w:rFonts w:ascii="Arial" w:hAnsi="Arial"/>
        </w:rPr>
      </w:pPr>
      <w:r w:rsidRPr="00667BD9">
        <w:rPr>
          <w:rFonts w:ascii="Arial" w:hAnsi="Arial"/>
        </w:rPr>
        <w:t>For inter</w:t>
      </w:r>
      <w:r>
        <w:rPr>
          <w:rFonts w:ascii="Arial" w:hAnsi="Arial"/>
        </w:rPr>
        <w:t>-</w:t>
      </w:r>
      <w:r w:rsidRPr="00667BD9">
        <w:rPr>
          <w:rFonts w:ascii="Arial" w:hAnsi="Arial"/>
        </w:rPr>
        <w:t xml:space="preserve">hospital exchange for inventory purposes, one copy must be retained indefinitely. </w:t>
      </w:r>
    </w:p>
    <w:p w:rsidR="00667BD9" w:rsidRDefault="00667BD9" w:rsidP="00667BD9">
      <w:pPr>
        <w:pStyle w:val="ListParagraph"/>
        <w:rPr>
          <w:rFonts w:ascii="Arial" w:hAnsi="Arial"/>
        </w:rPr>
      </w:pPr>
    </w:p>
    <w:p w:rsidR="00667BD9" w:rsidRDefault="00667BD9" w:rsidP="00F5352D">
      <w:pPr>
        <w:numPr>
          <w:ilvl w:val="2"/>
          <w:numId w:val="26"/>
        </w:numPr>
        <w:ind w:left="2160"/>
        <w:rPr>
          <w:rFonts w:ascii="Arial" w:hAnsi="Arial"/>
        </w:rPr>
      </w:pPr>
      <w:r w:rsidRPr="00667BD9">
        <w:rPr>
          <w:rFonts w:ascii="Arial" w:hAnsi="Arial"/>
        </w:rPr>
        <w:t>For blood components and/or blood products transported with patients, see Procedural Notes 8.3.</w:t>
      </w:r>
    </w:p>
    <w:p w:rsidR="00667BD9" w:rsidRDefault="00667BD9" w:rsidP="00667BD9">
      <w:pPr>
        <w:ind w:left="1080"/>
        <w:rPr>
          <w:rFonts w:ascii="Arial" w:hAnsi="Arial"/>
        </w:rPr>
      </w:pPr>
    </w:p>
    <w:p w:rsidR="00134BFA" w:rsidRDefault="00667BD9" w:rsidP="00667BD9">
      <w:pPr>
        <w:numPr>
          <w:ilvl w:val="1"/>
          <w:numId w:val="26"/>
        </w:numPr>
        <w:ind w:left="1418" w:hanging="698"/>
        <w:rPr>
          <w:rFonts w:ascii="Arial" w:hAnsi="Arial"/>
        </w:rPr>
      </w:pPr>
      <w:r w:rsidRPr="00667BD9">
        <w:rPr>
          <w:rFonts w:ascii="Arial" w:hAnsi="Arial"/>
        </w:rPr>
        <w:t>If blood components or products received are not suitable for use, ensure that they are documented on d</w:t>
      </w:r>
      <w:r w:rsidR="00134BFA">
        <w:rPr>
          <w:rFonts w:ascii="Arial" w:hAnsi="Arial"/>
        </w:rPr>
        <w:t>iscard forms or in the computer</w:t>
      </w:r>
      <w:r w:rsidRPr="00667BD9">
        <w:rPr>
          <w:rFonts w:ascii="Arial" w:hAnsi="Arial"/>
        </w:rPr>
        <w:t xml:space="preserve">. Unusable products must be documented for </w:t>
      </w:r>
      <w:proofErr w:type="spellStart"/>
      <w:r w:rsidRPr="00667BD9">
        <w:rPr>
          <w:rFonts w:ascii="Arial" w:hAnsi="Arial"/>
        </w:rPr>
        <w:t>lookback</w:t>
      </w:r>
      <w:proofErr w:type="spellEnd"/>
      <w:r w:rsidRPr="00667BD9">
        <w:rPr>
          <w:rFonts w:ascii="Arial" w:hAnsi="Arial"/>
        </w:rPr>
        <w:t xml:space="preserve">/ </w:t>
      </w:r>
      <w:proofErr w:type="spellStart"/>
      <w:r w:rsidRPr="00667BD9">
        <w:rPr>
          <w:rFonts w:ascii="Arial" w:hAnsi="Arial"/>
        </w:rPr>
        <w:t>traceback</w:t>
      </w:r>
      <w:proofErr w:type="spellEnd"/>
      <w:r w:rsidRPr="00667BD9">
        <w:rPr>
          <w:rFonts w:ascii="Arial" w:hAnsi="Arial"/>
        </w:rPr>
        <w:t xml:space="preserve"> purposes as received and then discarded. When received as unusable, also document on the packing slips the reason for discard. See IM.005 – Final Disposition of Blood Components and Plasma Protein Products Not Suitable for Transfusion - Manual Procedure.</w:t>
      </w:r>
    </w:p>
    <w:p w:rsidR="00134BFA" w:rsidRDefault="00134BFA" w:rsidP="00134BFA">
      <w:pPr>
        <w:ind w:left="2421"/>
        <w:rPr>
          <w:rFonts w:ascii="Arial" w:hAnsi="Arial"/>
        </w:rPr>
      </w:pPr>
    </w:p>
    <w:p w:rsidR="00134BFA" w:rsidRDefault="00667BD9" w:rsidP="00F5352D">
      <w:pPr>
        <w:numPr>
          <w:ilvl w:val="2"/>
          <w:numId w:val="26"/>
        </w:numPr>
        <w:ind w:left="2160"/>
        <w:rPr>
          <w:rFonts w:ascii="Arial" w:hAnsi="Arial"/>
        </w:rPr>
      </w:pPr>
      <w:r w:rsidRPr="00134BFA">
        <w:rPr>
          <w:rFonts w:ascii="Arial" w:hAnsi="Arial"/>
        </w:rPr>
        <w:t>Inform the shipping facility of the final disposition.</w:t>
      </w:r>
    </w:p>
    <w:p w:rsidR="00134BFA" w:rsidRDefault="00134BFA" w:rsidP="00134BFA">
      <w:pPr>
        <w:ind w:left="360"/>
        <w:rPr>
          <w:rFonts w:ascii="Arial" w:hAnsi="Arial"/>
        </w:rPr>
      </w:pPr>
    </w:p>
    <w:p w:rsidR="00134BFA" w:rsidRDefault="00667BD9" w:rsidP="00667BD9">
      <w:pPr>
        <w:numPr>
          <w:ilvl w:val="0"/>
          <w:numId w:val="26"/>
        </w:numPr>
        <w:ind w:left="709" w:hanging="709"/>
        <w:rPr>
          <w:rFonts w:ascii="Arial" w:hAnsi="Arial"/>
          <w:b/>
          <w:sz w:val="28"/>
        </w:rPr>
      </w:pPr>
      <w:r w:rsidRPr="00134BFA">
        <w:rPr>
          <w:rFonts w:ascii="Arial" w:hAnsi="Arial"/>
          <w:b/>
          <w:sz w:val="28"/>
        </w:rPr>
        <w:t>Procedural Notes</w:t>
      </w:r>
    </w:p>
    <w:p w:rsidR="00134BFA" w:rsidRDefault="00134BFA" w:rsidP="00134BFA">
      <w:pPr>
        <w:ind w:left="1080"/>
        <w:rPr>
          <w:rFonts w:ascii="Arial" w:hAnsi="Arial"/>
          <w:b/>
          <w:sz w:val="28"/>
        </w:rPr>
      </w:pPr>
    </w:p>
    <w:p w:rsidR="00134BFA" w:rsidRDefault="00667BD9" w:rsidP="00667BD9">
      <w:pPr>
        <w:numPr>
          <w:ilvl w:val="1"/>
          <w:numId w:val="26"/>
        </w:numPr>
        <w:ind w:left="1418" w:hanging="698"/>
        <w:rPr>
          <w:rFonts w:ascii="Arial" w:hAnsi="Arial"/>
          <w:b/>
          <w:sz w:val="28"/>
        </w:rPr>
      </w:pPr>
      <w:r w:rsidRPr="00134BFA">
        <w:rPr>
          <w:rFonts w:ascii="Arial" w:hAnsi="Arial"/>
        </w:rPr>
        <w:t>If the packed box appears to deviate from the required packing configuration, or if the shipment time is greater than 24 hours, the temperature of the blood products may exceed the acceptable temperature range. The temperature of each unit must be checked.</w:t>
      </w:r>
    </w:p>
    <w:p w:rsidR="00134BFA" w:rsidRPr="00134BFA" w:rsidRDefault="00134BFA" w:rsidP="00134BFA">
      <w:pPr>
        <w:ind w:left="2421"/>
        <w:rPr>
          <w:rFonts w:ascii="Arial" w:hAnsi="Arial"/>
          <w:b/>
          <w:sz w:val="28"/>
        </w:rPr>
      </w:pPr>
    </w:p>
    <w:p w:rsidR="00134BFA" w:rsidRDefault="00667BD9" w:rsidP="00F5352D">
      <w:pPr>
        <w:numPr>
          <w:ilvl w:val="2"/>
          <w:numId w:val="26"/>
        </w:numPr>
        <w:ind w:left="2160"/>
        <w:rPr>
          <w:rFonts w:ascii="Arial" w:hAnsi="Arial"/>
          <w:b/>
          <w:sz w:val="28"/>
        </w:rPr>
      </w:pPr>
      <w:r w:rsidRPr="00134BFA">
        <w:rPr>
          <w:rFonts w:ascii="Arial" w:hAnsi="Arial"/>
        </w:rPr>
        <w:t>If the temperature in the shipping container is suspect perform a temperature check of the products. See QCA.009 – Temperature Check of Blood and Blood Components.</w:t>
      </w:r>
    </w:p>
    <w:p w:rsidR="00134BFA" w:rsidRPr="00134BFA" w:rsidRDefault="00134BFA" w:rsidP="00F5352D">
      <w:pPr>
        <w:ind w:left="2160" w:hanging="720"/>
        <w:rPr>
          <w:rFonts w:ascii="Arial" w:hAnsi="Arial"/>
          <w:b/>
          <w:sz w:val="28"/>
        </w:rPr>
      </w:pPr>
    </w:p>
    <w:p w:rsidR="00134BFA" w:rsidRPr="00134BFA" w:rsidRDefault="00667BD9" w:rsidP="00F5352D">
      <w:pPr>
        <w:numPr>
          <w:ilvl w:val="2"/>
          <w:numId w:val="26"/>
        </w:numPr>
        <w:ind w:left="2160"/>
        <w:rPr>
          <w:rFonts w:ascii="Arial" w:hAnsi="Arial"/>
          <w:b/>
          <w:sz w:val="28"/>
        </w:rPr>
      </w:pPr>
      <w:r w:rsidRPr="00134BFA">
        <w:rPr>
          <w:rFonts w:ascii="Arial" w:hAnsi="Arial"/>
        </w:rPr>
        <w:t xml:space="preserve">Platelet components should not be used if they have not been agitated for 24 hours or more. </w:t>
      </w:r>
    </w:p>
    <w:p w:rsidR="00134BFA" w:rsidRDefault="00134BFA" w:rsidP="00F5352D">
      <w:pPr>
        <w:ind w:left="2160" w:hanging="720"/>
        <w:rPr>
          <w:rFonts w:ascii="Arial" w:hAnsi="Arial"/>
          <w:b/>
          <w:sz w:val="28"/>
        </w:rPr>
      </w:pPr>
    </w:p>
    <w:p w:rsidR="00134BFA" w:rsidRPr="00134BFA" w:rsidRDefault="00667BD9" w:rsidP="00F5352D">
      <w:pPr>
        <w:numPr>
          <w:ilvl w:val="2"/>
          <w:numId w:val="26"/>
        </w:numPr>
        <w:ind w:left="2160"/>
        <w:rPr>
          <w:rFonts w:ascii="Arial" w:hAnsi="Arial"/>
          <w:b/>
          <w:sz w:val="28"/>
        </w:rPr>
      </w:pPr>
      <w:r w:rsidRPr="00134BFA">
        <w:rPr>
          <w:rFonts w:ascii="Arial" w:hAnsi="Arial"/>
        </w:rPr>
        <w:t>If there is no security seal on a shipmen</w:t>
      </w:r>
      <w:r w:rsidR="00134BFA">
        <w:rPr>
          <w:rFonts w:ascii="Arial" w:hAnsi="Arial"/>
        </w:rPr>
        <w:t>t received from the blood suppl</w:t>
      </w:r>
      <w:r w:rsidRPr="00134BFA">
        <w:rPr>
          <w:rFonts w:ascii="Arial" w:hAnsi="Arial"/>
        </w:rPr>
        <w:t>ier, it may be accepted if the mode of delivery was a CBS employee</w:t>
      </w:r>
      <w:r w:rsidR="00134BFA">
        <w:rPr>
          <w:rFonts w:ascii="Arial" w:hAnsi="Arial"/>
        </w:rPr>
        <w:t>.</w:t>
      </w:r>
    </w:p>
    <w:p w:rsidR="00134BFA" w:rsidRPr="00134BFA" w:rsidRDefault="00134BFA" w:rsidP="00F5352D">
      <w:pPr>
        <w:ind w:left="2160" w:hanging="720"/>
        <w:rPr>
          <w:rFonts w:ascii="Arial" w:hAnsi="Arial"/>
          <w:b/>
          <w:sz w:val="28"/>
        </w:rPr>
      </w:pPr>
    </w:p>
    <w:p w:rsidR="00134BFA" w:rsidRDefault="00667BD9" w:rsidP="00F5352D">
      <w:pPr>
        <w:numPr>
          <w:ilvl w:val="2"/>
          <w:numId w:val="26"/>
        </w:numPr>
        <w:ind w:left="2160"/>
        <w:rPr>
          <w:rFonts w:ascii="Arial" w:hAnsi="Arial"/>
          <w:b/>
          <w:sz w:val="28"/>
        </w:rPr>
      </w:pPr>
      <w:r w:rsidRPr="00134BFA">
        <w:rPr>
          <w:rFonts w:ascii="Arial" w:hAnsi="Arial"/>
        </w:rPr>
        <w:t>If the products are required urgently, the TS Medical Director or designate must authorize their use. This authorization must be documented.</w:t>
      </w:r>
    </w:p>
    <w:p w:rsidR="00134BFA" w:rsidRDefault="00134BFA" w:rsidP="00134BFA">
      <w:pPr>
        <w:pStyle w:val="ListParagraph"/>
        <w:rPr>
          <w:rFonts w:ascii="Arial" w:hAnsi="Arial"/>
        </w:rPr>
      </w:pPr>
    </w:p>
    <w:p w:rsidR="00134BFA" w:rsidRDefault="00667BD9" w:rsidP="00667BD9">
      <w:pPr>
        <w:numPr>
          <w:ilvl w:val="1"/>
          <w:numId w:val="26"/>
        </w:numPr>
        <w:ind w:left="1418" w:hanging="698"/>
        <w:rPr>
          <w:rFonts w:ascii="Arial" w:hAnsi="Arial"/>
          <w:b/>
          <w:sz w:val="28"/>
        </w:rPr>
      </w:pPr>
      <w:r w:rsidRPr="00134BFA">
        <w:rPr>
          <w:rFonts w:ascii="Arial" w:hAnsi="Arial"/>
        </w:rPr>
        <w:t>Segments from red cell component units shall be retained for at least 7 days post-transfusion. AS-3 red blood cells have a shelf life of 42 days. Therefore, if a freshly drawn unit was received and was stored until the day of outdating and then transfused, the retention time of a representative sample (segment) of the unit is 42 days plus 7 days.</w:t>
      </w:r>
    </w:p>
    <w:p w:rsidR="00134BFA" w:rsidRDefault="00134BFA" w:rsidP="00134BFA">
      <w:pPr>
        <w:ind w:left="1418"/>
        <w:rPr>
          <w:rFonts w:ascii="Arial" w:hAnsi="Arial"/>
          <w:b/>
          <w:sz w:val="28"/>
        </w:rPr>
      </w:pPr>
    </w:p>
    <w:p w:rsidR="00134BFA" w:rsidRDefault="00667BD9" w:rsidP="00667BD9">
      <w:pPr>
        <w:numPr>
          <w:ilvl w:val="1"/>
          <w:numId w:val="26"/>
        </w:numPr>
        <w:ind w:left="1418" w:hanging="698"/>
        <w:rPr>
          <w:rFonts w:ascii="Arial" w:hAnsi="Arial"/>
          <w:b/>
          <w:sz w:val="28"/>
        </w:rPr>
      </w:pPr>
      <w:r w:rsidRPr="00134BFA">
        <w:rPr>
          <w:rFonts w:ascii="Arial" w:hAnsi="Arial"/>
        </w:rPr>
        <w:t>All products transported from a facility other than the blood supplier will be recorded on IM.006F or if transported with the patient IM.007F1</w:t>
      </w:r>
      <w:r w:rsidR="00134BFA">
        <w:rPr>
          <w:rFonts w:ascii="Arial" w:hAnsi="Arial"/>
        </w:rPr>
        <w:t>.</w:t>
      </w:r>
    </w:p>
    <w:p w:rsidR="00134BFA" w:rsidRDefault="00134BFA" w:rsidP="00134BFA">
      <w:pPr>
        <w:pStyle w:val="ListParagraph"/>
        <w:rPr>
          <w:rFonts w:ascii="Arial" w:hAnsi="Arial"/>
        </w:rPr>
      </w:pPr>
    </w:p>
    <w:p w:rsidR="00134BFA" w:rsidRDefault="00667BD9" w:rsidP="00F5352D">
      <w:pPr>
        <w:numPr>
          <w:ilvl w:val="2"/>
          <w:numId w:val="26"/>
        </w:numPr>
        <w:ind w:left="2160"/>
        <w:rPr>
          <w:rFonts w:ascii="Arial" w:hAnsi="Arial"/>
          <w:b/>
          <w:sz w:val="28"/>
        </w:rPr>
      </w:pPr>
      <w:r w:rsidRPr="00134BFA">
        <w:rPr>
          <w:rFonts w:ascii="Arial" w:hAnsi="Arial"/>
        </w:rPr>
        <w:t xml:space="preserve">If units were transfused </w:t>
      </w:r>
      <w:proofErr w:type="spellStart"/>
      <w:r w:rsidRPr="00134BFA">
        <w:rPr>
          <w:rFonts w:ascii="Arial" w:hAnsi="Arial"/>
        </w:rPr>
        <w:t>enroute</w:t>
      </w:r>
      <w:proofErr w:type="spellEnd"/>
      <w:r w:rsidRPr="00134BFA">
        <w:rPr>
          <w:rFonts w:ascii="Arial" w:hAnsi="Arial"/>
        </w:rPr>
        <w:t>, the transfusion information should be recorded on the form (IM.007F1).</w:t>
      </w:r>
    </w:p>
    <w:p w:rsidR="00134BFA" w:rsidRDefault="00134BFA" w:rsidP="00F5352D">
      <w:pPr>
        <w:ind w:left="2160" w:hanging="720"/>
        <w:rPr>
          <w:rFonts w:ascii="Arial" w:hAnsi="Arial"/>
          <w:b/>
          <w:sz w:val="28"/>
        </w:rPr>
      </w:pPr>
    </w:p>
    <w:p w:rsidR="00134BFA" w:rsidRDefault="00667BD9" w:rsidP="00F5352D">
      <w:pPr>
        <w:numPr>
          <w:ilvl w:val="2"/>
          <w:numId w:val="26"/>
        </w:numPr>
        <w:ind w:left="2160"/>
        <w:rPr>
          <w:rFonts w:ascii="Arial" w:hAnsi="Arial"/>
          <w:b/>
          <w:sz w:val="28"/>
        </w:rPr>
      </w:pPr>
      <w:r w:rsidRPr="00134BFA">
        <w:rPr>
          <w:rFonts w:ascii="Arial" w:hAnsi="Arial"/>
        </w:rPr>
        <w:t xml:space="preserve">If the number of products received does not equal the number of products sent, the missing products should be identified on the form. </w:t>
      </w:r>
    </w:p>
    <w:p w:rsidR="00134BFA" w:rsidRDefault="00134BFA" w:rsidP="00F5352D">
      <w:pPr>
        <w:pStyle w:val="ListParagraph"/>
        <w:ind w:left="2160" w:hanging="720"/>
        <w:rPr>
          <w:rFonts w:ascii="Arial" w:hAnsi="Arial"/>
        </w:rPr>
      </w:pPr>
    </w:p>
    <w:p w:rsidR="00134BFA" w:rsidRDefault="00667BD9" w:rsidP="00F5352D">
      <w:pPr>
        <w:numPr>
          <w:ilvl w:val="2"/>
          <w:numId w:val="26"/>
        </w:numPr>
        <w:ind w:left="2160"/>
        <w:rPr>
          <w:rFonts w:ascii="Arial" w:hAnsi="Arial"/>
          <w:b/>
          <w:sz w:val="28"/>
        </w:rPr>
      </w:pPr>
      <w:r w:rsidRPr="00134BFA">
        <w:rPr>
          <w:rFonts w:ascii="Arial" w:hAnsi="Arial"/>
        </w:rPr>
        <w:t>If there are units that were sent, not received and not documented as transfused, a medical record review should be done to determine if the unit(s) were transfused or discarded.  Alternatively, the products should be considered “presumed” transfused.  In this case, record the unaccounted for units in the Transfusion en</w:t>
      </w:r>
      <w:r w:rsidR="00747C7F">
        <w:rPr>
          <w:rFonts w:ascii="Arial" w:hAnsi="Arial"/>
        </w:rPr>
        <w:t xml:space="preserve"> </w:t>
      </w:r>
      <w:r w:rsidRPr="00134BFA">
        <w:rPr>
          <w:rFonts w:ascii="Arial" w:hAnsi="Arial"/>
        </w:rPr>
        <w:t>route column as ‘transfused’.</w:t>
      </w:r>
    </w:p>
    <w:p w:rsidR="00134BFA" w:rsidRDefault="00134BFA" w:rsidP="00F5352D">
      <w:pPr>
        <w:pStyle w:val="ListParagraph"/>
        <w:ind w:left="2160" w:hanging="720"/>
        <w:rPr>
          <w:rFonts w:ascii="Arial" w:hAnsi="Arial"/>
        </w:rPr>
      </w:pPr>
    </w:p>
    <w:p w:rsidR="00134BFA" w:rsidRDefault="00667BD9" w:rsidP="00F5352D">
      <w:pPr>
        <w:numPr>
          <w:ilvl w:val="2"/>
          <w:numId w:val="26"/>
        </w:numPr>
        <w:ind w:left="2160"/>
        <w:rPr>
          <w:rFonts w:ascii="Arial" w:hAnsi="Arial"/>
          <w:b/>
          <w:sz w:val="28"/>
        </w:rPr>
      </w:pPr>
      <w:r w:rsidRPr="00134BFA">
        <w:rPr>
          <w:rFonts w:ascii="Arial" w:hAnsi="Arial"/>
        </w:rPr>
        <w:t>Fax completed copy of form IM.007F1 to issuing hospital.</w:t>
      </w:r>
    </w:p>
    <w:p w:rsidR="00134BFA" w:rsidRDefault="00134BFA" w:rsidP="00134BFA">
      <w:pPr>
        <w:pStyle w:val="ListParagraph"/>
        <w:rPr>
          <w:rFonts w:ascii="Arial" w:hAnsi="Arial"/>
        </w:rPr>
      </w:pPr>
    </w:p>
    <w:p w:rsidR="00134BFA" w:rsidRDefault="00667BD9" w:rsidP="00667BD9">
      <w:pPr>
        <w:numPr>
          <w:ilvl w:val="1"/>
          <w:numId w:val="26"/>
        </w:numPr>
        <w:ind w:left="1418" w:hanging="698"/>
        <w:rPr>
          <w:rFonts w:ascii="Arial" w:hAnsi="Arial"/>
          <w:b/>
          <w:sz w:val="28"/>
        </w:rPr>
      </w:pPr>
      <w:r w:rsidRPr="00134BFA">
        <w:rPr>
          <w:rFonts w:ascii="Arial" w:hAnsi="Arial"/>
        </w:rPr>
        <w:t>For TS that have product processed/ issued by Pharmacy a process must be in place to ensure traceability of products.</w:t>
      </w:r>
    </w:p>
    <w:p w:rsidR="00134BFA" w:rsidRDefault="00134BFA" w:rsidP="00134BFA">
      <w:pPr>
        <w:ind w:left="360"/>
        <w:rPr>
          <w:rFonts w:ascii="Arial" w:hAnsi="Arial"/>
          <w:b/>
          <w:sz w:val="28"/>
        </w:rPr>
      </w:pPr>
    </w:p>
    <w:p w:rsidR="00134BFA" w:rsidRDefault="00667BD9" w:rsidP="00F5352D">
      <w:pPr>
        <w:numPr>
          <w:ilvl w:val="0"/>
          <w:numId w:val="26"/>
        </w:numPr>
        <w:ind w:left="720" w:hanging="720"/>
        <w:rPr>
          <w:rFonts w:ascii="Arial" w:hAnsi="Arial"/>
          <w:b/>
          <w:sz w:val="32"/>
        </w:rPr>
      </w:pPr>
      <w:r w:rsidRPr="00134BFA">
        <w:rPr>
          <w:rFonts w:ascii="Arial" w:hAnsi="Arial"/>
          <w:b/>
          <w:sz w:val="28"/>
        </w:rPr>
        <w:t>References</w:t>
      </w:r>
    </w:p>
    <w:p w:rsidR="00134BFA" w:rsidRDefault="00134BFA" w:rsidP="00134BFA">
      <w:pPr>
        <w:ind w:left="1080"/>
        <w:rPr>
          <w:rFonts w:ascii="Arial" w:hAnsi="Arial"/>
          <w:b/>
          <w:sz w:val="32"/>
        </w:rPr>
      </w:pPr>
    </w:p>
    <w:p w:rsidR="00134BFA" w:rsidRDefault="00667BD9" w:rsidP="00667BD9">
      <w:pPr>
        <w:numPr>
          <w:ilvl w:val="1"/>
          <w:numId w:val="26"/>
        </w:numPr>
        <w:ind w:left="1418" w:hanging="698"/>
        <w:rPr>
          <w:rFonts w:ascii="Arial" w:hAnsi="Arial"/>
          <w:b/>
          <w:sz w:val="32"/>
        </w:rPr>
      </w:pPr>
      <w:r w:rsidRPr="00134BFA">
        <w:rPr>
          <w:rFonts w:ascii="Arial" w:hAnsi="Arial"/>
        </w:rPr>
        <w:t>CSTM Standards for Hospita</w:t>
      </w:r>
      <w:r w:rsidR="00747C7F">
        <w:rPr>
          <w:rFonts w:ascii="Arial" w:hAnsi="Arial"/>
        </w:rPr>
        <w:t>l Transfusion Services Version 4 – April 2017</w:t>
      </w:r>
      <w:r w:rsidRPr="00134BFA">
        <w:rPr>
          <w:rFonts w:ascii="Arial" w:hAnsi="Arial"/>
        </w:rPr>
        <w:t xml:space="preserve">. Canadian Society for Transfusion Medicine, </w:t>
      </w:r>
      <w:r w:rsidR="00451BE6">
        <w:rPr>
          <w:rFonts w:ascii="Arial" w:hAnsi="Arial"/>
        </w:rPr>
        <w:t>5.7.1.8; 5.1.1.5; 5.1.1.6; 5.3.1.6</w:t>
      </w:r>
    </w:p>
    <w:p w:rsidR="00134BFA" w:rsidRPr="00134BFA" w:rsidRDefault="00134BFA" w:rsidP="00134BFA">
      <w:pPr>
        <w:ind w:left="720"/>
        <w:rPr>
          <w:rFonts w:ascii="Arial" w:hAnsi="Arial"/>
          <w:b/>
          <w:sz w:val="20"/>
        </w:rPr>
      </w:pPr>
    </w:p>
    <w:p w:rsidR="00B9045A" w:rsidRPr="00747C7F" w:rsidRDefault="00667BD9" w:rsidP="00747C7F">
      <w:pPr>
        <w:numPr>
          <w:ilvl w:val="1"/>
          <w:numId w:val="26"/>
        </w:numPr>
        <w:ind w:left="1418" w:hanging="698"/>
        <w:rPr>
          <w:rStyle w:val="Hyperlink"/>
          <w:rFonts w:ascii="Arial" w:hAnsi="Arial"/>
          <w:b/>
          <w:color w:val="auto"/>
          <w:sz w:val="32"/>
          <w:u w:val="none"/>
        </w:rPr>
      </w:pPr>
      <w:r w:rsidRPr="00134BFA">
        <w:rPr>
          <w:rFonts w:ascii="Arial" w:hAnsi="Arial"/>
        </w:rPr>
        <w:t>Circular of Information for the use of hu</w:t>
      </w:r>
      <w:r w:rsidR="00134BFA">
        <w:rPr>
          <w:rFonts w:ascii="Arial" w:hAnsi="Arial"/>
        </w:rPr>
        <w:t>man blood and blood components.</w:t>
      </w:r>
      <w:r w:rsidRPr="00134BFA">
        <w:rPr>
          <w:rFonts w:ascii="Arial" w:hAnsi="Arial"/>
        </w:rPr>
        <w:t xml:space="preserve"> Canadian Blood Services, </w:t>
      </w:r>
      <w:hyperlink r:id="rId8" w:history="1">
        <w:r w:rsidR="00134BFA" w:rsidRPr="0059506D">
          <w:rPr>
            <w:rStyle w:val="Hyperlink"/>
            <w:rFonts w:ascii="Arial" w:hAnsi="Arial"/>
          </w:rPr>
          <w:t>www.blood.ca</w:t>
        </w:r>
      </w:hyperlink>
    </w:p>
    <w:p w:rsidR="00A55168" w:rsidRDefault="00A55168" w:rsidP="00A55168">
      <w:pPr>
        <w:pStyle w:val="ListParagraph"/>
        <w:rPr>
          <w:rFonts w:ascii="Arial" w:hAnsi="Arial"/>
          <w:b/>
          <w:sz w:val="32"/>
        </w:rPr>
      </w:pPr>
    </w:p>
    <w:p w:rsidR="00A55168" w:rsidRPr="00747C7F" w:rsidRDefault="00A55168" w:rsidP="00667BD9">
      <w:pPr>
        <w:numPr>
          <w:ilvl w:val="1"/>
          <w:numId w:val="26"/>
        </w:numPr>
        <w:ind w:left="1418" w:hanging="698"/>
        <w:rPr>
          <w:rFonts w:ascii="Arial" w:hAnsi="Arial"/>
          <w:b/>
          <w:sz w:val="32"/>
        </w:rPr>
      </w:pPr>
      <w:r w:rsidRPr="00A55168">
        <w:rPr>
          <w:rFonts w:ascii="Arial" w:hAnsi="Arial" w:cs="Arial"/>
        </w:rPr>
        <w:t>National Advisory Committee on Blood and Blood Products, draft Recommendations for use of Irradiated Blood Components in Canada. Available at</w:t>
      </w:r>
      <w:r>
        <w:rPr>
          <w:rFonts w:ascii="Arial" w:hAnsi="Arial" w:cs="Arial"/>
        </w:rPr>
        <w:t>:</w:t>
      </w:r>
      <w:r>
        <w:t xml:space="preserve"> </w:t>
      </w:r>
      <w:hyperlink r:id="rId9" w:history="1">
        <w:r>
          <w:rPr>
            <w:rStyle w:val="Hyperlink"/>
          </w:rPr>
          <w:t>http://www.canadianneonatalnetwork.org/Portal/LinkClick.aspx?fileticket=itlU1wecNPw%3D&amp;tabid=39</w:t>
        </w:r>
      </w:hyperlink>
    </w:p>
    <w:p w:rsidR="00747C7F" w:rsidRDefault="00747C7F" w:rsidP="00747C7F">
      <w:pPr>
        <w:pStyle w:val="ListParagraph"/>
        <w:rPr>
          <w:rFonts w:ascii="Arial" w:hAnsi="Arial"/>
          <w:b/>
          <w:sz w:val="32"/>
        </w:rPr>
      </w:pPr>
    </w:p>
    <w:p w:rsidR="00747C7F" w:rsidRPr="00747C7F" w:rsidRDefault="00747C7F" w:rsidP="00667BD9">
      <w:pPr>
        <w:numPr>
          <w:ilvl w:val="1"/>
          <w:numId w:val="26"/>
        </w:numPr>
        <w:ind w:left="1418" w:hanging="698"/>
        <w:rPr>
          <w:rStyle w:val="Hyperlink"/>
          <w:rFonts w:ascii="Arial" w:hAnsi="Arial"/>
          <w:b/>
          <w:color w:val="auto"/>
          <w:sz w:val="32"/>
          <w:u w:val="none"/>
        </w:rPr>
      </w:pPr>
      <w:r>
        <w:rPr>
          <w:rStyle w:val="Hyperlink"/>
          <w:rFonts w:ascii="Arial" w:hAnsi="Arial"/>
          <w:color w:val="auto"/>
          <w:szCs w:val="24"/>
          <w:u w:val="none"/>
        </w:rPr>
        <w:t>Canadian Blood Services Customer Letter CL#2017-29 Important Information Regarding Changes to the Expiry Date of Irradiated Red Blood Cells. 2017-07-11</w:t>
      </w:r>
    </w:p>
    <w:p w:rsidR="00747C7F" w:rsidRDefault="00747C7F" w:rsidP="00747C7F">
      <w:pPr>
        <w:pStyle w:val="ListParagraph"/>
        <w:rPr>
          <w:rStyle w:val="Hyperlink"/>
          <w:rFonts w:ascii="Arial" w:hAnsi="Arial"/>
          <w:color w:val="auto"/>
          <w:szCs w:val="24"/>
          <w:u w:val="none"/>
        </w:rPr>
      </w:pPr>
    </w:p>
    <w:p w:rsidR="00747C7F" w:rsidRPr="00134BFA" w:rsidRDefault="00747C7F" w:rsidP="00667BD9">
      <w:pPr>
        <w:numPr>
          <w:ilvl w:val="1"/>
          <w:numId w:val="26"/>
        </w:numPr>
        <w:ind w:left="1418" w:hanging="698"/>
        <w:rPr>
          <w:rFonts w:ascii="Arial" w:hAnsi="Arial"/>
          <w:b/>
          <w:sz w:val="32"/>
        </w:rPr>
      </w:pPr>
      <w:r>
        <w:rPr>
          <w:rStyle w:val="Hyperlink"/>
          <w:rFonts w:ascii="Arial" w:hAnsi="Arial"/>
          <w:color w:val="auto"/>
          <w:szCs w:val="24"/>
          <w:u w:val="none"/>
        </w:rPr>
        <w:t>Canadian Standards Association Standards for Blood and Blood Components CANZ902-15. 10.5.3</w:t>
      </w:r>
    </w:p>
    <w:p w:rsidR="00134BFA" w:rsidRDefault="00134BFA" w:rsidP="00134BFA">
      <w:pPr>
        <w:pStyle w:val="ListParagraph"/>
        <w:rPr>
          <w:rFonts w:ascii="Arial" w:hAnsi="Arial"/>
          <w:b/>
          <w:sz w:val="32"/>
        </w:rPr>
      </w:pPr>
    </w:p>
    <w:p w:rsidR="00134BFA" w:rsidRPr="00F00A29" w:rsidRDefault="00134BFA" w:rsidP="00F00A29">
      <w:pPr>
        <w:numPr>
          <w:ilvl w:val="0"/>
          <w:numId w:val="26"/>
        </w:numPr>
        <w:spacing w:after="200"/>
        <w:rPr>
          <w:rFonts w:ascii="Arial" w:hAnsi="Arial"/>
          <w:b/>
          <w:sz w:val="28"/>
        </w:rPr>
      </w:pPr>
      <w:r w:rsidRPr="00F00A29">
        <w:rPr>
          <w:rFonts w:ascii="Arial" w:hAnsi="Arial"/>
          <w:b/>
          <w:sz w:val="28"/>
        </w:rPr>
        <w:t>Revision History</w:t>
      </w:r>
    </w:p>
    <w:tbl>
      <w:tblPr>
        <w:tblStyle w:val="TableGrid"/>
        <w:tblW w:w="0" w:type="auto"/>
        <w:tblLook w:val="04A0" w:firstRow="1" w:lastRow="0" w:firstColumn="1" w:lastColumn="0" w:noHBand="0" w:noVBand="1"/>
      </w:tblPr>
      <w:tblGrid>
        <w:gridCol w:w="3085"/>
        <w:gridCol w:w="5777"/>
      </w:tblGrid>
      <w:tr w:rsidR="00134BFA" w:rsidTr="00F5352D">
        <w:tc>
          <w:tcPr>
            <w:tcW w:w="3085" w:type="dxa"/>
            <w:shd w:val="clear" w:color="auto" w:fill="F2F2F2" w:themeFill="background1" w:themeFillShade="F2"/>
          </w:tcPr>
          <w:p w:rsidR="00134BFA" w:rsidRPr="00134BFA" w:rsidRDefault="00134BFA" w:rsidP="00134BFA">
            <w:pPr>
              <w:jc w:val="center"/>
              <w:rPr>
                <w:rFonts w:ascii="Arial" w:hAnsi="Arial"/>
                <w:b/>
                <w:sz w:val="22"/>
                <w:szCs w:val="24"/>
              </w:rPr>
            </w:pPr>
            <w:r w:rsidRPr="00134BFA">
              <w:rPr>
                <w:rFonts w:ascii="Arial" w:hAnsi="Arial"/>
                <w:b/>
                <w:sz w:val="22"/>
                <w:szCs w:val="24"/>
              </w:rPr>
              <w:t>Revision Date</w:t>
            </w:r>
          </w:p>
        </w:tc>
        <w:tc>
          <w:tcPr>
            <w:tcW w:w="5777" w:type="dxa"/>
            <w:shd w:val="clear" w:color="auto" w:fill="F2F2F2" w:themeFill="background1" w:themeFillShade="F2"/>
          </w:tcPr>
          <w:p w:rsidR="00134BFA" w:rsidRPr="00134BFA" w:rsidRDefault="00134BFA" w:rsidP="00134BFA">
            <w:pPr>
              <w:jc w:val="center"/>
              <w:rPr>
                <w:rFonts w:ascii="Arial" w:hAnsi="Arial"/>
                <w:b/>
                <w:sz w:val="22"/>
                <w:szCs w:val="24"/>
              </w:rPr>
            </w:pPr>
            <w:r w:rsidRPr="00134BFA">
              <w:rPr>
                <w:rFonts w:ascii="Arial" w:hAnsi="Arial"/>
                <w:b/>
                <w:sz w:val="22"/>
                <w:szCs w:val="24"/>
              </w:rPr>
              <w:t>Summary of Revision</w:t>
            </w:r>
          </w:p>
        </w:tc>
      </w:tr>
      <w:tr w:rsidR="00134BFA" w:rsidRPr="00F00A29" w:rsidTr="00134BFA">
        <w:tc>
          <w:tcPr>
            <w:tcW w:w="3085" w:type="dxa"/>
          </w:tcPr>
          <w:p w:rsidR="00134BFA" w:rsidRPr="00F5352D" w:rsidRDefault="00134BFA" w:rsidP="00134BFA">
            <w:pPr>
              <w:rPr>
                <w:rFonts w:ascii="Arial" w:hAnsi="Arial"/>
                <w:sz w:val="22"/>
                <w:szCs w:val="22"/>
              </w:rPr>
            </w:pPr>
            <w:r w:rsidRPr="00F5352D">
              <w:rPr>
                <w:rFonts w:ascii="Arial" w:hAnsi="Arial"/>
                <w:sz w:val="22"/>
                <w:szCs w:val="22"/>
              </w:rPr>
              <w:t>August 8, 2014</w:t>
            </w:r>
          </w:p>
        </w:tc>
        <w:tc>
          <w:tcPr>
            <w:tcW w:w="5777" w:type="dxa"/>
          </w:tcPr>
          <w:p w:rsidR="00134BFA" w:rsidRPr="00F5352D" w:rsidRDefault="00134BFA" w:rsidP="00134BFA">
            <w:pPr>
              <w:numPr>
                <w:ilvl w:val="0"/>
                <w:numId w:val="41"/>
              </w:numPr>
              <w:rPr>
                <w:rFonts w:ascii="Arial" w:hAnsi="Arial"/>
                <w:sz w:val="22"/>
                <w:szCs w:val="22"/>
              </w:rPr>
            </w:pPr>
            <w:r w:rsidRPr="00F5352D">
              <w:rPr>
                <w:rFonts w:ascii="Arial" w:hAnsi="Arial"/>
                <w:sz w:val="22"/>
                <w:szCs w:val="22"/>
              </w:rPr>
              <w:t>Revised name of manual</w:t>
            </w:r>
          </w:p>
          <w:p w:rsidR="00134BFA" w:rsidRPr="00F5352D" w:rsidRDefault="00993B2B" w:rsidP="00134BFA">
            <w:pPr>
              <w:numPr>
                <w:ilvl w:val="0"/>
                <w:numId w:val="41"/>
              </w:numPr>
              <w:rPr>
                <w:rFonts w:ascii="Arial" w:hAnsi="Arial"/>
                <w:sz w:val="22"/>
                <w:szCs w:val="22"/>
              </w:rPr>
            </w:pPr>
            <w:r w:rsidRPr="00F5352D">
              <w:rPr>
                <w:rFonts w:ascii="Arial" w:hAnsi="Arial"/>
                <w:sz w:val="22"/>
                <w:szCs w:val="22"/>
              </w:rPr>
              <w:t>Changed wording from “fractionated blood products” to “plasma protein products” in section 1.0</w:t>
            </w:r>
          </w:p>
          <w:p w:rsidR="00993B2B" w:rsidRPr="00F5352D" w:rsidRDefault="00993B2B" w:rsidP="00134BFA">
            <w:pPr>
              <w:numPr>
                <w:ilvl w:val="0"/>
                <w:numId w:val="41"/>
              </w:numPr>
              <w:rPr>
                <w:rFonts w:ascii="Arial" w:hAnsi="Arial"/>
                <w:sz w:val="22"/>
                <w:szCs w:val="22"/>
              </w:rPr>
            </w:pPr>
            <w:r w:rsidRPr="00F5352D">
              <w:rPr>
                <w:rFonts w:ascii="Arial" w:hAnsi="Arial"/>
                <w:sz w:val="22"/>
                <w:szCs w:val="22"/>
              </w:rPr>
              <w:t>Revised and renumbered sections 2.0 &amp; 6.0 &amp; 8.0</w:t>
            </w:r>
          </w:p>
          <w:p w:rsidR="00993B2B" w:rsidRPr="00F5352D" w:rsidRDefault="00993B2B" w:rsidP="00134BFA">
            <w:pPr>
              <w:numPr>
                <w:ilvl w:val="0"/>
                <w:numId w:val="41"/>
              </w:numPr>
              <w:rPr>
                <w:rFonts w:ascii="Arial" w:hAnsi="Arial"/>
                <w:sz w:val="22"/>
                <w:szCs w:val="22"/>
              </w:rPr>
            </w:pPr>
            <w:r w:rsidRPr="00F5352D">
              <w:rPr>
                <w:rFonts w:ascii="Arial" w:hAnsi="Arial"/>
                <w:sz w:val="22"/>
                <w:szCs w:val="22"/>
              </w:rPr>
              <w:t xml:space="preserve">Added “Inter-hospital Transfer Form- Blood Components/ Plasma Protein Products” to section 4.0- </w:t>
            </w:r>
            <w:r w:rsidRPr="00F5352D">
              <w:rPr>
                <w:rFonts w:ascii="Arial" w:hAnsi="Arial"/>
                <w:i/>
                <w:sz w:val="22"/>
                <w:szCs w:val="22"/>
              </w:rPr>
              <w:t>Supplies</w:t>
            </w:r>
          </w:p>
          <w:p w:rsidR="00993B2B" w:rsidRPr="00F5352D" w:rsidRDefault="00993B2B" w:rsidP="00134BFA">
            <w:pPr>
              <w:numPr>
                <w:ilvl w:val="0"/>
                <w:numId w:val="41"/>
              </w:numPr>
              <w:rPr>
                <w:rFonts w:ascii="Arial" w:hAnsi="Arial"/>
                <w:sz w:val="22"/>
                <w:szCs w:val="22"/>
              </w:rPr>
            </w:pPr>
            <w:r w:rsidRPr="00F5352D">
              <w:rPr>
                <w:rFonts w:ascii="Arial" w:hAnsi="Arial"/>
                <w:sz w:val="22"/>
                <w:szCs w:val="22"/>
              </w:rPr>
              <w:t>Revised sections 5.0 &amp; 7.0</w:t>
            </w:r>
          </w:p>
          <w:p w:rsidR="00993B2B" w:rsidRPr="00F5352D" w:rsidRDefault="00993B2B" w:rsidP="00993B2B">
            <w:pPr>
              <w:numPr>
                <w:ilvl w:val="0"/>
                <w:numId w:val="41"/>
              </w:numPr>
              <w:rPr>
                <w:rFonts w:ascii="Arial" w:hAnsi="Arial"/>
                <w:sz w:val="22"/>
                <w:szCs w:val="22"/>
              </w:rPr>
            </w:pPr>
            <w:r w:rsidRPr="00F5352D">
              <w:rPr>
                <w:rFonts w:ascii="Arial" w:hAnsi="Arial"/>
                <w:sz w:val="22"/>
                <w:szCs w:val="22"/>
              </w:rPr>
              <w:t xml:space="preserve">Updated list of references to include most recent editions </w:t>
            </w:r>
          </w:p>
        </w:tc>
      </w:tr>
      <w:tr w:rsidR="00AE593C" w:rsidRPr="00F00A29" w:rsidTr="00134BFA">
        <w:tc>
          <w:tcPr>
            <w:tcW w:w="3085" w:type="dxa"/>
          </w:tcPr>
          <w:p w:rsidR="00AE593C" w:rsidRPr="00F5352D" w:rsidRDefault="00747C7F" w:rsidP="00134BFA">
            <w:pPr>
              <w:rPr>
                <w:rFonts w:ascii="Arial" w:hAnsi="Arial"/>
                <w:sz w:val="22"/>
                <w:szCs w:val="22"/>
              </w:rPr>
            </w:pPr>
            <w:r>
              <w:rPr>
                <w:rFonts w:ascii="Arial" w:hAnsi="Arial"/>
                <w:sz w:val="22"/>
                <w:szCs w:val="22"/>
              </w:rPr>
              <w:t>August 14</w:t>
            </w:r>
            <w:r w:rsidR="00AE593C" w:rsidRPr="00747C7F">
              <w:rPr>
                <w:rFonts w:ascii="Arial" w:hAnsi="Arial"/>
                <w:sz w:val="22"/>
                <w:szCs w:val="22"/>
              </w:rPr>
              <w:t>, 2017</w:t>
            </w:r>
          </w:p>
        </w:tc>
        <w:tc>
          <w:tcPr>
            <w:tcW w:w="5777" w:type="dxa"/>
          </w:tcPr>
          <w:p w:rsidR="009C12A9" w:rsidRDefault="009C12A9" w:rsidP="009C12A9">
            <w:pPr>
              <w:numPr>
                <w:ilvl w:val="0"/>
                <w:numId w:val="41"/>
              </w:numPr>
              <w:rPr>
                <w:rFonts w:ascii="Arial" w:hAnsi="Arial"/>
                <w:sz w:val="22"/>
                <w:szCs w:val="22"/>
              </w:rPr>
            </w:pPr>
            <w:r>
              <w:rPr>
                <w:rFonts w:ascii="Arial" w:hAnsi="Arial"/>
                <w:sz w:val="22"/>
                <w:szCs w:val="22"/>
              </w:rPr>
              <w:t>5.2.1 – updated expiry of irradiated RBC to comply with NAC recommendations and change to CBS policy</w:t>
            </w:r>
          </w:p>
          <w:p w:rsidR="00AE593C" w:rsidRDefault="009C12A9" w:rsidP="00134BFA">
            <w:pPr>
              <w:numPr>
                <w:ilvl w:val="0"/>
                <w:numId w:val="41"/>
              </w:numPr>
              <w:rPr>
                <w:rFonts w:ascii="Arial" w:hAnsi="Arial"/>
                <w:sz w:val="22"/>
                <w:szCs w:val="22"/>
              </w:rPr>
            </w:pPr>
            <w:r>
              <w:rPr>
                <w:rFonts w:ascii="Arial" w:hAnsi="Arial"/>
                <w:sz w:val="22"/>
                <w:szCs w:val="22"/>
              </w:rPr>
              <w:t>5.2.3</w:t>
            </w:r>
            <w:r w:rsidR="00AE593C">
              <w:rPr>
                <w:rFonts w:ascii="Arial" w:hAnsi="Arial"/>
                <w:sz w:val="22"/>
                <w:szCs w:val="22"/>
              </w:rPr>
              <w:t xml:space="preserve"> – hospitals are not required to confirm phenotype if appears on label</w:t>
            </w:r>
            <w:r>
              <w:rPr>
                <w:rFonts w:ascii="Arial" w:hAnsi="Arial"/>
                <w:sz w:val="22"/>
                <w:szCs w:val="22"/>
              </w:rPr>
              <w:t>/tag</w:t>
            </w:r>
            <w:bookmarkStart w:id="0" w:name="_GoBack"/>
            <w:bookmarkEnd w:id="0"/>
            <w:r w:rsidR="00AE593C">
              <w:rPr>
                <w:rFonts w:ascii="Arial" w:hAnsi="Arial"/>
                <w:sz w:val="22"/>
                <w:szCs w:val="22"/>
              </w:rPr>
              <w:t xml:space="preserve"> from blood supplier</w:t>
            </w:r>
          </w:p>
          <w:p w:rsidR="00747C7F" w:rsidRPr="00F5352D" w:rsidRDefault="00747C7F" w:rsidP="00134BFA">
            <w:pPr>
              <w:numPr>
                <w:ilvl w:val="0"/>
                <w:numId w:val="41"/>
              </w:numPr>
              <w:rPr>
                <w:rFonts w:ascii="Arial" w:hAnsi="Arial"/>
                <w:sz w:val="22"/>
                <w:szCs w:val="22"/>
              </w:rPr>
            </w:pPr>
            <w:r>
              <w:rPr>
                <w:rFonts w:ascii="Arial" w:hAnsi="Arial"/>
                <w:sz w:val="22"/>
                <w:szCs w:val="22"/>
              </w:rPr>
              <w:t>References updated</w:t>
            </w:r>
          </w:p>
        </w:tc>
      </w:tr>
    </w:tbl>
    <w:p w:rsidR="00B56ADF" w:rsidRDefault="00B56ADF">
      <w:pPr>
        <w:tabs>
          <w:tab w:val="left" w:pos="2674"/>
        </w:tabs>
        <w:rPr>
          <w:rFonts w:ascii="Arial" w:hAnsi="Arial"/>
        </w:rPr>
      </w:pPr>
      <w:r>
        <w:rPr>
          <w:rFonts w:ascii="Arial" w:hAnsi="Arial"/>
        </w:rPr>
        <w:tab/>
      </w:r>
    </w:p>
    <w:sectPr w:rsidR="00B56ADF" w:rsidSect="00F00A29">
      <w:headerReference w:type="default" r:id="rId10"/>
      <w:footerReference w:type="default" r:id="rId11"/>
      <w:headerReference w:type="first" r:id="rId12"/>
      <w:footerReference w:type="first" r:id="rId13"/>
      <w:pgSz w:w="12240" w:h="15840" w:code="1"/>
      <w:pgMar w:top="1264" w:right="1797" w:bottom="244" w:left="1797"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F9" w:rsidRDefault="004B4AF9">
      <w:r>
        <w:separator/>
      </w:r>
    </w:p>
  </w:endnote>
  <w:endnote w:type="continuationSeparator" w:id="0">
    <w:p w:rsidR="004B4AF9" w:rsidRDefault="004B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75" w:type="dxa"/>
      <w:jc w:val="center"/>
      <w:tblInd w:w="55" w:type="dxa"/>
      <w:tblBorders>
        <w:top w:val="single" w:sz="4" w:space="0" w:color="auto"/>
      </w:tblBorders>
      <w:tblLayout w:type="fixed"/>
      <w:tblLook w:val="0000" w:firstRow="0" w:lastRow="0" w:firstColumn="0" w:lastColumn="0" w:noHBand="0" w:noVBand="0"/>
    </w:tblPr>
    <w:tblGrid>
      <w:gridCol w:w="1457"/>
      <w:gridCol w:w="5832"/>
      <w:gridCol w:w="1586"/>
    </w:tblGrid>
    <w:tr w:rsidR="00BF40D0">
      <w:trPr>
        <w:trHeight w:val="526"/>
        <w:jc w:val="center"/>
      </w:trPr>
      <w:tc>
        <w:tcPr>
          <w:tcW w:w="1457" w:type="dxa"/>
        </w:tcPr>
        <w:p w:rsidR="00BF40D0" w:rsidRDefault="00BF40D0">
          <w:pPr>
            <w:pStyle w:val="Footer"/>
            <w:jc w:val="center"/>
            <w:rPr>
              <w:rFonts w:ascii="Verdana" w:hAnsi="Verdana"/>
              <w:sz w:val="8"/>
            </w:rPr>
          </w:pPr>
        </w:p>
        <w:p w:rsidR="00BF40D0" w:rsidRDefault="00A23DE5">
          <w:pPr>
            <w:pStyle w:val="Footer"/>
            <w:jc w:val="center"/>
            <w:rPr>
              <w:rFonts w:ascii="Verdana" w:hAnsi="Verdana"/>
              <w:sz w:val="8"/>
            </w:rPr>
          </w:pPr>
          <w:r>
            <w:rPr>
              <w:noProof/>
            </w:rPr>
            <w:drawing>
              <wp:inline distT="0" distB="0" distL="0" distR="0" wp14:anchorId="0FF3F8D0" wp14:editId="1D9D063D">
                <wp:extent cx="652145" cy="44513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45135"/>
                        </a:xfrm>
                        <a:prstGeom prst="rect">
                          <a:avLst/>
                        </a:prstGeom>
                        <a:noFill/>
                        <a:ln>
                          <a:noFill/>
                        </a:ln>
                      </pic:spPr>
                    </pic:pic>
                  </a:graphicData>
                </a:graphic>
              </wp:inline>
            </w:drawing>
          </w:r>
        </w:p>
      </w:tc>
      <w:tc>
        <w:tcPr>
          <w:tcW w:w="5832" w:type="dxa"/>
        </w:tcPr>
        <w:p w:rsidR="00BF40D0" w:rsidRDefault="00BF40D0">
          <w:pPr>
            <w:pStyle w:val="Footer"/>
            <w:jc w:val="center"/>
            <w:rPr>
              <w:rFonts w:ascii="Arial" w:hAnsi="Arial"/>
              <w:sz w:val="18"/>
            </w:rPr>
          </w:pPr>
          <w:r>
            <w:rPr>
              <w:rFonts w:ascii="Verdana" w:hAnsi="Verdana"/>
              <w:sz w:val="16"/>
            </w:rPr>
            <w:br/>
          </w:r>
          <w:r>
            <w:rPr>
              <w:rFonts w:ascii="Arial" w:hAnsi="Arial"/>
              <w:sz w:val="18"/>
            </w:rPr>
            <w:t>Ontario Regional Blood Coordinating Network</w:t>
          </w:r>
        </w:p>
        <w:p w:rsidR="00BF40D0" w:rsidRDefault="00BF40D0">
          <w:pPr>
            <w:pStyle w:val="Footer"/>
            <w:jc w:val="center"/>
            <w:rPr>
              <w:rFonts w:ascii="Arial" w:hAnsi="Arial"/>
              <w:sz w:val="18"/>
            </w:rPr>
          </w:pPr>
          <w:r>
            <w:rPr>
              <w:rFonts w:ascii="Arial" w:hAnsi="Arial"/>
              <w:sz w:val="18"/>
            </w:rPr>
            <w:t>Transfusion Technical Resource Manual</w:t>
          </w:r>
        </w:p>
      </w:tc>
      <w:tc>
        <w:tcPr>
          <w:tcW w:w="1586" w:type="dxa"/>
        </w:tcPr>
        <w:p w:rsidR="00BF40D0" w:rsidRDefault="00BF40D0">
          <w:pPr>
            <w:pStyle w:val="Footer"/>
            <w:jc w:val="right"/>
            <w:rPr>
              <w:rFonts w:ascii="Verdana" w:hAnsi="Verdana"/>
              <w:sz w:val="16"/>
            </w:rPr>
          </w:pPr>
        </w:p>
        <w:p w:rsidR="00BF40D0" w:rsidRDefault="00BF40D0">
          <w:pPr>
            <w:pStyle w:val="Footer"/>
            <w:jc w:val="right"/>
            <w:rPr>
              <w:rFonts w:ascii="Arial" w:hAnsi="Arial"/>
              <w:sz w:val="18"/>
            </w:rPr>
          </w:pPr>
          <w:r>
            <w:rPr>
              <w:rFonts w:ascii="Arial" w:hAnsi="Arial"/>
              <w:sz w:val="18"/>
            </w:rPr>
            <w:t>IM.002</w:t>
          </w:r>
        </w:p>
        <w:p w:rsidR="00BF40D0" w:rsidRDefault="00BF40D0">
          <w:pPr>
            <w:pStyle w:val="Footer"/>
            <w:jc w:val="right"/>
            <w:rPr>
              <w:rFonts w:ascii="Arial" w:hAnsi="Arial"/>
              <w:snapToGrid w:val="0"/>
              <w:sz w:val="18"/>
            </w:rPr>
          </w:pPr>
        </w:p>
        <w:p w:rsidR="00BF40D0" w:rsidRDefault="00BF40D0">
          <w:pPr>
            <w:pStyle w:val="Footer"/>
            <w:jc w:val="right"/>
            <w:rPr>
              <w:rFonts w:ascii="Verdana" w:hAnsi="Verdana"/>
              <w:sz w:val="16"/>
            </w:rPr>
          </w:pPr>
          <w:r>
            <w:rPr>
              <w:rFonts w:ascii="Arial" w:hAnsi="Arial"/>
              <w:snapToGrid w:val="0"/>
              <w:sz w:val="18"/>
            </w:rPr>
            <w:t xml:space="preserve">Page </w:t>
          </w:r>
          <w:r w:rsidR="004854BD">
            <w:rPr>
              <w:rFonts w:ascii="Arial" w:hAnsi="Arial"/>
              <w:snapToGrid w:val="0"/>
              <w:sz w:val="18"/>
            </w:rPr>
            <w:fldChar w:fldCharType="begin"/>
          </w:r>
          <w:r>
            <w:rPr>
              <w:rFonts w:ascii="Arial" w:hAnsi="Arial"/>
              <w:snapToGrid w:val="0"/>
              <w:sz w:val="18"/>
            </w:rPr>
            <w:instrText xml:space="preserve"> PAGE </w:instrText>
          </w:r>
          <w:r w:rsidR="004854BD">
            <w:rPr>
              <w:rFonts w:ascii="Arial" w:hAnsi="Arial"/>
              <w:snapToGrid w:val="0"/>
              <w:sz w:val="18"/>
            </w:rPr>
            <w:fldChar w:fldCharType="separate"/>
          </w:r>
          <w:r w:rsidR="009C12A9">
            <w:rPr>
              <w:rFonts w:ascii="Arial" w:hAnsi="Arial"/>
              <w:noProof/>
              <w:snapToGrid w:val="0"/>
              <w:sz w:val="18"/>
            </w:rPr>
            <w:t>3</w:t>
          </w:r>
          <w:r w:rsidR="004854BD">
            <w:rPr>
              <w:rFonts w:ascii="Arial" w:hAnsi="Arial"/>
              <w:snapToGrid w:val="0"/>
              <w:sz w:val="18"/>
            </w:rPr>
            <w:fldChar w:fldCharType="end"/>
          </w:r>
          <w:r>
            <w:rPr>
              <w:rFonts w:ascii="Arial" w:hAnsi="Arial"/>
              <w:snapToGrid w:val="0"/>
              <w:sz w:val="18"/>
            </w:rPr>
            <w:t xml:space="preserve"> of </w:t>
          </w:r>
          <w:r w:rsidR="004854BD">
            <w:rPr>
              <w:rFonts w:ascii="Arial" w:hAnsi="Arial"/>
              <w:snapToGrid w:val="0"/>
              <w:sz w:val="18"/>
            </w:rPr>
            <w:fldChar w:fldCharType="begin"/>
          </w:r>
          <w:r>
            <w:rPr>
              <w:rFonts w:ascii="Arial" w:hAnsi="Arial"/>
              <w:snapToGrid w:val="0"/>
              <w:sz w:val="18"/>
            </w:rPr>
            <w:instrText xml:space="preserve"> NUMPAGES </w:instrText>
          </w:r>
          <w:r w:rsidR="004854BD">
            <w:rPr>
              <w:rFonts w:ascii="Arial" w:hAnsi="Arial"/>
              <w:snapToGrid w:val="0"/>
              <w:sz w:val="18"/>
            </w:rPr>
            <w:fldChar w:fldCharType="separate"/>
          </w:r>
          <w:r w:rsidR="009C12A9">
            <w:rPr>
              <w:rFonts w:ascii="Arial" w:hAnsi="Arial"/>
              <w:noProof/>
              <w:snapToGrid w:val="0"/>
              <w:sz w:val="18"/>
            </w:rPr>
            <w:t>9</w:t>
          </w:r>
          <w:r w:rsidR="004854BD">
            <w:rPr>
              <w:rFonts w:ascii="Arial" w:hAnsi="Arial"/>
              <w:snapToGrid w:val="0"/>
              <w:sz w:val="18"/>
            </w:rPr>
            <w:fldChar w:fldCharType="end"/>
          </w:r>
        </w:p>
      </w:tc>
    </w:tr>
  </w:tbl>
  <w:p w:rsidR="00BF40D0" w:rsidRDefault="00BF40D0">
    <w:pPr>
      <w:rPr>
        <w:sz w:val="2"/>
      </w:rPr>
    </w:pPr>
  </w:p>
  <w:p w:rsidR="00BF40D0" w:rsidRDefault="00BF40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75" w:type="dxa"/>
      <w:jc w:val="center"/>
      <w:tblInd w:w="55" w:type="dxa"/>
      <w:tblBorders>
        <w:top w:val="single" w:sz="4" w:space="0" w:color="auto"/>
      </w:tblBorders>
      <w:tblLayout w:type="fixed"/>
      <w:tblLook w:val="0000" w:firstRow="0" w:lastRow="0" w:firstColumn="0" w:lastColumn="0" w:noHBand="0" w:noVBand="0"/>
    </w:tblPr>
    <w:tblGrid>
      <w:gridCol w:w="1457"/>
      <w:gridCol w:w="5832"/>
      <w:gridCol w:w="1586"/>
    </w:tblGrid>
    <w:tr w:rsidR="00BF40D0">
      <w:trPr>
        <w:trHeight w:val="526"/>
        <w:jc w:val="center"/>
      </w:trPr>
      <w:tc>
        <w:tcPr>
          <w:tcW w:w="1457" w:type="dxa"/>
        </w:tcPr>
        <w:p w:rsidR="00BF40D0" w:rsidRDefault="00BF40D0">
          <w:pPr>
            <w:pStyle w:val="Footer"/>
            <w:jc w:val="center"/>
            <w:rPr>
              <w:rFonts w:ascii="Verdana" w:hAnsi="Verdana"/>
              <w:sz w:val="8"/>
            </w:rPr>
          </w:pPr>
        </w:p>
        <w:p w:rsidR="00BF40D0" w:rsidRDefault="00A23DE5">
          <w:pPr>
            <w:pStyle w:val="Footer"/>
            <w:jc w:val="center"/>
            <w:rPr>
              <w:rFonts w:ascii="Verdana" w:hAnsi="Verdana"/>
              <w:sz w:val="8"/>
            </w:rPr>
          </w:pPr>
          <w:r>
            <w:rPr>
              <w:noProof/>
            </w:rPr>
            <w:drawing>
              <wp:inline distT="0" distB="0" distL="0" distR="0" wp14:anchorId="59B6C24F" wp14:editId="534947E9">
                <wp:extent cx="652145" cy="44513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45135"/>
                        </a:xfrm>
                        <a:prstGeom prst="rect">
                          <a:avLst/>
                        </a:prstGeom>
                        <a:noFill/>
                        <a:ln>
                          <a:noFill/>
                        </a:ln>
                      </pic:spPr>
                    </pic:pic>
                  </a:graphicData>
                </a:graphic>
              </wp:inline>
            </w:drawing>
          </w:r>
        </w:p>
      </w:tc>
      <w:tc>
        <w:tcPr>
          <w:tcW w:w="5832" w:type="dxa"/>
        </w:tcPr>
        <w:p w:rsidR="00BF40D0" w:rsidRDefault="00BF40D0">
          <w:pPr>
            <w:pStyle w:val="Footer"/>
            <w:jc w:val="center"/>
            <w:rPr>
              <w:rFonts w:ascii="Arial" w:hAnsi="Arial"/>
              <w:sz w:val="18"/>
            </w:rPr>
          </w:pPr>
          <w:r>
            <w:rPr>
              <w:rFonts w:ascii="Verdana" w:hAnsi="Verdana"/>
              <w:sz w:val="16"/>
            </w:rPr>
            <w:br/>
          </w:r>
          <w:r>
            <w:rPr>
              <w:rFonts w:ascii="Arial" w:hAnsi="Arial"/>
              <w:sz w:val="18"/>
            </w:rPr>
            <w:t>Ontario Regional Blood Coordinating Network</w:t>
          </w:r>
        </w:p>
        <w:p w:rsidR="00BF40D0" w:rsidRDefault="00BF40D0">
          <w:pPr>
            <w:pStyle w:val="Footer"/>
            <w:jc w:val="center"/>
            <w:rPr>
              <w:rFonts w:ascii="Arial" w:hAnsi="Arial"/>
              <w:sz w:val="18"/>
            </w:rPr>
          </w:pPr>
          <w:r>
            <w:rPr>
              <w:rFonts w:ascii="Arial" w:hAnsi="Arial"/>
              <w:sz w:val="18"/>
            </w:rPr>
            <w:t>Transfusion Technical Resource Manual</w:t>
          </w:r>
        </w:p>
      </w:tc>
      <w:tc>
        <w:tcPr>
          <w:tcW w:w="1586" w:type="dxa"/>
        </w:tcPr>
        <w:p w:rsidR="00BF40D0" w:rsidRDefault="00BF40D0">
          <w:pPr>
            <w:pStyle w:val="Footer"/>
            <w:jc w:val="right"/>
            <w:rPr>
              <w:rFonts w:ascii="Verdana" w:hAnsi="Verdana"/>
              <w:sz w:val="16"/>
            </w:rPr>
          </w:pPr>
        </w:p>
        <w:p w:rsidR="00BF40D0" w:rsidRDefault="00BF40D0">
          <w:pPr>
            <w:pStyle w:val="Footer"/>
            <w:jc w:val="right"/>
            <w:rPr>
              <w:rFonts w:ascii="Arial" w:hAnsi="Arial"/>
              <w:sz w:val="18"/>
            </w:rPr>
          </w:pPr>
          <w:r>
            <w:rPr>
              <w:rFonts w:ascii="Arial" w:hAnsi="Arial"/>
              <w:sz w:val="18"/>
            </w:rPr>
            <w:t>IM.002</w:t>
          </w:r>
        </w:p>
        <w:p w:rsidR="00BF40D0" w:rsidRDefault="00BF40D0">
          <w:pPr>
            <w:pStyle w:val="Footer"/>
            <w:jc w:val="right"/>
            <w:rPr>
              <w:rFonts w:ascii="Arial" w:hAnsi="Arial"/>
              <w:snapToGrid w:val="0"/>
              <w:sz w:val="18"/>
            </w:rPr>
          </w:pPr>
        </w:p>
        <w:p w:rsidR="00BF40D0" w:rsidRDefault="00BF40D0">
          <w:pPr>
            <w:pStyle w:val="Footer"/>
            <w:jc w:val="right"/>
            <w:rPr>
              <w:rFonts w:ascii="Verdana" w:hAnsi="Verdana"/>
              <w:sz w:val="16"/>
            </w:rPr>
          </w:pPr>
          <w:r>
            <w:rPr>
              <w:rFonts w:ascii="Arial" w:hAnsi="Arial"/>
              <w:snapToGrid w:val="0"/>
              <w:sz w:val="18"/>
            </w:rPr>
            <w:t xml:space="preserve">Page </w:t>
          </w:r>
          <w:r w:rsidR="004854BD">
            <w:rPr>
              <w:rFonts w:ascii="Arial" w:hAnsi="Arial"/>
              <w:snapToGrid w:val="0"/>
              <w:sz w:val="18"/>
            </w:rPr>
            <w:fldChar w:fldCharType="begin"/>
          </w:r>
          <w:r>
            <w:rPr>
              <w:rFonts w:ascii="Arial" w:hAnsi="Arial"/>
              <w:snapToGrid w:val="0"/>
              <w:sz w:val="18"/>
            </w:rPr>
            <w:instrText xml:space="preserve"> PAGE </w:instrText>
          </w:r>
          <w:r w:rsidR="004854BD">
            <w:rPr>
              <w:rFonts w:ascii="Arial" w:hAnsi="Arial"/>
              <w:snapToGrid w:val="0"/>
              <w:sz w:val="18"/>
            </w:rPr>
            <w:fldChar w:fldCharType="separate"/>
          </w:r>
          <w:r w:rsidR="009C12A9">
            <w:rPr>
              <w:rFonts w:ascii="Arial" w:hAnsi="Arial"/>
              <w:noProof/>
              <w:snapToGrid w:val="0"/>
              <w:sz w:val="18"/>
            </w:rPr>
            <w:t>1</w:t>
          </w:r>
          <w:r w:rsidR="004854BD">
            <w:rPr>
              <w:rFonts w:ascii="Arial" w:hAnsi="Arial"/>
              <w:snapToGrid w:val="0"/>
              <w:sz w:val="18"/>
            </w:rPr>
            <w:fldChar w:fldCharType="end"/>
          </w:r>
          <w:r>
            <w:rPr>
              <w:rFonts w:ascii="Arial" w:hAnsi="Arial"/>
              <w:snapToGrid w:val="0"/>
              <w:sz w:val="18"/>
            </w:rPr>
            <w:t xml:space="preserve"> of </w:t>
          </w:r>
          <w:r w:rsidR="004854BD">
            <w:rPr>
              <w:rFonts w:ascii="Arial" w:hAnsi="Arial"/>
              <w:snapToGrid w:val="0"/>
              <w:sz w:val="18"/>
            </w:rPr>
            <w:fldChar w:fldCharType="begin"/>
          </w:r>
          <w:r>
            <w:rPr>
              <w:rFonts w:ascii="Arial" w:hAnsi="Arial"/>
              <w:snapToGrid w:val="0"/>
              <w:sz w:val="18"/>
            </w:rPr>
            <w:instrText xml:space="preserve"> NUMPAGES </w:instrText>
          </w:r>
          <w:r w:rsidR="004854BD">
            <w:rPr>
              <w:rFonts w:ascii="Arial" w:hAnsi="Arial"/>
              <w:snapToGrid w:val="0"/>
              <w:sz w:val="18"/>
            </w:rPr>
            <w:fldChar w:fldCharType="separate"/>
          </w:r>
          <w:r w:rsidR="009C12A9">
            <w:rPr>
              <w:rFonts w:ascii="Arial" w:hAnsi="Arial"/>
              <w:noProof/>
              <w:snapToGrid w:val="0"/>
              <w:sz w:val="18"/>
            </w:rPr>
            <w:t>1</w:t>
          </w:r>
          <w:r w:rsidR="004854BD">
            <w:rPr>
              <w:rFonts w:ascii="Arial" w:hAnsi="Arial"/>
              <w:snapToGrid w:val="0"/>
              <w:sz w:val="18"/>
            </w:rPr>
            <w:fldChar w:fldCharType="end"/>
          </w:r>
        </w:p>
      </w:tc>
    </w:tr>
  </w:tbl>
  <w:p w:rsidR="00BF40D0" w:rsidRDefault="00BF4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F9" w:rsidRDefault="004B4AF9">
      <w:r>
        <w:separator/>
      </w:r>
    </w:p>
  </w:footnote>
  <w:footnote w:type="continuationSeparator" w:id="0">
    <w:p w:rsidR="004B4AF9" w:rsidRDefault="004B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Layout w:type="fixed"/>
      <w:tblLook w:val="0000" w:firstRow="0" w:lastRow="0" w:firstColumn="0" w:lastColumn="0" w:noHBand="0" w:noVBand="0"/>
    </w:tblPr>
    <w:tblGrid>
      <w:gridCol w:w="8838"/>
    </w:tblGrid>
    <w:tr w:rsidR="00BF40D0">
      <w:tc>
        <w:tcPr>
          <w:tcW w:w="8838" w:type="dxa"/>
        </w:tcPr>
        <w:p w:rsidR="00BF40D0" w:rsidRDefault="00BF40D0">
          <w:pPr>
            <w:pStyle w:val="Header"/>
            <w:jc w:val="center"/>
            <w:rPr>
              <w:rFonts w:ascii="Arial" w:hAnsi="Arial"/>
              <w:b/>
              <w:sz w:val="28"/>
            </w:rPr>
          </w:pPr>
          <w:r>
            <w:rPr>
              <w:rFonts w:ascii="Arial" w:hAnsi="Arial"/>
              <w:b/>
              <w:sz w:val="28"/>
            </w:rPr>
            <w:t>Receiving Blood, Blood Components and Plasma Protein Products</w:t>
          </w:r>
        </w:p>
      </w:tc>
    </w:tr>
  </w:tbl>
  <w:p w:rsidR="00BF40D0" w:rsidRDefault="00BF40D0">
    <w:pPr>
      <w:pStyle w:val="Heade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D0" w:rsidRDefault="00A23DE5">
    <w:pPr>
      <w:pStyle w:val="Header"/>
      <w:tabs>
        <w:tab w:val="clear" w:pos="8640"/>
        <w:tab w:val="left" w:pos="5057"/>
      </w:tabs>
    </w:pPr>
    <w:r>
      <w:rPr>
        <w:noProof/>
      </w:rPr>
      <w:drawing>
        <wp:inline distT="0" distB="0" distL="0" distR="0" wp14:anchorId="4CD437B4" wp14:editId="0469CE15">
          <wp:extent cx="1137285" cy="461010"/>
          <wp:effectExtent l="0" t="0" r="5715"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461010"/>
                  </a:xfrm>
                  <a:prstGeom prst="rect">
                    <a:avLst/>
                  </a:prstGeom>
                  <a:noFill/>
                  <a:ln>
                    <a:noFill/>
                  </a:ln>
                </pic:spPr>
              </pic:pic>
            </a:graphicData>
          </a:graphic>
        </wp:inline>
      </w:drawing>
    </w:r>
  </w:p>
  <w:p w:rsidR="00BF40D0" w:rsidRDefault="00BF40D0">
    <w:pPr>
      <w:pStyle w:val="Header"/>
      <w:tabs>
        <w:tab w:val="clear" w:pos="8640"/>
        <w:tab w:val="left" w:pos="5057"/>
      </w:tabs>
      <w:rPr>
        <w:rFonts w:ascii="Arial" w:hAnsi="Arial" w:cs="Arial"/>
        <w:b/>
        <w:bCs/>
        <w:sz w:val="22"/>
      </w:rPr>
    </w:pPr>
  </w:p>
  <w:p w:rsidR="00BF40D0" w:rsidRPr="00F5352D" w:rsidRDefault="007E7FF1">
    <w:pPr>
      <w:pStyle w:val="Header"/>
      <w:jc w:val="center"/>
      <w:rPr>
        <w:rFonts w:ascii="Arial" w:hAnsi="Arial" w:cs="Arial"/>
        <w:b/>
        <w:bCs/>
      </w:rPr>
    </w:pPr>
    <w:r w:rsidRPr="00F5352D">
      <w:rPr>
        <w:rFonts w:ascii="Arial" w:hAnsi="Arial" w:cs="Arial"/>
        <w:b/>
        <w:bCs/>
      </w:rPr>
      <w:t>Ontario Regional Blood Coordinating Network</w:t>
    </w:r>
  </w:p>
  <w:p w:rsidR="007E7FF1" w:rsidRDefault="007E7FF1">
    <w:pPr>
      <w:pStyle w:val="Header"/>
      <w:jc w:val="center"/>
      <w:rPr>
        <w:rFonts w:ascii="Arial" w:hAnsi="Arial" w:cs="Arial"/>
        <w:b/>
        <w:bCs/>
        <w:sz w:val="22"/>
      </w:rPr>
    </w:pPr>
    <w:r w:rsidRPr="00F5352D">
      <w:rPr>
        <w:rFonts w:ascii="Arial" w:hAnsi="Arial" w:cs="Arial"/>
        <w:b/>
        <w:bCs/>
      </w:rPr>
      <w:t>Transfusion Technical Resource Manual</w:t>
    </w:r>
  </w:p>
  <w:p w:rsidR="00BF40D0" w:rsidRDefault="00BF40D0">
    <w:pPr>
      <w:pStyle w:val="Header"/>
      <w:jc w:val="center"/>
      <w:rPr>
        <w:rFonts w:ascii="Arial" w:hAnsi="Arial" w:cs="Arial"/>
        <w:b/>
        <w:bCs/>
        <w:sz w:val="22"/>
      </w:rPr>
    </w:pPr>
  </w:p>
  <w:p w:rsidR="00BF40D0" w:rsidRDefault="00BF40D0" w:rsidP="00652D6D">
    <w:pPr>
      <w:pStyle w:val="Header"/>
      <w:tabs>
        <w:tab w:val="left" w:pos="6617"/>
      </w:tabs>
      <w:jc w:val="center"/>
      <w:rPr>
        <w:rFonts w:ascii="Arial" w:hAnsi="Arial"/>
        <w:b/>
        <w:sz w:val="28"/>
      </w:rPr>
    </w:pPr>
    <w:r>
      <w:rPr>
        <w:rFonts w:ascii="Arial" w:hAnsi="Arial"/>
        <w:b/>
        <w:sz w:val="28"/>
      </w:rPr>
      <w:t>Receiving Blood Components and Plasma Protein Products</w:t>
    </w:r>
  </w:p>
  <w:p w:rsidR="00BF40D0" w:rsidRDefault="00BF40D0">
    <w:pPr>
      <w:pStyle w:val="Header"/>
      <w:tabs>
        <w:tab w:val="left" w:pos="6617"/>
      </w:tabs>
      <w:rPr>
        <w:rFonts w:ascii="Arial" w:hAnsi="Arial"/>
        <w:b/>
        <w:sz w:val="28"/>
      </w:rPr>
    </w:pPr>
  </w:p>
  <w:p w:rsidR="00BF40D0" w:rsidRDefault="00BF40D0">
    <w:pPr>
      <w:pStyle w:val="Header"/>
      <w:tabs>
        <w:tab w:val="left" w:pos="6617"/>
      </w:tabs>
      <w:rPr>
        <w:rFonts w:ascii="Arial" w:hAnsi="Arial" w:cs="Arial"/>
        <w:b/>
        <w:bCs/>
        <w:sz w:val="20"/>
      </w:rPr>
    </w:pPr>
    <w:r>
      <w:rPr>
        <w:rFonts w:ascii="Arial" w:hAnsi="Arial" w:cs="Arial"/>
        <w:b/>
        <w:bCs/>
        <w:sz w:val="20"/>
      </w:rPr>
      <w:tab/>
    </w:r>
    <w:r w:rsidR="00A23DE5">
      <w:rPr>
        <w:rFonts w:ascii="Arial" w:hAnsi="Arial" w:cs="Arial"/>
        <w:noProof/>
        <w:sz w:val="20"/>
      </w:rPr>
      <mc:AlternateContent>
        <mc:Choice Requires="wps">
          <w:drawing>
            <wp:anchor distT="0" distB="0" distL="114300" distR="114300" simplePos="0" relativeHeight="251657216" behindDoc="0" locked="0" layoutInCell="1" allowOverlap="1" wp14:anchorId="6A13BF5D" wp14:editId="12A1346B">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BF40D0">
      <w:tc>
        <w:tcPr>
          <w:tcW w:w="4428" w:type="dxa"/>
        </w:tcPr>
        <w:p w:rsidR="00BF40D0" w:rsidRDefault="00BF40D0">
          <w:pPr>
            <w:pStyle w:val="Header"/>
            <w:rPr>
              <w:rFonts w:ascii="Arial" w:hAnsi="Arial" w:cs="Arial"/>
              <w:sz w:val="20"/>
            </w:rPr>
          </w:pPr>
          <w:r>
            <w:rPr>
              <w:rFonts w:ascii="Arial" w:hAnsi="Arial" w:cs="Arial"/>
              <w:sz w:val="20"/>
            </w:rPr>
            <w:t xml:space="preserve">Approved By:  </w:t>
          </w:r>
        </w:p>
      </w:tc>
      <w:tc>
        <w:tcPr>
          <w:tcW w:w="4428" w:type="dxa"/>
        </w:tcPr>
        <w:p w:rsidR="00BF40D0" w:rsidRDefault="00BF40D0">
          <w:pPr>
            <w:pStyle w:val="Header"/>
            <w:rPr>
              <w:rFonts w:ascii="Arial" w:hAnsi="Arial" w:cs="Arial"/>
              <w:sz w:val="20"/>
            </w:rPr>
          </w:pPr>
          <w:r>
            <w:rPr>
              <w:rFonts w:ascii="Arial" w:hAnsi="Arial" w:cs="Arial"/>
              <w:sz w:val="20"/>
            </w:rPr>
            <w:t>Document No: IM.002</w:t>
          </w:r>
        </w:p>
      </w:tc>
    </w:tr>
    <w:tr w:rsidR="00BF40D0">
      <w:tc>
        <w:tcPr>
          <w:tcW w:w="4428" w:type="dxa"/>
        </w:tcPr>
        <w:p w:rsidR="00BF40D0" w:rsidRDefault="00BF40D0">
          <w:pPr>
            <w:pStyle w:val="Header"/>
            <w:rPr>
              <w:rFonts w:ascii="Arial" w:hAnsi="Arial" w:cs="Arial"/>
              <w:sz w:val="20"/>
            </w:rPr>
          </w:pPr>
          <w:r>
            <w:rPr>
              <w:rFonts w:ascii="Arial" w:hAnsi="Arial" w:cs="Arial"/>
              <w:sz w:val="20"/>
            </w:rPr>
            <w:t>Date Issued:  2004/04/05</w:t>
          </w:r>
        </w:p>
      </w:tc>
      <w:tc>
        <w:tcPr>
          <w:tcW w:w="4428" w:type="dxa"/>
        </w:tcPr>
        <w:p w:rsidR="00BF40D0" w:rsidRDefault="00BF40D0">
          <w:pPr>
            <w:pStyle w:val="Header"/>
            <w:rPr>
              <w:rFonts w:ascii="Arial" w:hAnsi="Arial" w:cs="Arial"/>
              <w:sz w:val="20"/>
            </w:rPr>
          </w:pPr>
          <w:r>
            <w:rPr>
              <w:rFonts w:ascii="Arial" w:hAnsi="Arial" w:cs="Arial"/>
              <w:sz w:val="20"/>
            </w:rPr>
            <w:t>Category:  Inventory Management</w:t>
          </w:r>
        </w:p>
      </w:tc>
    </w:tr>
    <w:tr w:rsidR="00BF40D0">
      <w:tc>
        <w:tcPr>
          <w:tcW w:w="4428" w:type="dxa"/>
        </w:tcPr>
        <w:p w:rsidR="00BF40D0" w:rsidRDefault="00D22701" w:rsidP="00A55168">
          <w:pPr>
            <w:pStyle w:val="Header"/>
            <w:rPr>
              <w:rFonts w:ascii="Arial" w:hAnsi="Arial" w:cs="Arial"/>
              <w:sz w:val="20"/>
            </w:rPr>
          </w:pPr>
          <w:r>
            <w:rPr>
              <w:rFonts w:ascii="Arial" w:hAnsi="Arial" w:cs="Arial"/>
              <w:sz w:val="20"/>
            </w:rPr>
            <w:t>Date Revised:  09/09/01; 2014/08</w:t>
          </w:r>
          <w:r w:rsidR="00BF40D0">
            <w:rPr>
              <w:rFonts w:ascii="Arial" w:hAnsi="Arial" w:cs="Arial"/>
              <w:sz w:val="20"/>
            </w:rPr>
            <w:t>/</w:t>
          </w:r>
          <w:r>
            <w:rPr>
              <w:rFonts w:ascii="Arial" w:hAnsi="Arial" w:cs="Arial"/>
              <w:sz w:val="20"/>
            </w:rPr>
            <w:t>08</w:t>
          </w:r>
          <w:r w:rsidR="00546110">
            <w:rPr>
              <w:rFonts w:ascii="Arial" w:hAnsi="Arial" w:cs="Arial"/>
              <w:sz w:val="20"/>
            </w:rPr>
            <w:t xml:space="preserve">; </w:t>
          </w:r>
          <w:r w:rsidR="00546110" w:rsidRPr="00A55168">
            <w:rPr>
              <w:rFonts w:ascii="Arial" w:hAnsi="Arial" w:cs="Arial"/>
              <w:sz w:val="20"/>
            </w:rPr>
            <w:t>2017/</w:t>
          </w:r>
          <w:r w:rsidR="00A55168">
            <w:rPr>
              <w:rFonts w:ascii="Arial" w:hAnsi="Arial" w:cs="Arial"/>
              <w:sz w:val="20"/>
            </w:rPr>
            <w:t>08/14</w:t>
          </w:r>
        </w:p>
      </w:tc>
      <w:tc>
        <w:tcPr>
          <w:tcW w:w="4428" w:type="dxa"/>
        </w:tcPr>
        <w:p w:rsidR="00BF40D0" w:rsidRDefault="00BF40D0">
          <w:pPr>
            <w:pStyle w:val="Header"/>
            <w:rPr>
              <w:rFonts w:ascii="Arial" w:hAnsi="Arial" w:cs="Arial"/>
              <w:sz w:val="20"/>
            </w:rPr>
          </w:pPr>
          <w:r>
            <w:rPr>
              <w:rFonts w:ascii="Arial" w:hAnsi="Arial" w:cs="Arial"/>
              <w:sz w:val="20"/>
            </w:rPr>
            <w:t>Page</w:t>
          </w:r>
          <w:r w:rsidR="00F5352D">
            <w:rPr>
              <w:rFonts w:ascii="Arial" w:hAnsi="Arial" w:cs="Arial"/>
              <w:sz w:val="20"/>
            </w:rPr>
            <w:t>:</w:t>
          </w:r>
          <w:r>
            <w:rPr>
              <w:rFonts w:ascii="Arial" w:hAnsi="Arial" w:cs="Arial"/>
              <w:sz w:val="20"/>
            </w:rPr>
            <w:t xml:space="preserve"> </w:t>
          </w:r>
          <w:r w:rsidR="004854BD">
            <w:rPr>
              <w:rFonts w:ascii="Arial" w:hAnsi="Arial" w:cs="Arial"/>
              <w:sz w:val="20"/>
            </w:rPr>
            <w:fldChar w:fldCharType="begin"/>
          </w:r>
          <w:r>
            <w:rPr>
              <w:rFonts w:ascii="Arial" w:hAnsi="Arial" w:cs="Arial"/>
              <w:sz w:val="20"/>
            </w:rPr>
            <w:instrText xml:space="preserve"> PAGE </w:instrText>
          </w:r>
          <w:r w:rsidR="004854BD">
            <w:rPr>
              <w:rFonts w:ascii="Arial" w:hAnsi="Arial" w:cs="Arial"/>
              <w:sz w:val="20"/>
            </w:rPr>
            <w:fldChar w:fldCharType="separate"/>
          </w:r>
          <w:r w:rsidR="009C12A9">
            <w:rPr>
              <w:rFonts w:ascii="Arial" w:hAnsi="Arial" w:cs="Arial"/>
              <w:noProof/>
              <w:sz w:val="20"/>
            </w:rPr>
            <w:t>1</w:t>
          </w:r>
          <w:r w:rsidR="004854BD">
            <w:rPr>
              <w:rFonts w:ascii="Arial" w:hAnsi="Arial" w:cs="Arial"/>
              <w:sz w:val="20"/>
            </w:rPr>
            <w:fldChar w:fldCharType="end"/>
          </w:r>
          <w:r>
            <w:rPr>
              <w:rFonts w:ascii="Arial" w:hAnsi="Arial" w:cs="Arial"/>
              <w:sz w:val="20"/>
            </w:rPr>
            <w:t xml:space="preserve"> of </w:t>
          </w:r>
          <w:r w:rsidR="004854BD">
            <w:rPr>
              <w:rFonts w:ascii="Arial" w:hAnsi="Arial" w:cs="Arial"/>
              <w:sz w:val="20"/>
            </w:rPr>
            <w:fldChar w:fldCharType="begin"/>
          </w:r>
          <w:r>
            <w:rPr>
              <w:rFonts w:ascii="Arial" w:hAnsi="Arial" w:cs="Arial"/>
              <w:sz w:val="20"/>
            </w:rPr>
            <w:instrText xml:space="preserve"> NUMPAGES </w:instrText>
          </w:r>
          <w:r w:rsidR="004854BD">
            <w:rPr>
              <w:rFonts w:ascii="Arial" w:hAnsi="Arial" w:cs="Arial"/>
              <w:sz w:val="20"/>
            </w:rPr>
            <w:fldChar w:fldCharType="separate"/>
          </w:r>
          <w:r w:rsidR="009C12A9">
            <w:rPr>
              <w:rFonts w:ascii="Arial" w:hAnsi="Arial" w:cs="Arial"/>
              <w:noProof/>
              <w:sz w:val="20"/>
            </w:rPr>
            <w:t>1</w:t>
          </w:r>
          <w:r w:rsidR="004854BD">
            <w:rPr>
              <w:rFonts w:ascii="Arial" w:hAnsi="Arial" w:cs="Arial"/>
              <w:sz w:val="20"/>
            </w:rPr>
            <w:fldChar w:fldCharType="end"/>
          </w:r>
        </w:p>
      </w:tc>
    </w:tr>
  </w:tbl>
  <w:p w:rsidR="00BF40D0" w:rsidRDefault="00A23DE5">
    <w:pPr>
      <w:pStyle w:val="Head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216073F0" wp14:editId="0C4C7689">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BF40D0">
      <w:rPr>
        <w:rFonts w:ascii="Arial" w:hAnsi="Arial" w:cs="Arial"/>
        <w:sz w:val="20"/>
      </w:rPr>
      <w:tab/>
    </w:r>
  </w:p>
  <w:p w:rsidR="00BF40D0" w:rsidRDefault="00BF40D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E46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E72BF"/>
    <w:multiLevelType w:val="hybridMultilevel"/>
    <w:tmpl w:val="B1A6B8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nsid w:val="09430EDD"/>
    <w:multiLevelType w:val="singleLevel"/>
    <w:tmpl w:val="0409000F"/>
    <w:lvl w:ilvl="0">
      <w:start w:val="1"/>
      <w:numFmt w:val="decimal"/>
      <w:lvlText w:val="%1."/>
      <w:lvlJc w:val="left"/>
      <w:pPr>
        <w:tabs>
          <w:tab w:val="num" w:pos="360"/>
        </w:tabs>
        <w:ind w:left="360" w:hanging="360"/>
      </w:pPr>
    </w:lvl>
  </w:abstractNum>
  <w:abstractNum w:abstractNumId="4">
    <w:nsid w:val="0A0A5117"/>
    <w:multiLevelType w:val="hybridMultilevel"/>
    <w:tmpl w:val="6EB6C0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953BD2"/>
    <w:multiLevelType w:val="hybridMultilevel"/>
    <w:tmpl w:val="61C657F4"/>
    <w:lvl w:ilvl="0" w:tplc="7C5E849C">
      <w:start w:val="1"/>
      <w:numFmt w:val="bullet"/>
      <w:lvlText w:val=""/>
      <w:lvlJc w:val="left"/>
      <w:pPr>
        <w:ind w:left="1170" w:hanging="360"/>
      </w:pPr>
      <w:rPr>
        <w:rFonts w:ascii="Symbol" w:hAnsi="Symbol" w:hint="default"/>
        <w:sz w:val="22"/>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6">
    <w:nsid w:val="24A035A9"/>
    <w:multiLevelType w:val="hybridMultilevel"/>
    <w:tmpl w:val="BE30C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6D0DE0"/>
    <w:multiLevelType w:val="hybridMultilevel"/>
    <w:tmpl w:val="34CE0CE8"/>
    <w:lvl w:ilvl="0" w:tplc="7CF08432">
      <w:start w:val="1"/>
      <w:numFmt w:val="bullet"/>
      <w:lvlText w:val=""/>
      <w:lvlJc w:val="left"/>
      <w:pPr>
        <w:ind w:left="2610" w:hanging="360"/>
      </w:pPr>
      <w:rPr>
        <w:rFonts w:ascii="Symbol" w:hAnsi="Symbol" w:hint="default"/>
        <w:sz w:val="24"/>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8">
    <w:nsid w:val="2593277C"/>
    <w:multiLevelType w:val="hybridMultilevel"/>
    <w:tmpl w:val="FC5E25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EB5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5000BF"/>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1">
    <w:nsid w:val="28FE4DEB"/>
    <w:multiLevelType w:val="multilevel"/>
    <w:tmpl w:val="CE6CB730"/>
    <w:lvl w:ilvl="0">
      <w:start w:val="1"/>
      <w:numFmt w:val="decimal"/>
      <w:lvlText w:val="%1.0"/>
      <w:lvlJc w:val="left"/>
      <w:pPr>
        <w:ind w:left="360" w:hanging="360"/>
      </w:pPr>
      <w:rPr>
        <w:rFonts w:hint="default"/>
        <w:b/>
        <w:sz w:val="28"/>
      </w:rPr>
    </w:lvl>
    <w:lvl w:ilvl="1">
      <w:start w:val="1"/>
      <w:numFmt w:val="decimal"/>
      <w:lvlText w:val="%1.%2"/>
      <w:lvlJc w:val="left"/>
      <w:pPr>
        <w:ind w:left="1080" w:hanging="360"/>
      </w:pPr>
      <w:rPr>
        <w:rFonts w:hint="default"/>
        <w:b w:val="0"/>
        <w:sz w:val="24"/>
      </w:rPr>
    </w:lvl>
    <w:lvl w:ilvl="2">
      <w:start w:val="1"/>
      <w:numFmt w:val="decimal"/>
      <w:lvlText w:val="%1.%2.%3"/>
      <w:lvlJc w:val="left"/>
      <w:pPr>
        <w:ind w:left="2421" w:hanging="720"/>
      </w:pPr>
      <w:rPr>
        <w:rFonts w:ascii="Arial" w:hAnsi="Arial" w:cs="Arial"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96241EE"/>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3">
    <w:nsid w:val="29E8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3625C7"/>
    <w:multiLevelType w:val="hybridMultilevel"/>
    <w:tmpl w:val="BF582ED6"/>
    <w:lvl w:ilvl="0" w:tplc="1756C0A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5">
    <w:nsid w:val="2FFF7B8C"/>
    <w:multiLevelType w:val="multilevel"/>
    <w:tmpl w:val="188272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nsid w:val="3C3E4B5F"/>
    <w:multiLevelType w:val="multilevel"/>
    <w:tmpl w:val="188272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DBC1570"/>
    <w:multiLevelType w:val="multilevel"/>
    <w:tmpl w:val="188272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2810338"/>
    <w:multiLevelType w:val="hybridMultilevel"/>
    <w:tmpl w:val="4F34D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4996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C87EB6"/>
    <w:multiLevelType w:val="multilevel"/>
    <w:tmpl w:val="0C0210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8D546C8"/>
    <w:multiLevelType w:val="hybridMultilevel"/>
    <w:tmpl w:val="A3D6F9D6"/>
    <w:lvl w:ilvl="0" w:tplc="7CF08432">
      <w:start w:val="1"/>
      <w:numFmt w:val="bullet"/>
      <w:lvlText w:val=""/>
      <w:lvlJc w:val="left"/>
      <w:pPr>
        <w:ind w:left="4897" w:hanging="360"/>
      </w:pPr>
      <w:rPr>
        <w:rFonts w:ascii="Symbol" w:hAnsi="Symbol" w:hint="default"/>
        <w:sz w:val="24"/>
      </w:rPr>
    </w:lvl>
    <w:lvl w:ilvl="1" w:tplc="7CF08432">
      <w:start w:val="1"/>
      <w:numFmt w:val="bullet"/>
      <w:lvlText w:val=""/>
      <w:lvlJc w:val="left"/>
      <w:pPr>
        <w:ind w:left="1800" w:hanging="360"/>
      </w:pPr>
      <w:rPr>
        <w:rFonts w:ascii="Symbol" w:hAnsi="Symbol" w:hint="default"/>
        <w:sz w:val="24"/>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3">
    <w:nsid w:val="48E53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4627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A47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AB46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266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A11C60"/>
    <w:multiLevelType w:val="hybridMultilevel"/>
    <w:tmpl w:val="44FA8A8A"/>
    <w:lvl w:ilvl="0" w:tplc="7C5E849C">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0321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2220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2">
    <w:nsid w:val="67CB1779"/>
    <w:multiLevelType w:val="multilevel"/>
    <w:tmpl w:val="4372BB84"/>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4">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5">
    <w:nsid w:val="727B1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0E3909"/>
    <w:multiLevelType w:val="hybridMultilevel"/>
    <w:tmpl w:val="B5A88518"/>
    <w:lvl w:ilvl="0" w:tplc="7C5E849C">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99D4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3F16D0"/>
    <w:multiLevelType w:val="hybridMultilevel"/>
    <w:tmpl w:val="A1885D54"/>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9">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2"/>
  </w:num>
  <w:num w:numId="2">
    <w:abstractNumId w:val="34"/>
  </w:num>
  <w:num w:numId="3">
    <w:abstractNumId w:val="33"/>
  </w:num>
  <w:num w:numId="4">
    <w:abstractNumId w:val="31"/>
  </w:num>
  <w:num w:numId="5">
    <w:abstractNumId w:val="39"/>
  </w:num>
  <w:num w:numId="6">
    <w:abstractNumId w:val="16"/>
  </w:num>
  <w:num w:numId="7">
    <w:abstractNumId w:val="16"/>
  </w:num>
  <w:num w:numId="8">
    <w:abstractNumId w:val="26"/>
  </w:num>
  <w:num w:numId="9">
    <w:abstractNumId w:val="27"/>
  </w:num>
  <w:num w:numId="10">
    <w:abstractNumId w:val="24"/>
  </w:num>
  <w:num w:numId="11">
    <w:abstractNumId w:val="23"/>
  </w:num>
  <w:num w:numId="12">
    <w:abstractNumId w:val="30"/>
  </w:num>
  <w:num w:numId="13">
    <w:abstractNumId w:val="13"/>
  </w:num>
  <w:num w:numId="14">
    <w:abstractNumId w:val="29"/>
  </w:num>
  <w:num w:numId="15">
    <w:abstractNumId w:val="9"/>
  </w:num>
  <w:num w:numId="16">
    <w:abstractNumId w:val="10"/>
  </w:num>
  <w:num w:numId="17">
    <w:abstractNumId w:val="35"/>
  </w:num>
  <w:num w:numId="18">
    <w:abstractNumId w:val="3"/>
  </w:num>
  <w:num w:numId="19">
    <w:abstractNumId w:val="37"/>
  </w:num>
  <w:num w:numId="20">
    <w:abstractNumId w:val="20"/>
  </w:num>
  <w:num w:numId="21">
    <w:abstractNumId w:val="12"/>
  </w:num>
  <w:num w:numId="22">
    <w:abstractNumId w:val="25"/>
  </w:num>
  <w:num w:numId="23">
    <w:abstractNumId w:val="0"/>
  </w:num>
  <w:num w:numId="24">
    <w:abstractNumId w:val="6"/>
  </w:num>
  <w:num w:numId="25">
    <w:abstractNumId w:val="19"/>
  </w:num>
  <w:num w:numId="26">
    <w:abstractNumId w:val="11"/>
  </w:num>
  <w:num w:numId="27">
    <w:abstractNumId w:val="21"/>
  </w:num>
  <w:num w:numId="28">
    <w:abstractNumId w:val="7"/>
  </w:num>
  <w:num w:numId="29">
    <w:abstractNumId w:val="15"/>
  </w:num>
  <w:num w:numId="30">
    <w:abstractNumId w:val="22"/>
  </w:num>
  <w:num w:numId="31">
    <w:abstractNumId w:val="17"/>
  </w:num>
  <w:num w:numId="32">
    <w:abstractNumId w:val="18"/>
  </w:num>
  <w:num w:numId="33">
    <w:abstractNumId w:val="32"/>
  </w:num>
  <w:num w:numId="34">
    <w:abstractNumId w:val="28"/>
  </w:num>
  <w:num w:numId="35">
    <w:abstractNumId w:val="36"/>
  </w:num>
  <w:num w:numId="36">
    <w:abstractNumId w:val="5"/>
  </w:num>
  <w:num w:numId="37">
    <w:abstractNumId w:val="1"/>
  </w:num>
  <w:num w:numId="38">
    <w:abstractNumId w:val="4"/>
  </w:num>
  <w:num w:numId="39">
    <w:abstractNumId w:val="8"/>
  </w:num>
  <w:num w:numId="40">
    <w:abstractNumId w:val="3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DF"/>
    <w:rsid w:val="00034B61"/>
    <w:rsid w:val="00060C44"/>
    <w:rsid w:val="00084681"/>
    <w:rsid w:val="00134BFA"/>
    <w:rsid w:val="00157FD0"/>
    <w:rsid w:val="00183C42"/>
    <w:rsid w:val="00184331"/>
    <w:rsid w:val="001866B8"/>
    <w:rsid w:val="001F103C"/>
    <w:rsid w:val="002234F3"/>
    <w:rsid w:val="002268F9"/>
    <w:rsid w:val="00244A8E"/>
    <w:rsid w:val="002A142F"/>
    <w:rsid w:val="002B2565"/>
    <w:rsid w:val="002E154C"/>
    <w:rsid w:val="00322259"/>
    <w:rsid w:val="00451BE6"/>
    <w:rsid w:val="00483019"/>
    <w:rsid w:val="004854BD"/>
    <w:rsid w:val="004B4AF9"/>
    <w:rsid w:val="004D7A1A"/>
    <w:rsid w:val="00517AA1"/>
    <w:rsid w:val="00546110"/>
    <w:rsid w:val="0056043E"/>
    <w:rsid w:val="00565826"/>
    <w:rsid w:val="0059339E"/>
    <w:rsid w:val="006213FD"/>
    <w:rsid w:val="00652D6D"/>
    <w:rsid w:val="00667BD9"/>
    <w:rsid w:val="006907BA"/>
    <w:rsid w:val="007175CA"/>
    <w:rsid w:val="00730E7C"/>
    <w:rsid w:val="00745C7B"/>
    <w:rsid w:val="00747C7F"/>
    <w:rsid w:val="00772C31"/>
    <w:rsid w:val="00782F59"/>
    <w:rsid w:val="007E7FF1"/>
    <w:rsid w:val="007F341C"/>
    <w:rsid w:val="008D153C"/>
    <w:rsid w:val="008D7DDA"/>
    <w:rsid w:val="00935DA3"/>
    <w:rsid w:val="00987E7A"/>
    <w:rsid w:val="00993B2B"/>
    <w:rsid w:val="009B1DDA"/>
    <w:rsid w:val="009C12A9"/>
    <w:rsid w:val="00A0287F"/>
    <w:rsid w:val="00A23DE5"/>
    <w:rsid w:val="00A55168"/>
    <w:rsid w:val="00A85484"/>
    <w:rsid w:val="00AE593C"/>
    <w:rsid w:val="00B56ADF"/>
    <w:rsid w:val="00B632AA"/>
    <w:rsid w:val="00B9045A"/>
    <w:rsid w:val="00B97086"/>
    <w:rsid w:val="00BE34BA"/>
    <w:rsid w:val="00BF40D0"/>
    <w:rsid w:val="00C16294"/>
    <w:rsid w:val="00C426C9"/>
    <w:rsid w:val="00CE6503"/>
    <w:rsid w:val="00CE6642"/>
    <w:rsid w:val="00CE6E2D"/>
    <w:rsid w:val="00D22701"/>
    <w:rsid w:val="00D55CC2"/>
    <w:rsid w:val="00D6551B"/>
    <w:rsid w:val="00DC3840"/>
    <w:rsid w:val="00F00A29"/>
    <w:rsid w:val="00F5352D"/>
    <w:rsid w:val="00F556A6"/>
    <w:rsid w:val="00F6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484"/>
    <w:rPr>
      <w:rFonts w:ascii="Georgia" w:hAnsi="Georgia"/>
      <w:kern w:val="24"/>
      <w:sz w:val="24"/>
      <w:lang w:val="en-US" w:eastAsia="en-US"/>
    </w:rPr>
  </w:style>
  <w:style w:type="paragraph" w:styleId="Heading1">
    <w:name w:val="heading 1"/>
    <w:basedOn w:val="Normal"/>
    <w:next w:val="Normal"/>
    <w:autoRedefine/>
    <w:qFormat/>
    <w:rsid w:val="00A85484"/>
    <w:pPr>
      <w:keepNext/>
      <w:outlineLvl w:val="0"/>
    </w:pPr>
    <w:rPr>
      <w:rFonts w:ascii="Arial" w:hAnsi="Arial"/>
      <w:b/>
      <w:sz w:val="28"/>
    </w:rPr>
  </w:style>
  <w:style w:type="paragraph" w:styleId="Heading2">
    <w:name w:val="heading 2"/>
    <w:basedOn w:val="Normal"/>
    <w:next w:val="Normal"/>
    <w:qFormat/>
    <w:rsid w:val="00A85484"/>
    <w:pPr>
      <w:keepNext/>
      <w:numPr>
        <w:ilvl w:val="1"/>
        <w:numId w:val="7"/>
      </w:numPr>
      <w:spacing w:after="240"/>
      <w:outlineLvl w:val="1"/>
    </w:pPr>
    <w:rPr>
      <w:rFonts w:ascii="Verdana" w:hAnsi="Verdana"/>
      <w:snapToGrid w:val="0"/>
    </w:rPr>
  </w:style>
  <w:style w:type="paragraph" w:styleId="Heading3">
    <w:name w:val="heading 3"/>
    <w:basedOn w:val="Normal"/>
    <w:next w:val="Normal"/>
    <w:qFormat/>
    <w:rsid w:val="00A85484"/>
    <w:pPr>
      <w:keepNext/>
      <w:numPr>
        <w:ilvl w:val="2"/>
        <w:numId w:val="7"/>
      </w:numPr>
      <w:spacing w:after="240"/>
      <w:outlineLvl w:val="2"/>
    </w:pPr>
  </w:style>
  <w:style w:type="paragraph" w:styleId="Heading4">
    <w:name w:val="heading 4"/>
    <w:basedOn w:val="Normal"/>
    <w:next w:val="Normal"/>
    <w:qFormat/>
    <w:rsid w:val="00A85484"/>
    <w:pPr>
      <w:keepNext/>
      <w:numPr>
        <w:ilvl w:val="3"/>
        <w:numId w:val="7"/>
      </w:numPr>
      <w:spacing w:after="240"/>
      <w:outlineLvl w:val="3"/>
    </w:pPr>
    <w:rPr>
      <w:rFonts w:ascii="Verdana" w:hAnsi="Verdana"/>
      <w:snapToGrid w:val="0"/>
    </w:rPr>
  </w:style>
  <w:style w:type="paragraph" w:styleId="Heading5">
    <w:name w:val="heading 5"/>
    <w:basedOn w:val="Normal"/>
    <w:next w:val="Normal"/>
    <w:qFormat/>
    <w:rsid w:val="00A85484"/>
    <w:pPr>
      <w:keepNext/>
      <w:numPr>
        <w:ilvl w:val="4"/>
        <w:numId w:val="7"/>
      </w:numPr>
      <w:spacing w:after="240"/>
      <w:outlineLvl w:val="4"/>
    </w:pPr>
    <w:rPr>
      <w:rFonts w:ascii="Verdana" w:hAnsi="Verdana"/>
      <w:i/>
      <w:snapToGrid w:val="0"/>
    </w:rPr>
  </w:style>
  <w:style w:type="paragraph" w:styleId="Heading6">
    <w:name w:val="heading 6"/>
    <w:basedOn w:val="Normal"/>
    <w:next w:val="Normal"/>
    <w:qFormat/>
    <w:rsid w:val="00A85484"/>
    <w:pPr>
      <w:keepNext/>
      <w:numPr>
        <w:ilvl w:val="5"/>
        <w:numId w:val="7"/>
      </w:numPr>
      <w:spacing w:after="240"/>
      <w:outlineLvl w:val="5"/>
    </w:pPr>
    <w:rPr>
      <w:b/>
      <w:snapToGrid w:val="0"/>
    </w:rPr>
  </w:style>
  <w:style w:type="paragraph" w:styleId="Heading7">
    <w:name w:val="heading 7"/>
    <w:basedOn w:val="Normal"/>
    <w:next w:val="Normal"/>
    <w:qFormat/>
    <w:rsid w:val="00A85484"/>
    <w:pPr>
      <w:keepNext/>
      <w:outlineLvl w:val="6"/>
    </w:pPr>
    <w:rPr>
      <w:rFonts w:ascii="Verdana" w:hAnsi="Verdana"/>
      <w:b/>
      <w:sz w:val="28"/>
    </w:rPr>
  </w:style>
  <w:style w:type="paragraph" w:styleId="Heading9">
    <w:name w:val="heading 9"/>
    <w:basedOn w:val="Normal"/>
    <w:next w:val="Normal"/>
    <w:qFormat/>
    <w:rsid w:val="00A854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484"/>
    <w:pPr>
      <w:tabs>
        <w:tab w:val="center" w:pos="4320"/>
        <w:tab w:val="right" w:pos="8640"/>
      </w:tabs>
    </w:pPr>
  </w:style>
  <w:style w:type="paragraph" w:styleId="Footer">
    <w:name w:val="footer"/>
    <w:basedOn w:val="Normal"/>
    <w:rsid w:val="00A85484"/>
    <w:pPr>
      <w:tabs>
        <w:tab w:val="center" w:pos="4320"/>
        <w:tab w:val="right" w:pos="8640"/>
      </w:tabs>
    </w:pPr>
  </w:style>
  <w:style w:type="paragraph" w:styleId="BodyTextIndent">
    <w:name w:val="Body Text Indent"/>
    <w:basedOn w:val="Normal"/>
    <w:rsid w:val="00A85484"/>
    <w:pPr>
      <w:ind w:left="1152" w:hanging="1152"/>
    </w:pPr>
  </w:style>
  <w:style w:type="paragraph" w:customStyle="1" w:styleId="NormalBold">
    <w:name w:val="Normal Bold"/>
    <w:basedOn w:val="Normal"/>
    <w:rsid w:val="00A85484"/>
    <w:rPr>
      <w:b/>
    </w:rPr>
  </w:style>
  <w:style w:type="character" w:styleId="PageNumber">
    <w:name w:val="page number"/>
    <w:basedOn w:val="DefaultParagraphFont"/>
    <w:rsid w:val="00A85484"/>
  </w:style>
  <w:style w:type="paragraph" w:styleId="BodyTextIndent2">
    <w:name w:val="Body Text Indent 2"/>
    <w:basedOn w:val="Normal"/>
    <w:rsid w:val="00A85484"/>
    <w:pPr>
      <w:ind w:left="720" w:hanging="720"/>
    </w:pPr>
  </w:style>
  <w:style w:type="paragraph" w:styleId="BodyText">
    <w:name w:val="Body Text"/>
    <w:basedOn w:val="Normal"/>
    <w:rsid w:val="00A85484"/>
    <w:pPr>
      <w:jc w:val="center"/>
    </w:pPr>
    <w:rPr>
      <w:b/>
      <w:lang w:val="en-CA"/>
    </w:rPr>
  </w:style>
  <w:style w:type="paragraph" w:styleId="BalloonText">
    <w:name w:val="Balloon Text"/>
    <w:basedOn w:val="Normal"/>
    <w:link w:val="BalloonTextChar"/>
    <w:rsid w:val="00483019"/>
    <w:rPr>
      <w:rFonts w:ascii="Lucida Grande" w:hAnsi="Lucida Grande"/>
      <w:sz w:val="18"/>
      <w:szCs w:val="18"/>
    </w:rPr>
  </w:style>
  <w:style w:type="character" w:customStyle="1" w:styleId="BalloonTextChar">
    <w:name w:val="Balloon Text Char"/>
    <w:link w:val="BalloonText"/>
    <w:rsid w:val="00483019"/>
    <w:rPr>
      <w:rFonts w:ascii="Lucida Grande" w:hAnsi="Lucida Grande"/>
      <w:kern w:val="24"/>
      <w:sz w:val="18"/>
      <w:szCs w:val="18"/>
    </w:rPr>
  </w:style>
  <w:style w:type="character" w:styleId="CommentReference">
    <w:name w:val="annotation reference"/>
    <w:rsid w:val="006213FD"/>
    <w:rPr>
      <w:sz w:val="18"/>
      <w:szCs w:val="18"/>
    </w:rPr>
  </w:style>
  <w:style w:type="paragraph" w:styleId="CommentText">
    <w:name w:val="annotation text"/>
    <w:basedOn w:val="Normal"/>
    <w:link w:val="CommentTextChar"/>
    <w:rsid w:val="006213FD"/>
    <w:rPr>
      <w:szCs w:val="24"/>
    </w:rPr>
  </w:style>
  <w:style w:type="character" w:customStyle="1" w:styleId="CommentTextChar">
    <w:name w:val="Comment Text Char"/>
    <w:link w:val="CommentText"/>
    <w:rsid w:val="006213FD"/>
    <w:rPr>
      <w:rFonts w:ascii="Georgia" w:hAnsi="Georgia"/>
      <w:kern w:val="24"/>
      <w:sz w:val="24"/>
      <w:szCs w:val="24"/>
    </w:rPr>
  </w:style>
  <w:style w:type="paragraph" w:styleId="CommentSubject">
    <w:name w:val="annotation subject"/>
    <w:basedOn w:val="CommentText"/>
    <w:next w:val="CommentText"/>
    <w:link w:val="CommentSubjectChar"/>
    <w:rsid w:val="006213FD"/>
    <w:rPr>
      <w:b/>
      <w:bCs/>
      <w:sz w:val="20"/>
      <w:szCs w:val="20"/>
    </w:rPr>
  </w:style>
  <w:style w:type="character" w:customStyle="1" w:styleId="CommentSubjectChar">
    <w:name w:val="Comment Subject Char"/>
    <w:link w:val="CommentSubject"/>
    <w:rsid w:val="006213FD"/>
    <w:rPr>
      <w:rFonts w:ascii="Georgia" w:hAnsi="Georgia"/>
      <w:b/>
      <w:bCs/>
      <w:kern w:val="24"/>
      <w:sz w:val="24"/>
      <w:szCs w:val="24"/>
    </w:rPr>
  </w:style>
  <w:style w:type="character" w:styleId="Hyperlink">
    <w:name w:val="Hyperlink"/>
    <w:rsid w:val="00A0287F"/>
    <w:rPr>
      <w:color w:val="0000FF"/>
      <w:u w:val="single"/>
    </w:rPr>
  </w:style>
  <w:style w:type="paragraph" w:styleId="ListParagraph">
    <w:name w:val="List Paragraph"/>
    <w:basedOn w:val="Normal"/>
    <w:uiPriority w:val="72"/>
    <w:rsid w:val="002A142F"/>
    <w:pPr>
      <w:ind w:left="720"/>
    </w:pPr>
  </w:style>
  <w:style w:type="table" w:styleId="TableGrid">
    <w:name w:val="Table Grid"/>
    <w:basedOn w:val="TableNormal"/>
    <w:rsid w:val="00772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484"/>
    <w:rPr>
      <w:rFonts w:ascii="Georgia" w:hAnsi="Georgia"/>
      <w:kern w:val="24"/>
      <w:sz w:val="24"/>
      <w:lang w:val="en-US" w:eastAsia="en-US"/>
    </w:rPr>
  </w:style>
  <w:style w:type="paragraph" w:styleId="Heading1">
    <w:name w:val="heading 1"/>
    <w:basedOn w:val="Normal"/>
    <w:next w:val="Normal"/>
    <w:autoRedefine/>
    <w:qFormat/>
    <w:rsid w:val="00A85484"/>
    <w:pPr>
      <w:keepNext/>
      <w:outlineLvl w:val="0"/>
    </w:pPr>
    <w:rPr>
      <w:rFonts w:ascii="Arial" w:hAnsi="Arial"/>
      <w:b/>
      <w:sz w:val="28"/>
    </w:rPr>
  </w:style>
  <w:style w:type="paragraph" w:styleId="Heading2">
    <w:name w:val="heading 2"/>
    <w:basedOn w:val="Normal"/>
    <w:next w:val="Normal"/>
    <w:qFormat/>
    <w:rsid w:val="00A85484"/>
    <w:pPr>
      <w:keepNext/>
      <w:numPr>
        <w:ilvl w:val="1"/>
        <w:numId w:val="7"/>
      </w:numPr>
      <w:spacing w:after="240"/>
      <w:outlineLvl w:val="1"/>
    </w:pPr>
    <w:rPr>
      <w:rFonts w:ascii="Verdana" w:hAnsi="Verdana"/>
      <w:snapToGrid w:val="0"/>
    </w:rPr>
  </w:style>
  <w:style w:type="paragraph" w:styleId="Heading3">
    <w:name w:val="heading 3"/>
    <w:basedOn w:val="Normal"/>
    <w:next w:val="Normal"/>
    <w:qFormat/>
    <w:rsid w:val="00A85484"/>
    <w:pPr>
      <w:keepNext/>
      <w:numPr>
        <w:ilvl w:val="2"/>
        <w:numId w:val="7"/>
      </w:numPr>
      <w:spacing w:after="240"/>
      <w:outlineLvl w:val="2"/>
    </w:pPr>
  </w:style>
  <w:style w:type="paragraph" w:styleId="Heading4">
    <w:name w:val="heading 4"/>
    <w:basedOn w:val="Normal"/>
    <w:next w:val="Normal"/>
    <w:qFormat/>
    <w:rsid w:val="00A85484"/>
    <w:pPr>
      <w:keepNext/>
      <w:numPr>
        <w:ilvl w:val="3"/>
        <w:numId w:val="7"/>
      </w:numPr>
      <w:spacing w:after="240"/>
      <w:outlineLvl w:val="3"/>
    </w:pPr>
    <w:rPr>
      <w:rFonts w:ascii="Verdana" w:hAnsi="Verdana"/>
      <w:snapToGrid w:val="0"/>
    </w:rPr>
  </w:style>
  <w:style w:type="paragraph" w:styleId="Heading5">
    <w:name w:val="heading 5"/>
    <w:basedOn w:val="Normal"/>
    <w:next w:val="Normal"/>
    <w:qFormat/>
    <w:rsid w:val="00A85484"/>
    <w:pPr>
      <w:keepNext/>
      <w:numPr>
        <w:ilvl w:val="4"/>
        <w:numId w:val="7"/>
      </w:numPr>
      <w:spacing w:after="240"/>
      <w:outlineLvl w:val="4"/>
    </w:pPr>
    <w:rPr>
      <w:rFonts w:ascii="Verdana" w:hAnsi="Verdana"/>
      <w:i/>
      <w:snapToGrid w:val="0"/>
    </w:rPr>
  </w:style>
  <w:style w:type="paragraph" w:styleId="Heading6">
    <w:name w:val="heading 6"/>
    <w:basedOn w:val="Normal"/>
    <w:next w:val="Normal"/>
    <w:qFormat/>
    <w:rsid w:val="00A85484"/>
    <w:pPr>
      <w:keepNext/>
      <w:numPr>
        <w:ilvl w:val="5"/>
        <w:numId w:val="7"/>
      </w:numPr>
      <w:spacing w:after="240"/>
      <w:outlineLvl w:val="5"/>
    </w:pPr>
    <w:rPr>
      <w:b/>
      <w:snapToGrid w:val="0"/>
    </w:rPr>
  </w:style>
  <w:style w:type="paragraph" w:styleId="Heading7">
    <w:name w:val="heading 7"/>
    <w:basedOn w:val="Normal"/>
    <w:next w:val="Normal"/>
    <w:qFormat/>
    <w:rsid w:val="00A85484"/>
    <w:pPr>
      <w:keepNext/>
      <w:outlineLvl w:val="6"/>
    </w:pPr>
    <w:rPr>
      <w:rFonts w:ascii="Verdana" w:hAnsi="Verdana"/>
      <w:b/>
      <w:sz w:val="28"/>
    </w:rPr>
  </w:style>
  <w:style w:type="paragraph" w:styleId="Heading9">
    <w:name w:val="heading 9"/>
    <w:basedOn w:val="Normal"/>
    <w:next w:val="Normal"/>
    <w:qFormat/>
    <w:rsid w:val="00A854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484"/>
    <w:pPr>
      <w:tabs>
        <w:tab w:val="center" w:pos="4320"/>
        <w:tab w:val="right" w:pos="8640"/>
      </w:tabs>
    </w:pPr>
  </w:style>
  <w:style w:type="paragraph" w:styleId="Footer">
    <w:name w:val="footer"/>
    <w:basedOn w:val="Normal"/>
    <w:rsid w:val="00A85484"/>
    <w:pPr>
      <w:tabs>
        <w:tab w:val="center" w:pos="4320"/>
        <w:tab w:val="right" w:pos="8640"/>
      </w:tabs>
    </w:pPr>
  </w:style>
  <w:style w:type="paragraph" w:styleId="BodyTextIndent">
    <w:name w:val="Body Text Indent"/>
    <w:basedOn w:val="Normal"/>
    <w:rsid w:val="00A85484"/>
    <w:pPr>
      <w:ind w:left="1152" w:hanging="1152"/>
    </w:pPr>
  </w:style>
  <w:style w:type="paragraph" w:customStyle="1" w:styleId="NormalBold">
    <w:name w:val="Normal Bold"/>
    <w:basedOn w:val="Normal"/>
    <w:rsid w:val="00A85484"/>
    <w:rPr>
      <w:b/>
    </w:rPr>
  </w:style>
  <w:style w:type="character" w:styleId="PageNumber">
    <w:name w:val="page number"/>
    <w:basedOn w:val="DefaultParagraphFont"/>
    <w:rsid w:val="00A85484"/>
  </w:style>
  <w:style w:type="paragraph" w:styleId="BodyTextIndent2">
    <w:name w:val="Body Text Indent 2"/>
    <w:basedOn w:val="Normal"/>
    <w:rsid w:val="00A85484"/>
    <w:pPr>
      <w:ind w:left="720" w:hanging="720"/>
    </w:pPr>
  </w:style>
  <w:style w:type="paragraph" w:styleId="BodyText">
    <w:name w:val="Body Text"/>
    <w:basedOn w:val="Normal"/>
    <w:rsid w:val="00A85484"/>
    <w:pPr>
      <w:jc w:val="center"/>
    </w:pPr>
    <w:rPr>
      <w:b/>
      <w:lang w:val="en-CA"/>
    </w:rPr>
  </w:style>
  <w:style w:type="paragraph" w:styleId="BalloonText">
    <w:name w:val="Balloon Text"/>
    <w:basedOn w:val="Normal"/>
    <w:link w:val="BalloonTextChar"/>
    <w:rsid w:val="00483019"/>
    <w:rPr>
      <w:rFonts w:ascii="Lucida Grande" w:hAnsi="Lucida Grande"/>
      <w:sz w:val="18"/>
      <w:szCs w:val="18"/>
    </w:rPr>
  </w:style>
  <w:style w:type="character" w:customStyle="1" w:styleId="BalloonTextChar">
    <w:name w:val="Balloon Text Char"/>
    <w:link w:val="BalloonText"/>
    <w:rsid w:val="00483019"/>
    <w:rPr>
      <w:rFonts w:ascii="Lucida Grande" w:hAnsi="Lucida Grande"/>
      <w:kern w:val="24"/>
      <w:sz w:val="18"/>
      <w:szCs w:val="18"/>
    </w:rPr>
  </w:style>
  <w:style w:type="character" w:styleId="CommentReference">
    <w:name w:val="annotation reference"/>
    <w:rsid w:val="006213FD"/>
    <w:rPr>
      <w:sz w:val="18"/>
      <w:szCs w:val="18"/>
    </w:rPr>
  </w:style>
  <w:style w:type="paragraph" w:styleId="CommentText">
    <w:name w:val="annotation text"/>
    <w:basedOn w:val="Normal"/>
    <w:link w:val="CommentTextChar"/>
    <w:rsid w:val="006213FD"/>
    <w:rPr>
      <w:szCs w:val="24"/>
    </w:rPr>
  </w:style>
  <w:style w:type="character" w:customStyle="1" w:styleId="CommentTextChar">
    <w:name w:val="Comment Text Char"/>
    <w:link w:val="CommentText"/>
    <w:rsid w:val="006213FD"/>
    <w:rPr>
      <w:rFonts w:ascii="Georgia" w:hAnsi="Georgia"/>
      <w:kern w:val="24"/>
      <w:sz w:val="24"/>
      <w:szCs w:val="24"/>
    </w:rPr>
  </w:style>
  <w:style w:type="paragraph" w:styleId="CommentSubject">
    <w:name w:val="annotation subject"/>
    <w:basedOn w:val="CommentText"/>
    <w:next w:val="CommentText"/>
    <w:link w:val="CommentSubjectChar"/>
    <w:rsid w:val="006213FD"/>
    <w:rPr>
      <w:b/>
      <w:bCs/>
      <w:sz w:val="20"/>
      <w:szCs w:val="20"/>
    </w:rPr>
  </w:style>
  <w:style w:type="character" w:customStyle="1" w:styleId="CommentSubjectChar">
    <w:name w:val="Comment Subject Char"/>
    <w:link w:val="CommentSubject"/>
    <w:rsid w:val="006213FD"/>
    <w:rPr>
      <w:rFonts w:ascii="Georgia" w:hAnsi="Georgia"/>
      <w:b/>
      <w:bCs/>
      <w:kern w:val="24"/>
      <w:sz w:val="24"/>
      <w:szCs w:val="24"/>
    </w:rPr>
  </w:style>
  <w:style w:type="character" w:styleId="Hyperlink">
    <w:name w:val="Hyperlink"/>
    <w:rsid w:val="00A0287F"/>
    <w:rPr>
      <w:color w:val="0000FF"/>
      <w:u w:val="single"/>
    </w:rPr>
  </w:style>
  <w:style w:type="paragraph" w:styleId="ListParagraph">
    <w:name w:val="List Paragraph"/>
    <w:basedOn w:val="Normal"/>
    <w:uiPriority w:val="72"/>
    <w:rsid w:val="002A142F"/>
    <w:pPr>
      <w:ind w:left="720"/>
    </w:pPr>
  </w:style>
  <w:style w:type="table" w:styleId="TableGrid">
    <w:name w:val="Table Grid"/>
    <w:basedOn w:val="TableNormal"/>
    <w:rsid w:val="00772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adianneonatalnetwork.org/Portal/LinkClick.aspx?fileticket=itlU1wecNPw%3D&amp;tabid=3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PBCO Template for preparing Web documents</Template>
  <TotalTime>1</TotalTime>
  <Pages>9</Pages>
  <Words>2327</Words>
  <Characters>12431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IM.002 - Receiving Blood, Blood Components and Fractionated Products</vt:lpstr>
    </vt:vector>
  </TitlesOfParts>
  <Company>The Ottawa Hospital</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IM.002 - Receiving Blood, Blood Components and Fractionated Products</dc:title>
  <dc:creator>Transfusion Ontario Program Office</dc:creator>
  <cp:lastModifiedBy>wowens</cp:lastModifiedBy>
  <cp:revision>2</cp:revision>
  <cp:lastPrinted>2017-07-05T13:20:00Z</cp:lastPrinted>
  <dcterms:created xsi:type="dcterms:W3CDTF">2017-08-31T17:08:00Z</dcterms:created>
  <dcterms:modified xsi:type="dcterms:W3CDTF">2017-08-31T17:08:00Z</dcterms:modified>
</cp:coreProperties>
</file>