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618B" w:rsidR="0058239C" w:rsidRDefault="0058239C" w14:paraId="4F196B8E" w14:textId="7777777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02618B">
        <w:rPr>
          <w:rFonts w:ascii="Arial" w:hAnsi="Arial"/>
          <w:b/>
          <w:sz w:val="28"/>
          <w:lang w:val="fr-CA"/>
        </w:rPr>
        <w:t>Principe</w:t>
      </w:r>
    </w:p>
    <w:p w:rsidRPr="008B140A" w:rsidR="0058239C" w:rsidP="008B140A" w:rsidRDefault="0058239C" w14:paraId="1D3FF484" w14:textId="77777777">
      <w:pPr>
        <w:ind w:firstLine="720"/>
        <w:rPr>
          <w:rFonts w:ascii="Arial" w:hAnsi="Arial"/>
          <w:b/>
          <w:color w:val="000000"/>
          <w:lang w:val="fr-CA"/>
        </w:rPr>
      </w:pPr>
    </w:p>
    <w:p w:rsidR="0058239C" w:rsidRDefault="00904E29" w14:paraId="39941BD5" w14:textId="77777777">
      <w:pPr>
        <w:pStyle w:val="BodyTextIndent"/>
        <w:rPr>
          <w:color w:val="000000"/>
          <w:lang w:val="fr-CA"/>
        </w:rPr>
      </w:pPr>
      <w:r w:rsidRPr="00904E29">
        <w:rPr>
          <w:color w:val="000000"/>
          <w:lang w:val="fr-CA"/>
        </w:rPr>
        <w:t>Ce produit est surtout utilisé pour prévenir l’immunisation</w:t>
      </w:r>
      <w:r w:rsidR="00AE36AE">
        <w:rPr>
          <w:color w:val="000000"/>
          <w:lang w:val="fr-CA"/>
        </w:rPr>
        <w:t xml:space="preserve"> Rh</w:t>
      </w:r>
      <w:r w:rsidRPr="00904E29">
        <w:rPr>
          <w:color w:val="000000"/>
          <w:lang w:val="fr-CA"/>
        </w:rPr>
        <w:t xml:space="preserve"> de femmes </w:t>
      </w:r>
      <w:r w:rsidR="001207EE">
        <w:rPr>
          <w:color w:val="000000"/>
          <w:lang w:val="fr-CA"/>
        </w:rPr>
        <w:t>Rh</w:t>
      </w:r>
      <w:r w:rsidR="00D9158D">
        <w:rPr>
          <w:color w:val="000000"/>
          <w:lang w:val="fr-CA"/>
        </w:rPr>
        <w:t xml:space="preserve"> (D)</w:t>
      </w:r>
      <w:r w:rsidR="001207EE">
        <w:rPr>
          <w:color w:val="000000"/>
          <w:lang w:val="fr-CA"/>
        </w:rPr>
        <w:t xml:space="preserve"> négatif </w:t>
      </w:r>
      <w:r w:rsidRPr="00904E29">
        <w:rPr>
          <w:color w:val="000000"/>
          <w:lang w:val="fr-CA"/>
        </w:rPr>
        <w:t xml:space="preserve">à risque de développer des anticorps </w:t>
      </w:r>
      <w:r w:rsidRPr="00904E29" w:rsidR="0058239C">
        <w:rPr>
          <w:color w:val="000000"/>
          <w:lang w:val="fr-CA"/>
        </w:rPr>
        <w:t xml:space="preserve">Rh </w:t>
      </w:r>
      <w:r w:rsidRPr="00904E29">
        <w:rPr>
          <w:color w:val="000000"/>
          <w:lang w:val="fr-CA"/>
        </w:rPr>
        <w:t xml:space="preserve">qui pourraient </w:t>
      </w:r>
      <w:r w:rsidRPr="00904E29" w:rsidR="0058239C">
        <w:rPr>
          <w:color w:val="000000"/>
          <w:lang w:val="fr-CA"/>
        </w:rPr>
        <w:t>n</w:t>
      </w:r>
      <w:r w:rsidRPr="00904E29">
        <w:rPr>
          <w:color w:val="000000"/>
          <w:lang w:val="fr-CA"/>
        </w:rPr>
        <w:t xml:space="preserve">uire à un fœtus </w:t>
      </w:r>
      <w:r w:rsidRPr="00904E29" w:rsidR="0058239C">
        <w:rPr>
          <w:color w:val="000000"/>
          <w:lang w:val="fr-CA"/>
        </w:rPr>
        <w:t>Rh positi</w:t>
      </w:r>
      <w:r w:rsidRPr="00904E29">
        <w:rPr>
          <w:color w:val="000000"/>
          <w:lang w:val="fr-CA"/>
        </w:rPr>
        <w:t>f dans une grossesse en cours ou à venir</w:t>
      </w:r>
      <w:r w:rsidRPr="00904E29" w:rsidR="0058239C">
        <w:rPr>
          <w:color w:val="000000"/>
          <w:lang w:val="fr-CA"/>
        </w:rPr>
        <w:t>.</w:t>
      </w:r>
    </w:p>
    <w:p w:rsidRPr="0002618B" w:rsidR="0058239C" w:rsidRDefault="0058239C" w14:paraId="01FC96D8" w14:textId="77777777">
      <w:pPr>
        <w:ind w:left="720"/>
        <w:rPr>
          <w:rFonts w:ascii="Arial" w:hAnsi="Arial"/>
          <w:sz w:val="24"/>
          <w:lang w:val="fr-CA"/>
        </w:rPr>
      </w:pPr>
    </w:p>
    <w:p w:rsidRPr="00D9158D" w:rsidR="00D9158D" w:rsidP="00D9158D" w:rsidRDefault="00D9158D" w14:paraId="5233957D" w14:textId="77777777">
      <w:pPr>
        <w:numPr>
          <w:ilvl w:val="0"/>
          <w:numId w:val="1"/>
        </w:numPr>
        <w:rPr>
          <w:rFonts w:ascii="Arial" w:hAnsi="Arial"/>
          <w:b/>
          <w:sz w:val="24"/>
          <w:lang w:val="fr-CA"/>
        </w:rPr>
      </w:pPr>
      <w:r w:rsidRPr="00D9158D">
        <w:rPr>
          <w:rFonts w:ascii="Arial" w:hAnsi="Arial"/>
          <w:b/>
          <w:color w:val="000000"/>
          <w:sz w:val="28"/>
          <w:lang w:val="fr-CA"/>
        </w:rPr>
        <w:t>Raison d’être </w:t>
      </w:r>
      <w:r w:rsidR="0040733D">
        <w:rPr>
          <w:rFonts w:ascii="Arial" w:hAnsi="Arial"/>
          <w:b/>
          <w:color w:val="000000"/>
          <w:sz w:val="28"/>
          <w:lang w:val="fr-CA"/>
        </w:rPr>
        <w:br/>
      </w:r>
    </w:p>
    <w:p w:rsidR="00D9158D" w:rsidP="00D9158D" w:rsidRDefault="00D9158D" w14:paraId="1FFABF05" w14:textId="77777777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Ce document fournit des directives sur le traitement d’une demande d’</w:t>
      </w:r>
      <w:proofErr w:type="spellStart"/>
      <w:r w:rsidRPr="00D9158D">
        <w:rPr>
          <w:rFonts w:ascii="Arial" w:hAnsi="Arial"/>
          <w:color w:val="000000"/>
          <w:sz w:val="24"/>
          <w:lang w:val="fr-CA"/>
        </w:rPr>
        <w:t>IgRH</w:t>
      </w:r>
      <w:proofErr w:type="spellEnd"/>
      <w:r>
        <w:rPr>
          <w:rFonts w:ascii="Arial" w:hAnsi="Arial"/>
          <w:color w:val="000000"/>
          <w:sz w:val="24"/>
          <w:lang w:val="fr-CA"/>
        </w:rPr>
        <w:t>.</w:t>
      </w:r>
    </w:p>
    <w:p w:rsidR="00D9158D" w:rsidP="00D9158D" w:rsidRDefault="00D9158D" w14:paraId="717EEECA" w14:textId="77777777">
      <w:pPr>
        <w:ind w:left="720"/>
        <w:rPr>
          <w:rFonts w:ascii="Arial" w:hAnsi="Arial"/>
          <w:color w:val="000000"/>
          <w:sz w:val="24"/>
          <w:lang w:val="fr-CA"/>
        </w:rPr>
      </w:pPr>
    </w:p>
    <w:p w:rsidRPr="00D9158D" w:rsidR="0058239C" w:rsidP="00D9158D" w:rsidRDefault="00D9158D" w14:paraId="2D9BC2A1" w14:textId="77777777">
      <w:pPr>
        <w:numPr>
          <w:ilvl w:val="0"/>
          <w:numId w:val="1"/>
        </w:numPr>
        <w:rPr>
          <w:rFonts w:ascii="Arial" w:hAnsi="Arial"/>
          <w:color w:val="000000"/>
          <w:sz w:val="24"/>
          <w:lang w:val="fr-CA"/>
        </w:rPr>
      </w:pPr>
      <w:r w:rsidRPr="00D9158D">
        <w:rPr>
          <w:rFonts w:ascii="Arial" w:hAnsi="Arial"/>
          <w:b/>
          <w:color w:val="000000"/>
          <w:sz w:val="28"/>
          <w:lang w:val="fr-CA"/>
        </w:rPr>
        <w:t>Exigences particulières</w:t>
      </w:r>
      <w:r w:rsidRPr="00D9158D">
        <w:rPr>
          <w:rFonts w:ascii="Arial" w:hAnsi="Arial"/>
          <w:color w:val="000000"/>
          <w:sz w:val="24"/>
          <w:lang w:val="fr-CA"/>
        </w:rPr>
        <w:br/>
      </w:r>
    </w:p>
    <w:p w:rsidR="00D9158D" w:rsidRDefault="00D9158D" w14:paraId="4B866F15" w14:textId="7777777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A</w:t>
      </w:r>
      <w:r w:rsidRPr="00A34F30" w:rsidR="00904E29">
        <w:rPr>
          <w:rFonts w:ascii="Arial" w:hAnsi="Arial"/>
          <w:color w:val="000000"/>
          <w:sz w:val="24"/>
          <w:lang w:val="fr-CA"/>
        </w:rPr>
        <w:t>dministrer de l’</w:t>
      </w:r>
      <w:proofErr w:type="spellStart"/>
      <w:r w:rsidRPr="00A34F30" w:rsidR="00904E29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Pr="00A34F30" w:rsidR="00904E29">
        <w:rPr>
          <w:rFonts w:ascii="Arial" w:hAnsi="Arial"/>
          <w:color w:val="000000"/>
          <w:sz w:val="24"/>
          <w:lang w:val="fr-CA"/>
        </w:rPr>
        <w:t xml:space="preserve"> </w:t>
      </w:r>
      <w:r>
        <w:rPr>
          <w:rFonts w:ascii="Arial" w:hAnsi="Arial"/>
          <w:color w:val="000000"/>
          <w:sz w:val="24"/>
          <w:lang w:val="fr-CA"/>
        </w:rPr>
        <w:t xml:space="preserve">à toute femme </w:t>
      </w:r>
      <w:r w:rsidRPr="00A34F30" w:rsidR="0058239C">
        <w:rPr>
          <w:rFonts w:ascii="Arial" w:hAnsi="Arial"/>
          <w:color w:val="000000"/>
          <w:sz w:val="24"/>
          <w:lang w:val="fr-CA"/>
        </w:rPr>
        <w:t>Rh</w:t>
      </w:r>
      <w:r>
        <w:rPr>
          <w:rFonts w:ascii="Arial" w:hAnsi="Arial"/>
          <w:color w:val="000000"/>
          <w:sz w:val="24"/>
          <w:lang w:val="fr-CA"/>
        </w:rPr>
        <w:t>(D)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 n</w:t>
      </w:r>
      <w:r w:rsidRPr="00A34F30" w:rsidR="00904E29">
        <w:rPr>
          <w:rFonts w:ascii="Arial" w:hAnsi="Arial"/>
          <w:color w:val="000000"/>
          <w:sz w:val="24"/>
          <w:lang w:val="fr-CA"/>
        </w:rPr>
        <w:t xml:space="preserve">égatif non immunisée </w:t>
      </w:r>
      <w:r>
        <w:rPr>
          <w:rFonts w:ascii="Arial" w:hAnsi="Arial"/>
          <w:color w:val="000000"/>
          <w:sz w:val="24"/>
          <w:lang w:val="fr-CA"/>
        </w:rPr>
        <w:t>à l’antigène</w:t>
      </w:r>
      <w:r w:rsidRPr="00A34F30" w:rsidR="00904E29">
        <w:rPr>
          <w:rFonts w:ascii="Arial" w:hAnsi="Arial"/>
          <w:color w:val="000000"/>
          <w:sz w:val="24"/>
          <w:lang w:val="fr-CA"/>
        </w:rPr>
        <w:t xml:space="preserve"> Rh</w:t>
      </w:r>
      <w:r>
        <w:rPr>
          <w:rFonts w:ascii="Arial" w:hAnsi="Arial"/>
          <w:color w:val="000000"/>
          <w:sz w:val="24"/>
          <w:lang w:val="fr-CA"/>
        </w:rPr>
        <w:t xml:space="preserve"> dans les situations suivantes :</w:t>
      </w:r>
    </w:p>
    <w:p w:rsidR="00D9158D" w:rsidP="00D9158D" w:rsidRDefault="00D9158D" w14:paraId="7F60553D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À 28 semaines de grossesse</w:t>
      </w:r>
    </w:p>
    <w:p w:rsidR="00D9158D" w:rsidP="00D9158D" w:rsidRDefault="00D9158D" w14:paraId="2DB2F27B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À l’accouchement d’un nouveau-né Rh(D) positif (même faible)</w:t>
      </w:r>
    </w:p>
    <w:p w:rsidR="00D9158D" w:rsidP="00D9158D" w:rsidRDefault="00D9158D" w14:paraId="450D331F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Après une interruption volontaire ou spontanée</w:t>
      </w:r>
      <w:r w:rsidRPr="00D9158D">
        <w:rPr>
          <w:rFonts w:ascii="Arial" w:hAnsi="Arial"/>
          <w:color w:val="000000"/>
          <w:sz w:val="24"/>
          <w:lang w:val="fr-CA"/>
        </w:rPr>
        <w:t xml:space="preserve"> </w:t>
      </w:r>
      <w:r>
        <w:rPr>
          <w:rFonts w:ascii="Arial" w:hAnsi="Arial"/>
          <w:color w:val="000000"/>
          <w:sz w:val="24"/>
          <w:lang w:val="fr-CA"/>
        </w:rPr>
        <w:t>de la grossesse</w:t>
      </w:r>
    </w:p>
    <w:p w:rsidR="00D9158D" w:rsidP="00D9158D" w:rsidRDefault="00D9158D" w14:paraId="266F0F52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Après une amniocentèse</w:t>
      </w:r>
    </w:p>
    <w:p w:rsidR="00D9158D" w:rsidP="00D9158D" w:rsidRDefault="00D9158D" w14:paraId="0DAB7537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Saignement pendant la grossesse</w:t>
      </w:r>
    </w:p>
    <w:p w:rsidR="00D9158D" w:rsidP="00D9158D" w:rsidRDefault="00D9158D" w14:paraId="05BC69D8" w14:textId="77777777">
      <w:pPr>
        <w:numPr>
          <w:ilvl w:val="0"/>
          <w:numId w:val="17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Traumatisme obstétrical ou manipulation qui pourrait augmenter le risque d’hémorragie fœt</w:t>
      </w:r>
      <w:r w:rsidR="000F5C2A">
        <w:rPr>
          <w:rFonts w:ascii="Arial" w:hAnsi="Arial"/>
          <w:color w:val="000000"/>
          <w:sz w:val="24"/>
          <w:lang w:val="fr-CA"/>
        </w:rPr>
        <w:t>o</w:t>
      </w:r>
      <w:r>
        <w:rPr>
          <w:rFonts w:ascii="Arial" w:hAnsi="Arial"/>
          <w:color w:val="000000"/>
          <w:sz w:val="24"/>
          <w:lang w:val="fr-CA"/>
        </w:rPr>
        <w:t>maternelle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Pr="00D9158D">
        <w:rPr>
          <w:rFonts w:ascii="Arial" w:hAnsi="Arial"/>
          <w:color w:val="000000"/>
          <w:sz w:val="24"/>
          <w:vertAlign w:val="superscript"/>
          <w:lang w:val="fr-CA"/>
        </w:rPr>
        <w:t>.1</w:t>
      </w:r>
    </w:p>
    <w:p w:rsidRPr="008B140A" w:rsidR="0058239C" w:rsidP="0040733D" w:rsidRDefault="0058239C" w14:paraId="2835330D" w14:textId="77777777">
      <w:pPr>
        <w:ind w:left="2160"/>
        <w:rPr>
          <w:rFonts w:ascii="Arial" w:hAnsi="Arial"/>
          <w:color w:val="000000"/>
          <w:lang w:val="fr-CA"/>
        </w:rPr>
      </w:pPr>
    </w:p>
    <w:p w:rsidR="00A80DF5" w:rsidP="00A80DF5" w:rsidRDefault="00D9158D" w14:paraId="1BF43A50" w14:textId="77777777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Documenter que la patiente</w:t>
      </w:r>
      <w:r w:rsidRPr="00A34F30" w:rsidR="00904E29">
        <w:rPr>
          <w:rFonts w:ascii="Arial" w:hAnsi="Arial"/>
          <w:color w:val="000000"/>
          <w:sz w:val="24"/>
          <w:lang w:val="fr-CA"/>
        </w:rPr>
        <w:t xml:space="preserve"> est 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Rh </w:t>
      </w:r>
      <w:r w:rsidRPr="00A34F30" w:rsidR="00A34F30">
        <w:rPr>
          <w:rFonts w:ascii="Arial" w:hAnsi="Arial"/>
          <w:color w:val="000000"/>
          <w:sz w:val="24"/>
          <w:lang w:val="fr-CA"/>
        </w:rPr>
        <w:t>négatif et qu’elle n’a pas d’</w:t>
      </w:r>
      <w:proofErr w:type="spellStart"/>
      <w:r w:rsidRPr="00A34F30" w:rsidR="00A34F30">
        <w:rPr>
          <w:rFonts w:ascii="Arial" w:hAnsi="Arial"/>
          <w:color w:val="000000"/>
          <w:sz w:val="24"/>
          <w:lang w:val="fr-CA"/>
        </w:rPr>
        <w:t>alloimmunisation</w:t>
      </w:r>
      <w:proofErr w:type="spellEnd"/>
      <w:r w:rsidRPr="00A34F30" w:rsidR="00A34F30">
        <w:rPr>
          <w:rFonts w:ascii="Arial" w:hAnsi="Arial"/>
          <w:color w:val="000000"/>
          <w:sz w:val="24"/>
          <w:lang w:val="fr-CA"/>
        </w:rPr>
        <w:t xml:space="preserve"> </w:t>
      </w:r>
      <w:r w:rsidR="00AE36AE">
        <w:rPr>
          <w:rFonts w:ascii="Arial" w:hAnsi="Arial"/>
          <w:color w:val="000000"/>
          <w:sz w:val="24"/>
          <w:lang w:val="fr-CA"/>
        </w:rPr>
        <w:t>au facteur Rh</w:t>
      </w:r>
      <w:r w:rsidRPr="00A34F30" w:rsidR="00A34F30">
        <w:rPr>
          <w:rFonts w:ascii="Arial" w:hAnsi="Arial"/>
          <w:color w:val="000000"/>
          <w:sz w:val="24"/>
          <w:lang w:val="fr-CA"/>
        </w:rPr>
        <w:t xml:space="preserve"> avant </w:t>
      </w:r>
      <w:r w:rsidR="0040733D">
        <w:rPr>
          <w:rFonts w:ascii="Arial" w:hAnsi="Arial"/>
          <w:color w:val="000000"/>
          <w:sz w:val="24"/>
          <w:lang w:val="fr-CA"/>
        </w:rPr>
        <w:t>de mettre</w:t>
      </w:r>
      <w:r w:rsidRPr="00A34F30" w:rsidR="00A34F30">
        <w:rPr>
          <w:rFonts w:ascii="Arial" w:hAnsi="Arial"/>
          <w:color w:val="000000"/>
          <w:sz w:val="24"/>
          <w:lang w:val="fr-CA"/>
        </w:rPr>
        <w:t xml:space="preserve"> le produit en circulation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. </w:t>
      </w:r>
      <w:r w:rsidR="00AD2BE9">
        <w:rPr>
          <w:rFonts w:ascii="Arial" w:hAnsi="Arial"/>
          <w:color w:val="000000"/>
          <w:sz w:val="24"/>
          <w:lang w:val="fr-CA"/>
        </w:rPr>
        <w:t xml:space="preserve">Les résultats d’un dépistage </w:t>
      </w:r>
      <w:r w:rsidR="0040733D">
        <w:rPr>
          <w:rFonts w:ascii="Arial" w:hAnsi="Arial"/>
          <w:color w:val="000000"/>
          <w:sz w:val="24"/>
          <w:lang w:val="fr-CA"/>
        </w:rPr>
        <w:t xml:space="preserve">d’anticorps </w:t>
      </w:r>
      <w:r w:rsidR="00AD2BE9">
        <w:rPr>
          <w:rFonts w:ascii="Arial" w:hAnsi="Arial"/>
          <w:color w:val="000000"/>
          <w:sz w:val="24"/>
          <w:lang w:val="fr-CA"/>
        </w:rPr>
        <w:t>courant (</w:t>
      </w:r>
      <w:r w:rsidR="0040733D">
        <w:rPr>
          <w:rFonts w:ascii="Arial" w:hAnsi="Arial"/>
          <w:color w:val="000000"/>
          <w:sz w:val="24"/>
          <w:lang w:val="fr-CA"/>
        </w:rPr>
        <w:t>14-30 jours ou selon la politique de l’établissement</w:t>
      </w:r>
      <w:r w:rsidR="00AD2BE9">
        <w:rPr>
          <w:rFonts w:ascii="Arial" w:hAnsi="Arial"/>
          <w:color w:val="000000"/>
          <w:sz w:val="24"/>
          <w:lang w:val="fr-CA"/>
        </w:rPr>
        <w:t>) doivent être accessibles.</w:t>
      </w:r>
      <w:r w:rsidR="000E7D50">
        <w:rPr>
          <w:rFonts w:ascii="Arial" w:hAnsi="Arial"/>
          <w:color w:val="000000"/>
          <w:sz w:val="24"/>
          <w:lang w:val="fr-CA"/>
        </w:rPr>
        <w:br/>
      </w:r>
    </w:p>
    <w:p w:rsidRPr="008B140A" w:rsidR="0058239C" w:rsidP="000E7D50" w:rsidRDefault="000E7D50" w14:paraId="036DD892" w14:textId="77777777">
      <w:pPr>
        <w:ind w:left="1276" w:hanging="709"/>
        <w:rPr>
          <w:rFonts w:ascii="Arial" w:hAnsi="Arial"/>
          <w:color w:val="000000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3.3</w:t>
      </w:r>
      <w:r>
        <w:rPr>
          <w:rFonts w:ascii="Arial" w:hAnsi="Arial"/>
          <w:color w:val="000000"/>
          <w:sz w:val="24"/>
          <w:lang w:val="fr-CA"/>
        </w:rPr>
        <w:tab/>
      </w:r>
      <w:r w:rsidR="0040733D">
        <w:rPr>
          <w:rFonts w:ascii="Arial" w:hAnsi="Arial"/>
          <w:color w:val="000000"/>
          <w:sz w:val="24"/>
          <w:lang w:val="fr-CA"/>
        </w:rPr>
        <w:t>I</w:t>
      </w:r>
      <w:r w:rsidR="004F69E3">
        <w:rPr>
          <w:rFonts w:ascii="Arial" w:hAnsi="Arial"/>
          <w:color w:val="000000"/>
          <w:sz w:val="24"/>
          <w:lang w:val="fr-CA"/>
        </w:rPr>
        <w:t>l</w:t>
      </w:r>
      <w:r w:rsidR="0040733D">
        <w:rPr>
          <w:rFonts w:ascii="Arial" w:hAnsi="Arial"/>
          <w:color w:val="000000"/>
          <w:sz w:val="24"/>
          <w:lang w:val="fr-CA"/>
        </w:rPr>
        <w:t xml:space="preserve"> faut émettre de l’</w:t>
      </w:r>
      <w:proofErr w:type="spellStart"/>
      <w:r w:rsidR="0040733D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="0040733D">
        <w:rPr>
          <w:rFonts w:ascii="Arial" w:hAnsi="Arial"/>
          <w:color w:val="000000"/>
          <w:sz w:val="24"/>
          <w:lang w:val="fr-CA"/>
        </w:rPr>
        <w:t xml:space="preserve"> dans les 72 heures suivant la naissance ou tout autre événement</w:t>
      </w:r>
      <w:r w:rsidR="004F69E3">
        <w:rPr>
          <w:rFonts w:ascii="Arial" w:hAnsi="Arial"/>
          <w:color w:val="000000"/>
          <w:sz w:val="24"/>
          <w:lang w:val="fr-CA"/>
        </w:rPr>
        <w:t xml:space="preserve"> susceptible de provoquer une immunisation. Si la naissance a eu lieu plus de 72 heures auparavant, </w:t>
      </w:r>
      <w:r w:rsidR="000104A2">
        <w:rPr>
          <w:rFonts w:ascii="Arial" w:hAnsi="Arial"/>
          <w:color w:val="000000"/>
          <w:sz w:val="24"/>
          <w:lang w:val="fr-CA"/>
        </w:rPr>
        <w:t xml:space="preserve">de </w:t>
      </w:r>
      <w:r w:rsidR="004F69E3">
        <w:rPr>
          <w:rFonts w:ascii="Arial" w:hAnsi="Arial"/>
          <w:color w:val="000000"/>
          <w:sz w:val="24"/>
          <w:lang w:val="fr-CA"/>
        </w:rPr>
        <w:t>l’</w:t>
      </w:r>
      <w:proofErr w:type="spellStart"/>
      <w:r w:rsidR="004F69E3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="004F69E3">
        <w:rPr>
          <w:rFonts w:ascii="Arial" w:hAnsi="Arial"/>
          <w:color w:val="000000"/>
          <w:sz w:val="24"/>
          <w:lang w:val="fr-CA"/>
        </w:rPr>
        <w:t xml:space="preserve"> sera administré jusqu’à 28 jours après</w:t>
      </w:r>
      <w:r w:rsidRPr="000E7D50">
        <w:rPr>
          <w:rFonts w:ascii="Arial" w:hAnsi="Arial"/>
          <w:color w:val="000000"/>
          <w:sz w:val="24"/>
          <w:vertAlign w:val="superscript"/>
          <w:lang w:val="fr-CA"/>
        </w:rPr>
        <w:t>9.1</w:t>
      </w:r>
      <w:r w:rsidR="004F69E3">
        <w:rPr>
          <w:rFonts w:ascii="Arial" w:hAnsi="Arial"/>
          <w:color w:val="000000"/>
          <w:sz w:val="24"/>
          <w:lang w:val="fr-CA"/>
        </w:rPr>
        <w:t>.</w:t>
      </w:r>
      <w:r w:rsidR="004F69E3">
        <w:rPr>
          <w:rFonts w:ascii="Arial" w:hAnsi="Arial"/>
          <w:color w:val="000000"/>
          <w:sz w:val="24"/>
          <w:lang w:val="fr-CA"/>
        </w:rPr>
        <w:br/>
      </w:r>
    </w:p>
    <w:p w:rsidRPr="00A34F30" w:rsidR="0040733D" w:rsidP="000E7D50" w:rsidRDefault="004F69E3" w14:paraId="281A13C9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lastRenderedPageBreak/>
        <w:t>De l’</w:t>
      </w:r>
      <w:proofErr w:type="spellStart"/>
      <w:r w:rsidRPr="00A34F30" w:rsidR="0040733D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Pr="00A34F30" w:rsidR="0040733D">
        <w:rPr>
          <w:rFonts w:ascii="Arial" w:hAnsi="Arial"/>
          <w:color w:val="000000"/>
          <w:sz w:val="24"/>
          <w:lang w:val="fr-CA"/>
        </w:rPr>
        <w:t xml:space="preserve"> </w:t>
      </w:r>
      <w:r w:rsidR="0040733D">
        <w:rPr>
          <w:rFonts w:ascii="Arial" w:hAnsi="Arial"/>
          <w:color w:val="000000"/>
          <w:sz w:val="24"/>
          <w:lang w:val="fr-CA"/>
        </w:rPr>
        <w:t>devrait</w:t>
      </w:r>
      <w:r w:rsidRPr="00A34F30" w:rsidR="0040733D">
        <w:rPr>
          <w:rFonts w:ascii="Arial" w:hAnsi="Arial"/>
          <w:color w:val="000000"/>
          <w:sz w:val="24"/>
          <w:lang w:val="fr-CA"/>
        </w:rPr>
        <w:t xml:space="preserve"> être </w:t>
      </w:r>
      <w:r>
        <w:rPr>
          <w:rFonts w:ascii="Arial" w:hAnsi="Arial"/>
          <w:color w:val="000000"/>
          <w:sz w:val="24"/>
          <w:lang w:val="fr-CA"/>
        </w:rPr>
        <w:t>administrée l</w:t>
      </w:r>
      <w:r w:rsidRPr="00A34F30" w:rsidR="0040733D">
        <w:rPr>
          <w:rFonts w:ascii="Arial" w:hAnsi="Arial"/>
          <w:color w:val="000000"/>
          <w:sz w:val="24"/>
          <w:lang w:val="fr-CA"/>
        </w:rPr>
        <w:t xml:space="preserve">orsque des </w:t>
      </w:r>
      <w:r>
        <w:rPr>
          <w:rFonts w:ascii="Arial" w:hAnsi="Arial"/>
          <w:color w:val="000000"/>
          <w:sz w:val="24"/>
          <w:lang w:val="fr-CA"/>
        </w:rPr>
        <w:t xml:space="preserve">produits contenant de globules rouges </w:t>
      </w:r>
      <w:r w:rsidRPr="00A34F30" w:rsidR="0040733D">
        <w:rPr>
          <w:rFonts w:ascii="Arial" w:hAnsi="Arial"/>
          <w:color w:val="000000"/>
          <w:sz w:val="24"/>
          <w:lang w:val="fr-CA"/>
        </w:rPr>
        <w:t xml:space="preserve">Rh positif sont administrés à une femme Rh négatif en âge d’avoir des enfants ou </w:t>
      </w:r>
      <w:r w:rsidR="0040733D">
        <w:rPr>
          <w:rFonts w:ascii="Arial" w:hAnsi="Arial"/>
          <w:color w:val="000000"/>
          <w:sz w:val="24"/>
          <w:lang w:val="fr-CA"/>
        </w:rPr>
        <w:t>envisagée si un</w:t>
      </w:r>
      <w:r w:rsidRPr="00A34F30" w:rsidR="0040733D">
        <w:rPr>
          <w:rFonts w:ascii="Arial" w:hAnsi="Arial"/>
          <w:color w:val="000000"/>
          <w:sz w:val="24"/>
          <w:lang w:val="fr-CA"/>
        </w:rPr>
        <w:t xml:space="preserve"> homme </w:t>
      </w:r>
      <w:r w:rsidR="0040733D">
        <w:rPr>
          <w:rFonts w:ascii="Arial" w:hAnsi="Arial"/>
          <w:color w:val="000000"/>
          <w:sz w:val="24"/>
          <w:lang w:val="fr-CA"/>
        </w:rPr>
        <w:t xml:space="preserve">est </w:t>
      </w:r>
      <w:r w:rsidRPr="00A34F30" w:rsidR="0040733D">
        <w:rPr>
          <w:rFonts w:ascii="Arial" w:hAnsi="Arial"/>
          <w:color w:val="000000"/>
          <w:sz w:val="24"/>
          <w:lang w:val="fr-CA"/>
        </w:rPr>
        <w:t>Rh négatif. Le médecin prescrira le volume approprié à administrer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="0040733D">
        <w:rPr>
          <w:rFonts w:ascii="Arial" w:hAnsi="Arial"/>
          <w:color w:val="000000"/>
          <w:sz w:val="24"/>
          <w:vertAlign w:val="superscript"/>
          <w:lang w:val="fr-CA"/>
        </w:rPr>
        <w:t>.1</w:t>
      </w:r>
      <w:r w:rsidRPr="00A34F30" w:rsidR="0040733D">
        <w:rPr>
          <w:rFonts w:ascii="Arial" w:hAnsi="Arial"/>
          <w:color w:val="000000"/>
          <w:sz w:val="24"/>
          <w:lang w:val="fr-CA"/>
        </w:rPr>
        <w:t>.</w:t>
      </w:r>
      <w:r w:rsidR="0040733D">
        <w:rPr>
          <w:rFonts w:ascii="Arial" w:hAnsi="Arial"/>
          <w:color w:val="000000"/>
          <w:sz w:val="24"/>
          <w:lang w:val="fr-CA"/>
        </w:rPr>
        <w:br/>
      </w:r>
    </w:p>
    <w:p w:rsidRPr="00A34F30" w:rsidR="0040733D" w:rsidP="000E7D50" w:rsidRDefault="004F69E3" w14:paraId="0B75C915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Une politique établira s’il faut administrer de l’</w:t>
      </w:r>
      <w:proofErr w:type="spellStart"/>
      <w:r>
        <w:rPr>
          <w:rFonts w:ascii="Arial" w:hAnsi="Arial"/>
          <w:color w:val="000000"/>
          <w:sz w:val="24"/>
          <w:lang w:val="fr-CA"/>
        </w:rPr>
        <w:t>IgRh</w:t>
      </w:r>
      <w:proofErr w:type="spellEnd"/>
      <w:r>
        <w:rPr>
          <w:rFonts w:ascii="Arial" w:hAnsi="Arial"/>
          <w:color w:val="000000"/>
          <w:sz w:val="24"/>
          <w:lang w:val="fr-CA"/>
        </w:rPr>
        <w:t xml:space="preserve"> aux femmes dont les résultats révèlent un </w:t>
      </w:r>
      <w:r w:rsidR="00BC4297">
        <w:rPr>
          <w:rFonts w:ascii="Arial" w:hAnsi="Arial"/>
          <w:color w:val="000000"/>
          <w:sz w:val="24"/>
          <w:lang w:val="fr-CA"/>
        </w:rPr>
        <w:t xml:space="preserve">Rh </w:t>
      </w:r>
      <w:r>
        <w:rPr>
          <w:rFonts w:ascii="Arial" w:hAnsi="Arial"/>
          <w:color w:val="000000"/>
          <w:sz w:val="24"/>
          <w:lang w:val="fr-CA"/>
        </w:rPr>
        <w:t xml:space="preserve">D faible ou un </w:t>
      </w:r>
      <w:r w:rsidR="00BC4297">
        <w:rPr>
          <w:rFonts w:ascii="Arial" w:hAnsi="Arial"/>
          <w:color w:val="000000"/>
          <w:sz w:val="24"/>
          <w:lang w:val="fr-CA"/>
        </w:rPr>
        <w:t xml:space="preserve">Rh </w:t>
      </w:r>
      <w:r>
        <w:rPr>
          <w:rFonts w:ascii="Arial" w:hAnsi="Arial"/>
          <w:color w:val="000000"/>
          <w:sz w:val="24"/>
          <w:lang w:val="fr-CA"/>
        </w:rPr>
        <w:t>D variant positif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>
        <w:rPr>
          <w:rFonts w:ascii="Arial" w:hAnsi="Arial"/>
          <w:color w:val="000000"/>
          <w:sz w:val="24"/>
          <w:vertAlign w:val="superscript"/>
          <w:lang w:val="fr-CA"/>
        </w:rPr>
        <w:t>.1</w:t>
      </w:r>
      <w:r>
        <w:rPr>
          <w:rFonts w:ascii="Arial" w:hAnsi="Arial"/>
          <w:color w:val="000000"/>
          <w:sz w:val="24"/>
          <w:lang w:val="fr-CA"/>
        </w:rPr>
        <w:t>.</w:t>
      </w:r>
    </w:p>
    <w:p w:rsidRPr="008B140A" w:rsidR="0058239C" w:rsidRDefault="0058239C" w14:paraId="40AFF3E9" w14:textId="77777777">
      <w:pPr>
        <w:rPr>
          <w:rFonts w:ascii="Arial" w:hAnsi="Arial"/>
          <w:color w:val="000000"/>
          <w:lang w:val="fr-CA"/>
        </w:rPr>
      </w:pPr>
    </w:p>
    <w:p w:rsidR="00BC4297" w:rsidP="000E7D50" w:rsidRDefault="000E7D50" w14:paraId="392CFDD9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À la découverte </w:t>
      </w:r>
      <w:proofErr w:type="gramStart"/>
      <w:r>
        <w:rPr>
          <w:rFonts w:ascii="Arial" w:hAnsi="Arial"/>
          <w:color w:val="000000"/>
          <w:sz w:val="24"/>
          <w:lang w:val="fr-CA"/>
        </w:rPr>
        <w:t>d’anti D</w:t>
      </w:r>
      <w:proofErr w:type="gramEnd"/>
      <w:r>
        <w:rPr>
          <w:rFonts w:ascii="Arial" w:hAnsi="Arial"/>
          <w:color w:val="000000"/>
          <w:sz w:val="24"/>
          <w:lang w:val="fr-CA"/>
        </w:rPr>
        <w:t xml:space="preserve"> faible chez une femme Rh négatif</w:t>
      </w:r>
      <w:r w:rsidR="004571C2">
        <w:rPr>
          <w:rFonts w:ascii="Arial" w:hAnsi="Arial"/>
          <w:color w:val="000000"/>
          <w:sz w:val="24"/>
          <w:lang w:val="fr-CA"/>
        </w:rPr>
        <w:t>, il faut déterminer si elle a reçu de l’</w:t>
      </w:r>
      <w:proofErr w:type="spellStart"/>
      <w:r w:rsidR="004571C2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="004571C2">
        <w:rPr>
          <w:rFonts w:ascii="Arial" w:hAnsi="Arial"/>
          <w:color w:val="000000"/>
          <w:sz w:val="24"/>
          <w:lang w:val="fr-CA"/>
        </w:rPr>
        <w:t xml:space="preserve"> pendant sa grossesse. S’il est impossible de déterminer qu’elle en a reçu, il faut lui en administrer et envoyer un échantillon de son sang à la SCS qui procédera à un génotypage </w:t>
      </w:r>
      <w:proofErr w:type="spellStart"/>
      <w:r w:rsidR="004571C2">
        <w:rPr>
          <w:rFonts w:ascii="Arial" w:hAnsi="Arial"/>
          <w:color w:val="000000"/>
          <w:sz w:val="24"/>
          <w:lang w:val="fr-CA"/>
        </w:rPr>
        <w:t>RhD</w:t>
      </w:r>
      <w:proofErr w:type="spellEnd"/>
      <w:r w:rsidR="00493289">
        <w:rPr>
          <w:rFonts w:ascii="Arial" w:hAnsi="Arial"/>
          <w:color w:val="000000"/>
          <w:sz w:val="24"/>
          <w:lang w:val="fr-CA"/>
        </w:rPr>
        <w:t xml:space="preserve">. </w:t>
      </w:r>
      <w:r w:rsidR="00F207AF">
        <w:rPr>
          <w:rFonts w:ascii="Arial" w:hAnsi="Arial"/>
          <w:color w:val="000000"/>
          <w:sz w:val="24"/>
          <w:lang w:val="fr-CA"/>
        </w:rPr>
        <w:br/>
      </w:r>
    </w:p>
    <w:p w:rsidR="00BC4297" w:rsidP="000E7D50" w:rsidRDefault="00F207AF" w14:paraId="0E133D42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Une épreuve sera faite pour déterminer l’ampleur de l’hémorragie </w:t>
      </w:r>
      <w:proofErr w:type="spellStart"/>
      <w:r>
        <w:rPr>
          <w:rFonts w:ascii="Arial" w:hAnsi="Arial"/>
          <w:color w:val="000000"/>
          <w:sz w:val="24"/>
          <w:lang w:val="fr-CA"/>
        </w:rPr>
        <w:t>fœto</w:t>
      </w:r>
      <w:r w:rsidR="000E7D50">
        <w:rPr>
          <w:rFonts w:ascii="Arial" w:hAnsi="Arial"/>
          <w:color w:val="000000"/>
          <w:sz w:val="24"/>
          <w:lang w:val="fr-CA"/>
        </w:rPr>
        <w:t>m</w:t>
      </w:r>
      <w:r>
        <w:rPr>
          <w:rFonts w:ascii="Arial" w:hAnsi="Arial"/>
          <w:color w:val="000000"/>
          <w:sz w:val="24"/>
          <w:lang w:val="fr-CA"/>
        </w:rPr>
        <w:t>aternelle</w:t>
      </w:r>
      <w:proofErr w:type="spellEnd"/>
      <w:r>
        <w:rPr>
          <w:rFonts w:ascii="Arial" w:hAnsi="Arial"/>
          <w:color w:val="000000"/>
          <w:sz w:val="24"/>
          <w:lang w:val="fr-CA"/>
        </w:rPr>
        <w:t xml:space="preserve"> chez les parturientes admissibles (20 semaines de grossesse ou plus). Si une hémorragie fœtale est dépistée, une dose appropriée d’</w:t>
      </w:r>
      <w:proofErr w:type="spellStart"/>
      <w:r>
        <w:rPr>
          <w:rFonts w:ascii="Arial" w:hAnsi="Arial"/>
          <w:color w:val="000000"/>
          <w:sz w:val="24"/>
          <w:lang w:val="fr-CA"/>
        </w:rPr>
        <w:t>IgRh</w:t>
      </w:r>
      <w:proofErr w:type="spellEnd"/>
      <w:r>
        <w:rPr>
          <w:rFonts w:ascii="Arial" w:hAnsi="Arial"/>
          <w:color w:val="000000"/>
          <w:sz w:val="24"/>
          <w:lang w:val="fr-CA"/>
        </w:rPr>
        <w:t xml:space="preserve"> sera administrée conformément aux recommandations du fabricant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Pr="00F207AF">
        <w:rPr>
          <w:rFonts w:ascii="Arial" w:hAnsi="Arial"/>
          <w:color w:val="000000"/>
          <w:sz w:val="24"/>
          <w:vertAlign w:val="superscript"/>
          <w:lang w:val="fr-CA"/>
        </w:rPr>
        <w:t>.1</w:t>
      </w:r>
      <w:r>
        <w:rPr>
          <w:rFonts w:ascii="Arial" w:hAnsi="Arial"/>
          <w:color w:val="000000"/>
          <w:sz w:val="24"/>
          <w:lang w:val="fr-CA"/>
        </w:rPr>
        <w:t>.</w:t>
      </w:r>
      <w:r>
        <w:rPr>
          <w:rFonts w:ascii="Arial" w:hAnsi="Arial"/>
          <w:color w:val="000000"/>
          <w:sz w:val="24"/>
          <w:lang w:val="fr-CA"/>
        </w:rPr>
        <w:br/>
      </w:r>
    </w:p>
    <w:p w:rsidR="00493289" w:rsidP="000E7D50" w:rsidRDefault="00493289" w14:paraId="1321D523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Un dépistage courant (</w:t>
      </w:r>
      <w:r w:rsidR="000F5C2A">
        <w:rPr>
          <w:rFonts w:ascii="Arial" w:hAnsi="Arial"/>
          <w:color w:val="000000"/>
          <w:sz w:val="24"/>
          <w:lang w:val="fr-CA"/>
        </w:rPr>
        <w:t>4-6 semaines</w:t>
      </w:r>
      <w:r>
        <w:rPr>
          <w:rFonts w:ascii="Arial" w:hAnsi="Arial"/>
          <w:color w:val="000000"/>
          <w:sz w:val="24"/>
          <w:lang w:val="fr-CA"/>
        </w:rPr>
        <w:t>) d’anticorps doit démontrer l’absence d’</w:t>
      </w:r>
      <w:proofErr w:type="spellStart"/>
      <w:r>
        <w:rPr>
          <w:rFonts w:ascii="Arial" w:hAnsi="Arial"/>
          <w:color w:val="000000"/>
          <w:sz w:val="24"/>
          <w:lang w:val="fr-CA"/>
        </w:rPr>
        <w:t>alloanticorps</w:t>
      </w:r>
      <w:proofErr w:type="spellEnd"/>
      <w:r>
        <w:rPr>
          <w:rFonts w:ascii="Arial" w:hAnsi="Arial"/>
          <w:color w:val="000000"/>
          <w:sz w:val="24"/>
          <w:lang w:val="fr-CA"/>
        </w:rPr>
        <w:t xml:space="preserve"> Rh (D) conformément </w:t>
      </w:r>
      <w:r w:rsidR="00AD2BE9">
        <w:rPr>
          <w:rFonts w:ascii="Arial" w:hAnsi="Arial"/>
          <w:color w:val="000000"/>
          <w:sz w:val="24"/>
          <w:lang w:val="fr-CA"/>
        </w:rPr>
        <w:t xml:space="preserve">à la </w:t>
      </w:r>
      <w:r>
        <w:rPr>
          <w:rFonts w:ascii="Arial" w:hAnsi="Arial"/>
          <w:color w:val="000000"/>
          <w:sz w:val="24"/>
          <w:lang w:val="fr-CA"/>
        </w:rPr>
        <w:t>politique de l’hôpital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="00BC4297">
        <w:rPr>
          <w:rFonts w:ascii="Arial" w:hAnsi="Arial"/>
          <w:color w:val="000000"/>
          <w:sz w:val="24"/>
          <w:vertAlign w:val="superscript"/>
          <w:lang w:val="fr-CA"/>
        </w:rPr>
        <w:t>.3</w:t>
      </w:r>
      <w:r>
        <w:rPr>
          <w:rFonts w:ascii="Arial" w:hAnsi="Arial"/>
          <w:color w:val="000000"/>
          <w:sz w:val="24"/>
          <w:lang w:val="fr-CA"/>
        </w:rPr>
        <w:t>.</w:t>
      </w:r>
    </w:p>
    <w:p w:rsidRPr="008B140A" w:rsidR="00493289" w:rsidP="00493289" w:rsidRDefault="00493289" w14:paraId="13FA501F" w14:textId="77777777">
      <w:pPr>
        <w:pStyle w:val="ListParagraph"/>
        <w:rPr>
          <w:rFonts w:ascii="Arial" w:hAnsi="Arial"/>
          <w:color w:val="000000"/>
          <w:lang w:val="fr-CA"/>
        </w:rPr>
      </w:pPr>
    </w:p>
    <w:p w:rsidR="0058239C" w:rsidP="000E7D50" w:rsidRDefault="0057561E" w14:paraId="04E075C7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>La demande du produit doit provenir d</w:t>
      </w:r>
      <w:r w:rsidR="001822D2">
        <w:rPr>
          <w:rFonts w:ascii="Arial" w:hAnsi="Arial"/>
          <w:color w:val="000000"/>
          <w:sz w:val="24"/>
          <w:lang w:val="fr-CA"/>
        </w:rPr>
        <w:t>'</w:t>
      </w:r>
      <w:r w:rsidRPr="00A34F30">
        <w:rPr>
          <w:rFonts w:ascii="Arial" w:hAnsi="Arial"/>
          <w:color w:val="000000"/>
          <w:sz w:val="24"/>
          <w:lang w:val="fr-CA"/>
        </w:rPr>
        <w:t xml:space="preserve">un médecin ou </w:t>
      </w:r>
      <w:r w:rsidR="00BC4297">
        <w:rPr>
          <w:rFonts w:ascii="Arial" w:hAnsi="Arial"/>
          <w:color w:val="000000"/>
          <w:sz w:val="24"/>
          <w:lang w:val="fr-CA"/>
        </w:rPr>
        <w:t xml:space="preserve">autre </w:t>
      </w:r>
      <w:r w:rsidR="00E27401">
        <w:rPr>
          <w:rFonts w:ascii="Arial" w:hAnsi="Arial"/>
          <w:color w:val="000000"/>
          <w:sz w:val="24"/>
          <w:lang w:val="fr-CA"/>
        </w:rPr>
        <w:t xml:space="preserve">professionnel de la santé </w:t>
      </w:r>
      <w:r w:rsidRPr="00A34F30">
        <w:rPr>
          <w:rFonts w:ascii="Arial" w:hAnsi="Arial"/>
          <w:color w:val="000000"/>
          <w:sz w:val="24"/>
          <w:lang w:val="fr-CA"/>
        </w:rPr>
        <w:t>autorisé.</w:t>
      </w:r>
      <w:r w:rsidR="00BC4297">
        <w:rPr>
          <w:rFonts w:ascii="Arial" w:hAnsi="Arial"/>
          <w:color w:val="000000"/>
          <w:sz w:val="24"/>
          <w:lang w:val="fr-CA"/>
        </w:rPr>
        <w:t xml:space="preserve"> Le produit doit être administré conformément aux instructions du fabricant.</w:t>
      </w:r>
    </w:p>
    <w:p w:rsidRPr="008B140A" w:rsidR="00E27401" w:rsidP="00E27401" w:rsidRDefault="00E27401" w14:paraId="321315D5" w14:textId="77777777">
      <w:pPr>
        <w:pStyle w:val="ListParagraph"/>
        <w:rPr>
          <w:rFonts w:ascii="Arial" w:hAnsi="Arial"/>
          <w:color w:val="000000"/>
          <w:lang w:val="fr-CA"/>
        </w:rPr>
      </w:pPr>
    </w:p>
    <w:p w:rsidR="00BC4297" w:rsidP="000E7D50" w:rsidRDefault="00BC4297" w14:paraId="21394B3F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La documentation de l’administration de l’</w:t>
      </w:r>
      <w:proofErr w:type="spellStart"/>
      <w:r>
        <w:rPr>
          <w:rFonts w:ascii="Arial" w:hAnsi="Arial"/>
          <w:color w:val="000000"/>
          <w:sz w:val="24"/>
          <w:lang w:val="fr-CA"/>
        </w:rPr>
        <w:t>IgRh</w:t>
      </w:r>
      <w:proofErr w:type="spellEnd"/>
      <w:r>
        <w:rPr>
          <w:rFonts w:ascii="Arial" w:hAnsi="Arial"/>
          <w:color w:val="000000"/>
          <w:sz w:val="24"/>
          <w:lang w:val="fr-CA"/>
        </w:rPr>
        <w:t xml:space="preserve"> doit faire état du numéro de lot du produit et de sa </w:t>
      </w:r>
      <w:r w:rsidRPr="00BC4297">
        <w:rPr>
          <w:rFonts w:ascii="Arial" w:hAnsi="Arial"/>
          <w:b/>
          <w:color w:val="000000"/>
          <w:sz w:val="24"/>
          <w:lang w:val="fr-CA"/>
        </w:rPr>
        <w:t>date de péremptio</w:t>
      </w:r>
      <w:r>
        <w:rPr>
          <w:rFonts w:ascii="Arial" w:hAnsi="Arial"/>
          <w:color w:val="000000"/>
          <w:sz w:val="24"/>
          <w:lang w:val="fr-CA"/>
        </w:rPr>
        <w:t>n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>
        <w:rPr>
          <w:rFonts w:ascii="Arial" w:hAnsi="Arial"/>
          <w:color w:val="000000"/>
          <w:sz w:val="24"/>
          <w:vertAlign w:val="superscript"/>
          <w:lang w:val="fr-CA"/>
        </w:rPr>
        <w:t>.3</w:t>
      </w:r>
      <w:r>
        <w:rPr>
          <w:rFonts w:ascii="Arial" w:hAnsi="Arial"/>
          <w:color w:val="000000"/>
          <w:sz w:val="24"/>
          <w:lang w:val="fr-CA"/>
        </w:rPr>
        <w:t>.</w:t>
      </w:r>
    </w:p>
    <w:p w:rsidRPr="008B140A" w:rsidR="0058239C" w:rsidRDefault="0058239C" w14:paraId="2E087293" w14:textId="77777777">
      <w:pPr>
        <w:rPr>
          <w:rFonts w:ascii="Arial" w:hAnsi="Arial"/>
          <w:color w:val="000000"/>
          <w:lang w:val="fr-CA"/>
        </w:rPr>
      </w:pPr>
    </w:p>
    <w:p w:rsidRPr="00A34F30" w:rsidR="0058239C" w:rsidP="000E7D50" w:rsidRDefault="00A34F30" w14:paraId="15203E35" w14:textId="77777777">
      <w:pPr>
        <w:numPr>
          <w:ilvl w:val="1"/>
          <w:numId w:val="24"/>
        </w:numPr>
        <w:rPr>
          <w:rFonts w:ascii="Arial" w:hAnsi="Arial"/>
          <w:color w:val="000000"/>
          <w:sz w:val="24"/>
          <w:lang w:val="fr-CA"/>
        </w:rPr>
      </w:pPr>
      <w:r w:rsidRPr="00A34F30">
        <w:rPr>
          <w:rFonts w:ascii="Arial" w:hAnsi="Arial"/>
          <w:color w:val="000000"/>
          <w:sz w:val="24"/>
          <w:lang w:val="fr-CA"/>
        </w:rPr>
        <w:t xml:space="preserve">Le produit peut être prescrit à une personne 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Rh </w:t>
      </w:r>
      <w:r w:rsidR="00E27401">
        <w:rPr>
          <w:rFonts w:ascii="Arial" w:hAnsi="Arial"/>
          <w:color w:val="000000"/>
          <w:sz w:val="24"/>
          <w:lang w:val="fr-CA"/>
        </w:rPr>
        <w:t>p</w:t>
      </w:r>
      <w:r w:rsidRPr="00A34F30" w:rsidR="0058239C">
        <w:rPr>
          <w:rFonts w:ascii="Arial" w:hAnsi="Arial"/>
          <w:color w:val="000000"/>
          <w:sz w:val="24"/>
          <w:lang w:val="fr-CA"/>
        </w:rPr>
        <w:t>ositi</w:t>
      </w:r>
      <w:r w:rsidRPr="00A34F30">
        <w:rPr>
          <w:rFonts w:ascii="Arial" w:hAnsi="Arial"/>
          <w:color w:val="000000"/>
          <w:sz w:val="24"/>
          <w:lang w:val="fr-CA"/>
        </w:rPr>
        <w:t>f dans le cadre du traitement médical du purpura thrombopénique idiopathique (PTI)</w:t>
      </w:r>
      <w:r w:rsidR="00BC4297">
        <w:rPr>
          <w:rFonts w:ascii="Arial" w:hAnsi="Arial"/>
          <w:color w:val="000000"/>
          <w:sz w:val="24"/>
          <w:lang w:val="fr-CA"/>
        </w:rPr>
        <w:t>, mais il doit être réservé aux hémorragies qui menacent le pronostic vital</w:t>
      </w:r>
      <w:r w:rsidR="00D310DC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Pr="00BC4297" w:rsidR="00BC4297">
        <w:rPr>
          <w:rFonts w:ascii="Arial" w:hAnsi="Arial"/>
          <w:color w:val="000000"/>
          <w:sz w:val="24"/>
          <w:vertAlign w:val="superscript"/>
          <w:lang w:val="fr-CA"/>
        </w:rPr>
        <w:t>.3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. </w:t>
      </w:r>
    </w:p>
    <w:p w:rsidRPr="00A34F30" w:rsidR="0058239C" w:rsidRDefault="0058239C" w14:paraId="10FF31B4" w14:textId="77777777">
      <w:pPr>
        <w:rPr>
          <w:rFonts w:ascii="Arial" w:hAnsi="Arial"/>
          <w:color w:val="000000"/>
          <w:sz w:val="24"/>
          <w:lang w:val="fr-CA"/>
        </w:rPr>
      </w:pPr>
    </w:p>
    <w:p w:rsidRPr="004F69E3" w:rsidR="0058239C" w:rsidP="000E7D50" w:rsidRDefault="004F69E3" w14:paraId="29226D94" w14:textId="77777777">
      <w:pPr>
        <w:numPr>
          <w:ilvl w:val="0"/>
          <w:numId w:val="24"/>
        </w:numPr>
        <w:rPr>
          <w:rFonts w:ascii="Arial" w:hAnsi="Arial"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Politiques et procédures connexes</w:t>
      </w:r>
      <w:r w:rsidR="00D310DC">
        <w:rPr>
          <w:rFonts w:ascii="Arial" w:hAnsi="Arial"/>
          <w:b/>
          <w:color w:val="000000"/>
          <w:sz w:val="28"/>
          <w:lang w:val="fr-CA"/>
        </w:rPr>
        <w:t xml:space="preserve"> (du présent Manuel)</w:t>
      </w:r>
      <w:r>
        <w:rPr>
          <w:rFonts w:ascii="Arial" w:hAnsi="Arial"/>
          <w:b/>
          <w:color w:val="000000"/>
          <w:sz w:val="28"/>
          <w:lang w:val="fr-CA"/>
        </w:rPr>
        <w:br/>
      </w:r>
      <w:r w:rsidRPr="004F69E3">
        <w:rPr>
          <w:rFonts w:ascii="Arial" w:hAnsi="Arial"/>
          <w:color w:val="000000"/>
          <w:sz w:val="28"/>
          <w:lang w:val="fr-CA"/>
        </w:rPr>
        <w:t>Glossaire et abréviations</w:t>
      </w:r>
    </w:p>
    <w:p w:rsidRPr="00A34F30" w:rsidR="0058239C" w:rsidRDefault="0058239C" w14:paraId="28D2A088" w14:textId="77777777">
      <w:pPr>
        <w:ind w:left="720"/>
        <w:rPr>
          <w:rFonts w:ascii="Arial" w:hAnsi="Arial"/>
          <w:b/>
          <w:color w:val="000000"/>
          <w:sz w:val="24"/>
          <w:lang w:val="fr-CA"/>
        </w:rPr>
      </w:pPr>
    </w:p>
    <w:p w:rsidRPr="00A34F30" w:rsidR="0058239C" w:rsidP="000E7D50" w:rsidRDefault="0057561E" w14:paraId="33654C1C" w14:textId="77777777">
      <w:pPr>
        <w:numPr>
          <w:ilvl w:val="0"/>
          <w:numId w:val="24"/>
        </w:numPr>
        <w:rPr>
          <w:rFonts w:ascii="Arial" w:hAnsi="Arial"/>
          <w:b/>
          <w:color w:val="000000"/>
          <w:sz w:val="28"/>
          <w:lang w:val="fr-CA"/>
        </w:rPr>
      </w:pPr>
      <w:r w:rsidRPr="00A34F30">
        <w:rPr>
          <w:rFonts w:ascii="Arial" w:hAnsi="Arial"/>
          <w:b/>
          <w:color w:val="000000"/>
          <w:sz w:val="28"/>
          <w:lang w:val="fr-CA"/>
        </w:rPr>
        <w:t>Matériel</w:t>
      </w:r>
      <w:r w:rsidRPr="00A34F30" w:rsidR="0058239C">
        <w:rPr>
          <w:rFonts w:ascii="Arial" w:hAnsi="Arial"/>
          <w:color w:val="000000"/>
          <w:sz w:val="24"/>
          <w:lang w:val="fr-CA"/>
        </w:rPr>
        <w:t xml:space="preserve"> </w:t>
      </w:r>
      <w:r w:rsidR="004F69E3">
        <w:rPr>
          <w:rFonts w:ascii="Arial" w:hAnsi="Arial"/>
          <w:color w:val="000000"/>
          <w:sz w:val="24"/>
          <w:lang w:val="fr-CA"/>
        </w:rPr>
        <w:br/>
      </w:r>
    </w:p>
    <w:p w:rsidRPr="0002618B" w:rsidR="0058239C" w:rsidP="00AD2BE9" w:rsidRDefault="00DB3CE8" w14:paraId="5025ABAF" w14:textId="77777777">
      <w:pPr>
        <w:ind w:firstLine="720"/>
        <w:rPr>
          <w:rFonts w:ascii="Arial" w:hAnsi="Arial"/>
          <w:sz w:val="24"/>
          <w:lang w:val="fr-CA"/>
        </w:rPr>
      </w:pPr>
      <w:r w:rsidRPr="004571C2">
        <w:rPr>
          <w:rFonts w:ascii="Arial" w:hAnsi="Arial"/>
          <w:b/>
          <w:color w:val="000000"/>
          <w:sz w:val="24"/>
          <w:lang w:val="fr-CA"/>
        </w:rPr>
        <w:t>Fournitures</w:t>
      </w:r>
      <w:r>
        <w:rPr>
          <w:rFonts w:ascii="Arial" w:hAnsi="Arial"/>
          <w:color w:val="000000"/>
          <w:sz w:val="24"/>
          <w:lang w:val="fr-CA"/>
        </w:rPr>
        <w:t> </w:t>
      </w:r>
      <w:r w:rsidRPr="00A34F30" w:rsidR="0057561E">
        <w:rPr>
          <w:rFonts w:ascii="Arial" w:hAnsi="Arial"/>
          <w:color w:val="000000"/>
          <w:sz w:val="24"/>
          <w:lang w:val="fr-CA"/>
        </w:rPr>
        <w:t xml:space="preserve">: </w:t>
      </w:r>
      <w:r w:rsidRPr="004F69E3" w:rsidR="004F69E3">
        <w:rPr>
          <w:rFonts w:ascii="Arial" w:hAnsi="Arial"/>
          <w:b/>
          <w:color w:val="000000"/>
          <w:sz w:val="24"/>
          <w:lang w:val="fr-CA"/>
        </w:rPr>
        <w:t>600</w:t>
      </w:r>
      <w:r w:rsidR="001822D2">
        <w:rPr>
          <w:rFonts w:ascii="Arial" w:hAnsi="Arial"/>
          <w:b/>
          <w:color w:val="000000"/>
          <w:sz w:val="24"/>
          <w:lang w:val="fr-CA"/>
        </w:rPr>
        <w:t> </w:t>
      </w:r>
      <w:r w:rsidRPr="004F69E3" w:rsidR="004F69E3">
        <w:rPr>
          <w:rFonts w:ascii="Arial" w:hAnsi="Arial"/>
          <w:b/>
          <w:color w:val="000000"/>
          <w:sz w:val="24"/>
          <w:lang w:val="fr-CA"/>
        </w:rPr>
        <w:t>UI</w:t>
      </w:r>
      <w:r w:rsidR="004F69E3">
        <w:rPr>
          <w:rFonts w:ascii="Arial" w:hAnsi="Arial"/>
          <w:color w:val="000000"/>
          <w:sz w:val="24"/>
          <w:lang w:val="fr-CA"/>
        </w:rPr>
        <w:t xml:space="preserve"> (</w:t>
      </w:r>
      <w:r w:rsidRPr="004F69E3" w:rsidR="004F69E3">
        <w:rPr>
          <w:rFonts w:ascii="Arial" w:hAnsi="Arial"/>
          <w:b/>
          <w:color w:val="000000"/>
          <w:sz w:val="24"/>
          <w:lang w:val="fr-CA"/>
        </w:rPr>
        <w:t>120</w:t>
      </w:r>
      <w:r w:rsidR="00A34F30">
        <w:rPr>
          <w:rFonts w:ascii="Arial" w:hAnsi="Arial"/>
          <w:sz w:val="24"/>
          <w:lang w:val="fr-CA"/>
        </w:rPr>
        <w:t> </w:t>
      </w:r>
      <w:r w:rsidRPr="0002618B" w:rsidR="0058239C">
        <w:rPr>
          <w:rFonts w:ascii="Symbol" w:hAnsi="Symbol" w:eastAsia="Symbol" w:cs="Symbol"/>
          <w:sz w:val="24"/>
          <w:lang w:val="fr-CA"/>
        </w:rPr>
        <w:t>m</w:t>
      </w:r>
      <w:r w:rsidRPr="0002618B" w:rsidR="0058239C">
        <w:rPr>
          <w:rFonts w:ascii="Arial" w:hAnsi="Arial"/>
          <w:sz w:val="24"/>
          <w:lang w:val="fr-CA"/>
        </w:rPr>
        <w:t>g</w:t>
      </w:r>
      <w:r w:rsidR="004F69E3">
        <w:rPr>
          <w:rFonts w:ascii="Arial" w:hAnsi="Arial"/>
          <w:sz w:val="24"/>
          <w:lang w:val="fr-CA"/>
        </w:rPr>
        <w:t>)</w:t>
      </w:r>
      <w:r w:rsidRPr="0002618B" w:rsidR="0058239C">
        <w:rPr>
          <w:rFonts w:ascii="Arial" w:hAnsi="Arial"/>
          <w:sz w:val="24"/>
          <w:lang w:val="fr-CA"/>
        </w:rPr>
        <w:t xml:space="preserve"> </w:t>
      </w:r>
      <w:proofErr w:type="spellStart"/>
      <w:r w:rsidR="00A34F30">
        <w:rPr>
          <w:rFonts w:ascii="Arial" w:hAnsi="Arial"/>
          <w:sz w:val="24"/>
          <w:lang w:val="fr-CA"/>
        </w:rPr>
        <w:t>Ig</w:t>
      </w:r>
      <w:r w:rsidRPr="0002618B" w:rsidR="0058239C">
        <w:rPr>
          <w:rFonts w:ascii="Arial" w:hAnsi="Arial"/>
          <w:sz w:val="24"/>
          <w:lang w:val="fr-CA"/>
        </w:rPr>
        <w:t>Rh</w:t>
      </w:r>
      <w:proofErr w:type="spellEnd"/>
    </w:p>
    <w:p w:rsidR="0058239C" w:rsidRDefault="0058239C" w14:paraId="5038266D" w14:textId="77777777">
      <w:pPr>
        <w:ind w:left="1440"/>
        <w:rPr>
          <w:rFonts w:ascii="Arial" w:hAnsi="Arial"/>
          <w:sz w:val="24"/>
          <w:lang w:val="fr-CA"/>
        </w:rPr>
      </w:pPr>
      <w:r w:rsidRPr="0002618B">
        <w:rPr>
          <w:rFonts w:ascii="Arial" w:hAnsi="Arial"/>
          <w:sz w:val="24"/>
          <w:lang w:val="fr-CA"/>
        </w:rPr>
        <w:tab/>
      </w:r>
      <w:r w:rsidRPr="0002618B">
        <w:rPr>
          <w:rFonts w:ascii="Arial" w:hAnsi="Arial"/>
          <w:sz w:val="24"/>
          <w:lang w:val="fr-CA"/>
        </w:rPr>
        <w:t>1</w:t>
      </w:r>
      <w:r w:rsidR="004F69E3">
        <w:rPr>
          <w:rFonts w:ascii="Arial" w:hAnsi="Arial"/>
          <w:sz w:val="24"/>
          <w:lang w:val="fr-CA"/>
        </w:rPr>
        <w:t>500 UI (300</w:t>
      </w:r>
      <w:r w:rsidR="004571C2">
        <w:rPr>
          <w:rFonts w:ascii="Arial" w:hAnsi="Arial"/>
          <w:sz w:val="24"/>
          <w:lang w:val="fr-CA"/>
        </w:rPr>
        <w:t> </w:t>
      </w:r>
      <w:r w:rsidRPr="0002618B">
        <w:rPr>
          <w:rFonts w:ascii="Symbol" w:hAnsi="Symbol" w:eastAsia="Symbol" w:cs="Symbol"/>
          <w:sz w:val="24"/>
          <w:lang w:val="fr-CA"/>
        </w:rPr>
        <w:t>m</w:t>
      </w:r>
      <w:r w:rsidRPr="0002618B">
        <w:rPr>
          <w:rFonts w:ascii="Arial" w:hAnsi="Arial"/>
          <w:sz w:val="24"/>
          <w:lang w:val="fr-CA"/>
        </w:rPr>
        <w:t>g</w:t>
      </w:r>
      <w:r w:rsidR="004F69E3">
        <w:rPr>
          <w:rFonts w:ascii="Arial" w:hAnsi="Arial"/>
          <w:sz w:val="24"/>
          <w:lang w:val="fr-CA"/>
        </w:rPr>
        <w:t>)</w:t>
      </w:r>
      <w:r w:rsidRPr="0002618B">
        <w:rPr>
          <w:rFonts w:ascii="Arial" w:hAnsi="Arial"/>
          <w:sz w:val="24"/>
          <w:lang w:val="fr-CA"/>
        </w:rPr>
        <w:t xml:space="preserve"> </w:t>
      </w:r>
      <w:proofErr w:type="spellStart"/>
      <w:r w:rsidR="00A34F30">
        <w:rPr>
          <w:rFonts w:ascii="Arial" w:hAnsi="Arial"/>
          <w:sz w:val="24"/>
          <w:lang w:val="fr-CA"/>
        </w:rPr>
        <w:t>Ig</w:t>
      </w:r>
      <w:r w:rsidRPr="0002618B">
        <w:rPr>
          <w:rFonts w:ascii="Arial" w:hAnsi="Arial"/>
          <w:sz w:val="24"/>
          <w:lang w:val="fr-CA"/>
        </w:rPr>
        <w:t>Rh</w:t>
      </w:r>
      <w:proofErr w:type="spellEnd"/>
    </w:p>
    <w:p w:rsidRPr="0002618B" w:rsidR="004F69E3" w:rsidRDefault="004F69E3" w14:paraId="1526F2E0" w14:textId="77777777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BC4297">
        <w:rPr>
          <w:rFonts w:ascii="Arial" w:hAnsi="Arial"/>
          <w:sz w:val="24"/>
          <w:lang w:val="fr-CA"/>
        </w:rPr>
        <w:t>5</w:t>
      </w:r>
      <w:r>
        <w:rPr>
          <w:rFonts w:ascii="Arial" w:hAnsi="Arial"/>
          <w:sz w:val="24"/>
          <w:lang w:val="fr-CA"/>
        </w:rPr>
        <w:t>000 UI (</w:t>
      </w:r>
      <w:r w:rsidR="00BC4297">
        <w:rPr>
          <w:rFonts w:ascii="Arial" w:hAnsi="Arial"/>
          <w:sz w:val="24"/>
          <w:lang w:val="fr-CA"/>
        </w:rPr>
        <w:t>10</w:t>
      </w:r>
      <w:r>
        <w:rPr>
          <w:rFonts w:ascii="Arial" w:hAnsi="Arial"/>
          <w:sz w:val="24"/>
          <w:lang w:val="fr-CA"/>
        </w:rPr>
        <w:t>00</w:t>
      </w:r>
      <w:r w:rsidR="004571C2">
        <w:rPr>
          <w:rFonts w:ascii="Arial" w:hAnsi="Arial"/>
          <w:sz w:val="24"/>
          <w:lang w:val="fr-CA"/>
        </w:rPr>
        <w:t> </w:t>
      </w:r>
      <w:r w:rsidRPr="0002618B">
        <w:rPr>
          <w:rFonts w:ascii="Symbol" w:hAnsi="Symbol" w:eastAsia="Symbol" w:cs="Symbol"/>
          <w:sz w:val="24"/>
          <w:lang w:val="fr-CA"/>
        </w:rPr>
        <w:t>m</w:t>
      </w:r>
      <w:r w:rsidRPr="0002618B">
        <w:rPr>
          <w:rFonts w:ascii="Arial" w:hAnsi="Arial"/>
          <w:sz w:val="24"/>
          <w:lang w:val="fr-CA"/>
        </w:rPr>
        <w:t>g</w:t>
      </w:r>
      <w:r>
        <w:rPr>
          <w:rFonts w:ascii="Arial" w:hAnsi="Arial"/>
          <w:sz w:val="24"/>
          <w:lang w:val="fr-CA"/>
        </w:rPr>
        <w:t>)</w:t>
      </w:r>
      <w:r w:rsidRPr="0002618B">
        <w:rPr>
          <w:rFonts w:ascii="Arial" w:hAnsi="Arial"/>
          <w:sz w:val="24"/>
          <w:lang w:val="fr-CA"/>
        </w:rPr>
        <w:t xml:space="preserve"> </w:t>
      </w:r>
      <w:proofErr w:type="spellStart"/>
      <w:r>
        <w:rPr>
          <w:rFonts w:ascii="Arial" w:hAnsi="Arial"/>
          <w:sz w:val="24"/>
          <w:lang w:val="fr-CA"/>
        </w:rPr>
        <w:t>Ig</w:t>
      </w:r>
      <w:r w:rsidRPr="0002618B">
        <w:rPr>
          <w:rFonts w:ascii="Arial" w:hAnsi="Arial"/>
          <w:sz w:val="24"/>
          <w:lang w:val="fr-CA"/>
        </w:rPr>
        <w:t>Rh</w:t>
      </w:r>
      <w:proofErr w:type="spellEnd"/>
    </w:p>
    <w:p w:rsidRPr="009D04D5" w:rsidR="0058239C" w:rsidRDefault="0058239C" w14:paraId="12403599" w14:textId="77777777">
      <w:pPr>
        <w:ind w:left="720"/>
        <w:rPr>
          <w:rFonts w:ascii="Arial" w:hAnsi="Arial"/>
          <w:color w:val="000000"/>
          <w:sz w:val="28"/>
          <w:lang w:val="fr-CA"/>
        </w:rPr>
      </w:pPr>
      <w:r w:rsidRPr="009D04D5">
        <w:rPr>
          <w:rFonts w:ascii="Arial" w:hAnsi="Arial"/>
          <w:color w:val="000000"/>
          <w:sz w:val="24"/>
          <w:lang w:val="fr-CA"/>
        </w:rPr>
        <w:tab/>
      </w:r>
    </w:p>
    <w:p w:rsidRPr="009D04D5" w:rsidR="0058239C" w:rsidP="000E7D50" w:rsidRDefault="0057561E" w14:paraId="4454E73A" w14:textId="77777777">
      <w:pPr>
        <w:numPr>
          <w:ilvl w:val="0"/>
          <w:numId w:val="24"/>
        </w:numPr>
        <w:rPr>
          <w:rFonts w:ascii="Arial" w:hAnsi="Arial"/>
          <w:b/>
          <w:color w:val="000000"/>
          <w:sz w:val="28"/>
          <w:lang w:val="fr-CA"/>
        </w:rPr>
      </w:pPr>
      <w:r w:rsidRPr="009D04D5">
        <w:rPr>
          <w:rFonts w:ascii="Arial" w:hAnsi="Arial"/>
          <w:b/>
          <w:color w:val="000000"/>
          <w:sz w:val="28"/>
          <w:lang w:val="fr-CA"/>
        </w:rPr>
        <w:lastRenderedPageBreak/>
        <w:t>Contrôle de la qualité - S.O</w:t>
      </w:r>
      <w:r w:rsidR="009D04D5">
        <w:rPr>
          <w:rFonts w:ascii="Arial" w:hAnsi="Arial"/>
          <w:b/>
          <w:color w:val="000000"/>
          <w:sz w:val="28"/>
          <w:lang w:val="fr-CA"/>
        </w:rPr>
        <w:t>.</w:t>
      </w:r>
    </w:p>
    <w:p w:rsidRPr="009D04D5" w:rsidR="0058239C" w:rsidRDefault="0058239C" w14:paraId="08378234" w14:textId="77777777">
      <w:pPr>
        <w:rPr>
          <w:rFonts w:ascii="Arial" w:hAnsi="Arial"/>
          <w:b/>
          <w:color w:val="000000"/>
          <w:sz w:val="28"/>
          <w:lang w:val="fr-CA"/>
        </w:rPr>
      </w:pPr>
    </w:p>
    <w:p w:rsidR="0058239C" w:rsidP="000E7D50" w:rsidRDefault="0057561E" w14:paraId="548AA81B" w14:textId="77777777">
      <w:pPr>
        <w:numPr>
          <w:ilvl w:val="0"/>
          <w:numId w:val="24"/>
        </w:numPr>
        <w:rPr>
          <w:rFonts w:ascii="Arial" w:hAnsi="Arial"/>
          <w:b/>
          <w:color w:val="000000"/>
          <w:sz w:val="28"/>
          <w:lang w:val="fr-CA"/>
        </w:rPr>
      </w:pPr>
      <w:r w:rsidRPr="009D04D5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F207AF" w:rsidP="00F207AF" w:rsidRDefault="00F207AF" w14:paraId="665FFBE2" w14:textId="77777777">
      <w:pPr>
        <w:ind w:left="284"/>
        <w:rPr>
          <w:rFonts w:ascii="Arial" w:hAnsi="Arial"/>
          <w:b/>
          <w:bCs/>
          <w:sz w:val="28"/>
          <w:szCs w:val="28"/>
        </w:rPr>
      </w:pPr>
    </w:p>
    <w:tbl>
      <w:tblPr>
        <w:tblW w:w="9588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815"/>
      </w:tblGrid>
      <w:tr w:rsidRPr="002E46B4" w:rsidR="00F207AF" w:rsidTr="4C1A2E3B" w14:paraId="622C165E" w14:textId="77777777">
        <w:trPr>
          <w:trHeight w:val="142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2E46B4" w:rsidR="00F207AF" w:rsidP="00D310DC" w:rsidRDefault="006F01B2" w14:paraId="0B4EF268" w14:textId="777777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ÉTAPES</w:t>
            </w:r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2E46B4" w:rsidR="00F207AF" w:rsidP="00D310DC" w:rsidRDefault="00F207AF" w14:paraId="6EB6496F" w14:textId="77777777">
            <w:pPr>
              <w:ind w:left="426"/>
              <w:jc w:val="center"/>
              <w:rPr>
                <w:rFonts w:ascii="Calibri" w:hAnsi="Calibri" w:cs="Calibri"/>
                <w:b/>
                <w:szCs w:val="24"/>
              </w:rPr>
            </w:pPr>
            <w:r w:rsidRPr="002E46B4">
              <w:rPr>
                <w:rFonts w:ascii="Calibri" w:hAnsi="Calibri" w:cs="Calibri"/>
                <w:b/>
                <w:szCs w:val="24"/>
              </w:rPr>
              <w:t>INSTRUCTIONS</w:t>
            </w:r>
          </w:p>
        </w:tc>
      </w:tr>
      <w:tr w:rsidRPr="002E46B4" w:rsidR="00F207AF" w:rsidDel="008025A0" w:rsidTr="4C1A2E3B" w14:paraId="20956B39" w14:textId="77777777">
        <w:trPr>
          <w:trHeight w:val="482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07AF" w:rsidP="00F207AF" w:rsidRDefault="00F207AF" w14:paraId="5062F57B" w14:textId="77777777">
            <w:pPr>
              <w:pStyle w:val="ListParagraph"/>
              <w:numPr>
                <w:ilvl w:val="0"/>
                <w:numId w:val="19"/>
              </w:numPr>
              <w:ind w:left="291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04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Pr="006F01B2" w:rsidR="00F207AF" w:rsidP="006F01B2" w:rsidRDefault="00F207AF" w14:paraId="7F7047A5" w14:textId="77777777">
            <w:pPr>
              <w:pStyle w:val="ListParagraph"/>
              <w:ind w:left="149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F01B2">
              <w:rPr>
                <w:rFonts w:ascii="Arial" w:hAnsi="Arial" w:cs="Arial"/>
                <w:sz w:val="24"/>
                <w:szCs w:val="24"/>
                <w:lang w:val="fr-CA"/>
              </w:rPr>
              <w:t>R</w:t>
            </w:r>
            <w:r w:rsidRPr="006F01B2" w:rsidR="006F01B2">
              <w:rPr>
                <w:rFonts w:ascii="Arial" w:hAnsi="Arial" w:cs="Arial"/>
                <w:sz w:val="24"/>
                <w:szCs w:val="24"/>
                <w:lang w:val="fr-CA"/>
              </w:rPr>
              <w:t>éception de la demande d’</w:t>
            </w:r>
            <w:proofErr w:type="spellStart"/>
            <w:r w:rsidRPr="006F01B2" w:rsidR="006F01B2">
              <w:rPr>
                <w:rFonts w:ascii="Arial" w:hAnsi="Arial" w:cs="Arial"/>
                <w:sz w:val="24"/>
                <w:szCs w:val="24"/>
                <w:lang w:val="fr-CA"/>
              </w:rPr>
              <w:t>IgRh</w:t>
            </w:r>
            <w:proofErr w:type="spellEnd"/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0ECF" w:rsidR="00F207AF" w:rsidP="00F207AF" w:rsidRDefault="006F01B2" w14:paraId="11798E96" w14:textId="77777777">
            <w:pPr>
              <w:numPr>
                <w:ilvl w:val="1"/>
                <w:numId w:val="18"/>
              </w:numPr>
              <w:tabs>
                <w:tab w:val="clear" w:pos="1440"/>
              </w:tabs>
              <w:ind w:left="453" w:hanging="42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F01B2">
              <w:rPr>
                <w:rFonts w:ascii="Arial" w:hAnsi="Arial" w:cs="Arial"/>
                <w:sz w:val="24"/>
                <w:szCs w:val="24"/>
                <w:lang w:val="fr-CA"/>
              </w:rPr>
              <w:t>La demande</w:t>
            </w:r>
            <w:r w:rsidRPr="006F01B2" w:rsidR="00F207A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6F01B2">
              <w:rPr>
                <w:rFonts w:ascii="Arial" w:hAnsi="Arial"/>
                <w:color w:val="000000"/>
                <w:sz w:val="24"/>
                <w:lang w:val="fr-CA"/>
              </w:rPr>
              <w:t>doit comporter toutes les données requises sur la patiente, telles qu’elles figurent sur l’adressographe (nom, numéro d’identification, numéro d’assurance-maladie, date de naissance et nom du médecin)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. Les</w:t>
            </w:r>
            <w:r w:rsidRPr="006F01B2">
              <w:rPr>
                <w:rFonts w:ascii="Arial" w:hAnsi="Arial"/>
                <w:color w:val="000000"/>
                <w:sz w:val="24"/>
                <w:lang w:val="fr-CA"/>
              </w:rPr>
              <w:t xml:space="preserve"> renseignements supplémentaires requis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 xml:space="preserve"> sont</w:t>
            </w:r>
            <w:r w:rsidRPr="006F01B2">
              <w:rPr>
                <w:rFonts w:ascii="Arial" w:hAnsi="Arial"/>
                <w:color w:val="000000"/>
                <w:sz w:val="24"/>
                <w:lang w:val="fr-CA"/>
              </w:rPr>
              <w:t xml:space="preserve"> le groupe ABO et facteur Rh</w:t>
            </w:r>
            <w:r w:rsidRPr="00227D4C">
              <w:rPr>
                <w:rFonts w:ascii="Arial" w:hAnsi="Arial"/>
                <w:color w:val="000000"/>
                <w:sz w:val="24"/>
                <w:lang w:val="fr-CA"/>
              </w:rPr>
              <w:t xml:space="preserve"> de la patiente, le 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nom du professionnel de la santé prescripteur</w:t>
            </w:r>
            <w:r w:rsidRPr="00227D4C">
              <w:rPr>
                <w:rFonts w:ascii="Arial" w:hAnsi="Arial"/>
                <w:color w:val="000000"/>
                <w:sz w:val="24"/>
                <w:lang w:val="fr-CA"/>
              </w:rPr>
              <w:t xml:space="preserve"> et la dose prescrite. Passer la demande dans l’horodateur au moment de sa réception (ou inscrire manuellement la date et l’</w:t>
            </w:r>
            <w:r>
              <w:rPr>
                <w:rFonts w:ascii="Arial" w:hAnsi="Arial"/>
                <w:color w:val="000000"/>
                <w:sz w:val="24"/>
                <w:lang w:val="fr-CA"/>
              </w:rPr>
              <w:t>heure</w:t>
            </w:r>
            <w:r w:rsidRPr="00B10ECF" w:rsidR="00F207AF">
              <w:rPr>
                <w:rFonts w:ascii="Arial" w:hAnsi="Arial" w:cs="Arial"/>
                <w:sz w:val="24"/>
                <w:szCs w:val="24"/>
                <w:lang w:val="fr-CA"/>
              </w:rPr>
              <w:t>).</w:t>
            </w:r>
            <w:r w:rsidRPr="00B10ECF" w:rsidR="00F207AF">
              <w:rPr>
                <w:lang w:val="fr-CA"/>
              </w:rPr>
              <w:br/>
            </w:r>
          </w:p>
          <w:tbl>
            <w:tblPr>
              <w:tblW w:w="6941" w:type="dxa"/>
              <w:tblInd w:w="45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4766"/>
            </w:tblGrid>
            <w:tr w:rsidR="00F207AF" w:rsidTr="4C1A2E3B" w14:paraId="24E6A0C4" w14:textId="77777777">
              <w:tc>
                <w:tcPr>
                  <w:tcW w:w="2175" w:type="dxa"/>
                  <w:shd w:val="clear" w:color="auto" w:fill="auto"/>
                  <w:tcMar/>
                </w:tcPr>
                <w:p w:rsidRPr="005F6114" w:rsidR="00F207AF" w:rsidP="005F6114" w:rsidRDefault="0094277B" w14:paraId="7F5FDDE4" w14:textId="77777777">
                  <w:pPr>
                    <w:ind w:left="165"/>
                    <w:rPr>
                      <w:rFonts w:ascii="Arial" w:hAnsi="Arial" w:cs="Arial"/>
                      <w:i/>
                      <w:sz w:val="24"/>
                      <w:szCs w:val="24"/>
                      <w:lang w:val="fr-CA"/>
                    </w:rPr>
                  </w:pPr>
                  <w:r w:rsidRPr="005F611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Si…</w:t>
                  </w:r>
                </w:p>
              </w:tc>
              <w:tc>
                <w:tcPr>
                  <w:tcW w:w="4766" w:type="dxa"/>
                  <w:shd w:val="clear" w:color="auto" w:fill="auto"/>
                  <w:tcMar/>
                </w:tcPr>
                <w:p w:rsidRPr="005F6114" w:rsidR="00F207AF" w:rsidP="005F6114" w:rsidRDefault="0094277B" w14:paraId="1BD06605" w14:textId="77777777">
                  <w:pPr>
                    <w:ind w:left="77"/>
                    <w:rPr>
                      <w:rFonts w:ascii="Arial" w:hAnsi="Arial" w:cs="Arial"/>
                      <w:i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alors</w:t>
                  </w:r>
                  <w:proofErr w:type="gramEnd"/>
                  <w:r w:rsidRPr="005F611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fr-CA"/>
                    </w:rPr>
                    <w:t>…</w:t>
                  </w:r>
                </w:p>
              </w:tc>
            </w:tr>
            <w:tr w:rsidRPr="00B10ECF" w:rsidR="00F207AF" w:rsidTr="4C1A2E3B" w14:paraId="21B4EF3B" w14:textId="77777777">
              <w:tc>
                <w:tcPr>
                  <w:tcW w:w="2175" w:type="dxa"/>
                  <w:shd w:val="clear" w:color="auto" w:fill="auto"/>
                  <w:tcMar/>
                </w:tcPr>
                <w:p w:rsidRPr="005F6114" w:rsidR="00F207AF" w:rsidP="005F6114" w:rsidRDefault="00D310DC" w14:paraId="3EB2359A" w14:textId="77777777">
                  <w:pPr>
                    <w:ind w:left="165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la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patiente est hospitalisée,</w:t>
                  </w:r>
                </w:p>
              </w:tc>
              <w:tc>
                <w:tcPr>
                  <w:tcW w:w="4766" w:type="dxa"/>
                  <w:shd w:val="clear" w:color="auto" w:fill="auto"/>
                  <w:tcMar/>
                </w:tcPr>
                <w:p w:rsidRPr="005F6114" w:rsidR="00F207AF" w:rsidP="005F6114" w:rsidRDefault="00D310DC" w14:paraId="55BF29D7" w14:textId="77777777">
                  <w:pPr>
                    <w:ind w:right="452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la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demande peut être verbale (suivie d’une demande écrite), écrite ou entrée dans le SIL</w:t>
                  </w:r>
                  <w:r w:rsidRPr="005F6114" w:rsidR="00F207A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.</w:t>
                  </w:r>
                </w:p>
              </w:tc>
            </w:tr>
            <w:tr w:rsidR="00F207AF" w:rsidTr="4C1A2E3B" w14:paraId="6D64D970" w14:textId="77777777">
              <w:tc>
                <w:tcPr>
                  <w:tcW w:w="2175" w:type="dxa"/>
                  <w:shd w:val="clear" w:color="auto" w:fill="auto"/>
                  <w:tcMar/>
                </w:tcPr>
                <w:p w:rsidRPr="005F6114" w:rsidR="00F207AF" w:rsidP="005F6114" w:rsidRDefault="00D310DC" w14:paraId="354A60E8" w14:textId="77777777">
                  <w:pPr>
                    <w:ind w:left="165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la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patiente est en clinique externe, </w:t>
                  </w:r>
                </w:p>
              </w:tc>
              <w:tc>
                <w:tcPr>
                  <w:tcW w:w="4766" w:type="dxa"/>
                  <w:shd w:val="clear" w:color="auto" w:fill="auto"/>
                  <w:tcMar/>
                </w:tcPr>
                <w:p w:rsidRPr="005F6114" w:rsidR="00F207AF" w:rsidP="005F6114" w:rsidRDefault="00D310DC" w14:paraId="01748026" w14:textId="77777777">
                  <w:pPr>
                    <w:ind w:right="452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la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patiente apporte la demande d’</w:t>
                  </w:r>
                  <w:proofErr w:type="spell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IgRh</w:t>
                  </w:r>
                  <w:proofErr w:type="spell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obtenue au bureau du médecin ou de la sage-femme</w:t>
                  </w:r>
                  <w:r w:rsidRPr="005F6114" w:rsidR="00F207A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. </w:t>
                  </w:r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La demande peut être rédigée sur le calepin d’ordonnance du médecin ou un formulaire du ministère de la Santé. </w:t>
                  </w:r>
                  <w:r w:rsidRPr="005F6114" w:rsidR="004571C2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L’o</w:t>
                  </w:r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rdonnance ou </w:t>
                  </w:r>
                  <w:r w:rsidRPr="005F6114" w:rsidR="004571C2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le </w:t>
                  </w:r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formulaire doit être signé</w:t>
                  </w:r>
                  <w:r w:rsidRPr="005F6114" w:rsidR="00F207A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.</w:t>
                  </w:r>
                </w:p>
              </w:tc>
            </w:tr>
          </w:tbl>
          <w:p w:rsidRPr="00CB041A" w:rsidR="00F207AF" w:rsidP="00D310DC" w:rsidRDefault="00F207AF" w14:paraId="50F6A143" w14:textId="77777777">
            <w:pPr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2E46B4" w:rsidR="00F207AF" w:rsidDel="008025A0" w:rsidTr="4C1A2E3B" w14:paraId="63AAF717" w14:textId="77777777">
        <w:trPr>
          <w:trHeight w:val="462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07AF" w:rsidP="00F207AF" w:rsidRDefault="00F207AF" w14:paraId="1F3F220E" w14:textId="77777777">
            <w:pPr>
              <w:pStyle w:val="ListParagraph"/>
              <w:numPr>
                <w:ilvl w:val="0"/>
                <w:numId w:val="19"/>
              </w:numPr>
              <w:ind w:left="432" w:hanging="432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Pr="006F01B2" w:rsidR="00F207AF" w:rsidP="006F01B2" w:rsidRDefault="006F01B2" w14:paraId="540A3D57" w14:textId="77777777">
            <w:pPr>
              <w:pStyle w:val="ListParagraph"/>
              <w:ind w:left="149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F01B2">
              <w:rPr>
                <w:rFonts w:ascii="Arial" w:hAnsi="Arial" w:cs="Arial"/>
                <w:sz w:val="24"/>
                <w:szCs w:val="24"/>
                <w:lang w:val="fr-CA"/>
              </w:rPr>
              <w:t>Vérification de la demande</w:t>
            </w:r>
            <w:r w:rsidRPr="006F01B2" w:rsidR="00F207A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93610" w:rsidR="00F207AF" w:rsidP="00F207AF" w:rsidRDefault="0094277B" w14:paraId="27E00CAC" w14:textId="77777777">
            <w:pPr>
              <w:numPr>
                <w:ilvl w:val="0"/>
                <w:numId w:val="21"/>
              </w:numPr>
              <w:ind w:left="453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fr-CA"/>
              </w:rPr>
              <w:t>Une t</w:t>
            </w:r>
            <w:r w:rsidRPr="0002618B">
              <w:rPr>
                <w:rFonts w:ascii="Arial" w:hAnsi="Arial"/>
                <w:sz w:val="24"/>
                <w:lang w:val="fr-CA"/>
              </w:rPr>
              <w:t>echnolog</w:t>
            </w:r>
            <w:r>
              <w:rPr>
                <w:rFonts w:ascii="Arial" w:hAnsi="Arial"/>
                <w:sz w:val="24"/>
                <w:lang w:val="fr-CA"/>
              </w:rPr>
              <w:t>iste doit contrevérifier les résultats d’analyse, l’indication et les données sur le patient, puis confirmer que la dose est appropriée. Signer la demande pour documenter la vérification</w:t>
            </w:r>
            <w:r w:rsidR="00F207AF">
              <w:rPr>
                <w:rFonts w:ascii="Arial" w:hAnsi="Arial"/>
                <w:sz w:val="24"/>
              </w:rPr>
              <w:t>.</w:t>
            </w:r>
            <w:r w:rsidR="004571C2">
              <w:rPr>
                <w:rFonts w:ascii="Arial" w:hAnsi="Arial"/>
                <w:sz w:val="24"/>
              </w:rPr>
              <w:br/>
            </w:r>
            <w:r w:rsidR="004571C2">
              <w:rPr>
                <w:rFonts w:ascii="Arial" w:hAnsi="Arial" w:cs="Arial"/>
                <w:sz w:val="24"/>
                <w:szCs w:val="24"/>
              </w:rPr>
              <w:br/>
            </w:r>
          </w:p>
          <w:p w:rsidRPr="004571C2" w:rsidR="00F207AF" w:rsidP="00F207AF" w:rsidRDefault="004571C2" w14:paraId="5952E2B2" w14:textId="77777777">
            <w:pPr>
              <w:numPr>
                <w:ilvl w:val="0"/>
                <w:numId w:val="21"/>
              </w:numPr>
              <w:ind w:left="453" w:hanging="42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571C2">
              <w:rPr>
                <w:rFonts w:ascii="Arial" w:hAnsi="Arial" w:cs="Arial"/>
                <w:sz w:val="24"/>
                <w:szCs w:val="24"/>
                <w:lang w:val="fr-CA"/>
              </w:rPr>
              <w:t>Le tableau qui suit précise les indications et les doses d’</w:t>
            </w:r>
            <w:proofErr w:type="spellStart"/>
            <w:r w:rsidRPr="004571C2">
              <w:rPr>
                <w:rFonts w:ascii="Arial" w:hAnsi="Arial" w:cs="Arial"/>
                <w:sz w:val="24"/>
                <w:szCs w:val="24"/>
                <w:lang w:val="fr-CA"/>
              </w:rPr>
              <w:t>IgRh</w:t>
            </w:r>
            <w:proofErr w:type="spellEnd"/>
            <w:r w:rsidRPr="004571C2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4571C2" w:rsidR="00F207AF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:rsidRPr="004571C2" w:rsidR="00F207AF" w:rsidP="00D310DC" w:rsidRDefault="00F207AF" w14:paraId="5BCFBA0D" w14:textId="77777777">
            <w:pPr>
              <w:ind w:left="453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tbl>
            <w:tblPr>
              <w:tblW w:w="761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7"/>
              <w:gridCol w:w="2160"/>
            </w:tblGrid>
            <w:tr w:rsidRPr="00B10ECF" w:rsidR="00F207AF" w:rsidTr="4C1A2E3B" w14:paraId="5B491FD7" w14:textId="77777777">
              <w:trPr/>
              <w:tc>
                <w:tcPr>
                  <w:tcW w:w="5457" w:type="dxa"/>
                  <w:tcBorders>
                    <w:bottom w:val="nil"/>
                  </w:tcBorders>
                  <w:tcMar/>
                </w:tcPr>
                <w:p w:rsidR="00F207AF" w:rsidP="00D310DC" w:rsidRDefault="00F207AF" w14:paraId="4B217A6F" w14:textId="7777777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right" w:leader="do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INDICATION</w:t>
                  </w:r>
                </w:p>
              </w:tc>
              <w:tc>
                <w:tcPr>
                  <w:tcW w:w="2160" w:type="dxa"/>
                  <w:tcBorders>
                    <w:bottom w:val="nil"/>
                  </w:tcBorders>
                  <w:tcMar/>
                </w:tcPr>
                <w:p w:rsidRPr="00B10ECF" w:rsidR="00F207AF" w:rsidP="00D310DC" w:rsidRDefault="00F207AF" w14:paraId="5E62DBE0" w14:textId="77777777">
                  <w:pPr>
                    <w:tabs>
                      <w:tab w:val="right" w:leader="dot" w:pos="7920"/>
                    </w:tabs>
                    <w:jc w:val="center"/>
                    <w:rPr>
                      <w:rFonts w:ascii="Arial" w:hAnsi="Arial"/>
                      <w:sz w:val="24"/>
                      <w:lang w:val="fr-CA"/>
                    </w:rPr>
                  </w:pPr>
                  <w:r w:rsidRPr="00B10ECF">
                    <w:rPr>
                      <w:rFonts w:ascii="Arial" w:hAnsi="Arial"/>
                      <w:b/>
                      <w:sz w:val="24"/>
                      <w:lang w:val="fr-CA"/>
                    </w:rPr>
                    <w:t>DOSE IU /(</w:t>
                  </w:r>
                  <w:r>
                    <w:rPr>
                      <w:rFonts w:ascii="Symbol" w:hAnsi="Symbol" w:eastAsia="Symbol" w:cs="Symbol"/>
                      <w:b/>
                      <w:sz w:val="24"/>
                    </w:rPr>
                    <w:t></w:t>
                  </w:r>
                  <w:r w:rsidRPr="00B10ECF">
                    <w:rPr>
                      <w:rFonts w:ascii="Arial" w:hAnsi="Arial"/>
                      <w:b/>
                      <w:sz w:val="24"/>
                      <w:lang w:val="fr-CA"/>
                    </w:rPr>
                    <w:t>g)</w:t>
                  </w:r>
                  <w:r w:rsidRPr="00B10ECF">
                    <w:rPr>
                      <w:rFonts w:ascii="Arial" w:hAnsi="Arial"/>
                      <w:sz w:val="24"/>
                      <w:lang w:val="fr-CA"/>
                    </w:rPr>
                    <w:t xml:space="preserve"> </w:t>
                  </w:r>
                </w:p>
                <w:p w:rsidRPr="00B10ECF" w:rsidR="00F207AF" w:rsidP="006F01B2" w:rsidRDefault="00F207AF" w14:paraId="1199FB44" w14:textId="77777777">
                  <w:pPr>
                    <w:tabs>
                      <w:tab w:val="right" w:leader="dot" w:pos="7920"/>
                    </w:tabs>
                    <w:jc w:val="center"/>
                    <w:rPr>
                      <w:rFonts w:ascii="Arial" w:hAnsi="Arial"/>
                      <w:b/>
                      <w:sz w:val="24"/>
                      <w:lang w:val="fr-CA"/>
                    </w:rPr>
                  </w:pPr>
                  <w:r w:rsidRPr="00B10ECF">
                    <w:rPr>
                      <w:rFonts w:ascii="Arial" w:hAnsi="Arial"/>
                      <w:b/>
                      <w:i/>
                      <w:sz w:val="24"/>
                      <w:lang w:val="fr-CA"/>
                    </w:rPr>
                    <w:t xml:space="preserve">(IM </w:t>
                  </w:r>
                  <w:r w:rsidRPr="00B10ECF" w:rsidR="006F01B2">
                    <w:rPr>
                      <w:rFonts w:ascii="Arial" w:hAnsi="Arial"/>
                      <w:b/>
                      <w:i/>
                      <w:sz w:val="24"/>
                      <w:lang w:val="fr-CA"/>
                    </w:rPr>
                    <w:t>ou</w:t>
                  </w:r>
                  <w:r w:rsidRPr="00B10ECF">
                    <w:rPr>
                      <w:rFonts w:ascii="Arial" w:hAnsi="Arial"/>
                      <w:b/>
                      <w:i/>
                      <w:sz w:val="24"/>
                      <w:lang w:val="fr-CA"/>
                    </w:rPr>
                    <w:t xml:space="preserve"> IV)</w:t>
                  </w:r>
                </w:p>
              </w:tc>
            </w:tr>
            <w:tr w:rsidR="00F207AF" w:rsidTr="4C1A2E3B" w14:paraId="59E17DC4" w14:textId="77777777">
              <w:trPr/>
              <w:tc>
                <w:tcPr>
                  <w:tcW w:w="5457" w:type="dxa"/>
                  <w:shd w:val="clear" w:color="auto" w:fill="FFFFFF" w:themeFill="background1"/>
                  <w:tcMar/>
                </w:tcPr>
                <w:p w:rsidRPr="006F01B2" w:rsidR="00F207AF" w:rsidP="006F01B2" w:rsidRDefault="00F207AF" w14:paraId="1F576787" w14:textId="77777777">
                  <w:pPr>
                    <w:pStyle w:val="Heading7"/>
                    <w:tabs>
                      <w:tab w:val="right" w:leader="dot" w:pos="7920"/>
                    </w:tabs>
                    <w:rPr>
                      <w:lang w:val="fr-CA"/>
                    </w:rPr>
                  </w:pPr>
                  <w:r w:rsidRPr="006F01B2">
                    <w:rPr>
                      <w:lang w:val="fr-CA"/>
                    </w:rPr>
                    <w:t>Obst</w:t>
                  </w:r>
                  <w:r w:rsidRPr="006F01B2" w:rsidR="006F01B2">
                    <w:rPr>
                      <w:lang w:val="fr-CA"/>
                    </w:rPr>
                    <w:t>étrique</w:t>
                  </w:r>
                  <w:r w:rsidRPr="006F01B2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  <w:tcMar/>
                </w:tcPr>
                <w:p w:rsidRPr="006F01B2" w:rsidR="00F207AF" w:rsidP="00D310DC" w:rsidRDefault="00F207AF" w14:paraId="772B7983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</w:p>
              </w:tc>
            </w:tr>
            <w:tr w:rsidR="00F207AF" w:rsidTr="4C1A2E3B" w14:paraId="436A8BBB" w14:textId="77777777">
              <w:trPr/>
              <w:tc>
                <w:tcPr>
                  <w:tcW w:w="5457" w:type="dxa"/>
                  <w:tcMar/>
                </w:tcPr>
                <w:p w:rsidRPr="006F01B2" w:rsidR="00F207AF" w:rsidP="006F01B2" w:rsidRDefault="00F207AF" w14:paraId="3AA2A6B0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lang w:val="fr-CA"/>
                    </w:rPr>
                    <w:t xml:space="preserve">28 </w:t>
                  </w:r>
                  <w:r w:rsidRPr="006F01B2" w:rsidR="006F01B2">
                    <w:rPr>
                      <w:rFonts w:ascii="Arial" w:hAnsi="Arial"/>
                      <w:sz w:val="24"/>
                      <w:lang w:val="fr-CA"/>
                    </w:rPr>
                    <w:t>semaines de grossesse</w:t>
                  </w:r>
                </w:p>
              </w:tc>
              <w:tc>
                <w:tcPr>
                  <w:tcW w:w="2160" w:type="dxa"/>
                  <w:tcMar/>
                </w:tcPr>
                <w:p w:rsidRPr="006F01B2" w:rsidR="00F207AF" w:rsidP="00D310DC" w:rsidRDefault="00F207AF" w14:paraId="0CE189A7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lang w:val="fr-CA"/>
                    </w:rPr>
                    <w:t>1500 (300)</w:t>
                  </w:r>
                </w:p>
              </w:tc>
            </w:tr>
            <w:tr w:rsidR="00F207AF" w:rsidTr="4C1A2E3B" w14:paraId="0C2A4164" w14:textId="77777777">
              <w:trPr/>
              <w:tc>
                <w:tcPr>
                  <w:tcW w:w="5457" w:type="dxa"/>
                  <w:tcMar/>
                </w:tcPr>
                <w:p w:rsidRPr="006F01B2" w:rsidR="00F207AF" w:rsidP="006F01B2" w:rsidRDefault="006F01B2" w14:paraId="697F6A62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lang w:val="fr-CA"/>
                    </w:rPr>
                    <w:t>Risque imminent d’avortement</w:t>
                  </w:r>
                </w:p>
              </w:tc>
              <w:tc>
                <w:tcPr>
                  <w:tcW w:w="2160" w:type="dxa"/>
                  <w:tcMar/>
                </w:tcPr>
                <w:p w:rsidRPr="006F01B2" w:rsidR="00F207AF" w:rsidP="00D310DC" w:rsidRDefault="00F207AF" w14:paraId="58212F8E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lang w:val="fr-CA"/>
                    </w:rPr>
                    <w:t>1500 (300)</w:t>
                  </w:r>
                </w:p>
              </w:tc>
            </w:tr>
            <w:tr w:rsidR="00F207AF" w:rsidTr="4C1A2E3B" w14:paraId="00B28187" w14:textId="77777777">
              <w:trPr/>
              <w:tc>
                <w:tcPr>
                  <w:tcW w:w="5457" w:type="dxa"/>
                  <w:tcMar/>
                </w:tcPr>
                <w:p w:rsidRPr="006F01B2" w:rsidR="00F207AF" w:rsidP="006F01B2" w:rsidRDefault="006F01B2" w14:paraId="4C1B54E5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Amniocentèse</w:t>
                  </w:r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et prélèvement de villosité choriale </w:t>
                  </w:r>
                  <w:r w:rsidRPr="00AD2BE9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avant 34 semaines de grossesse</w:t>
                  </w:r>
                </w:p>
              </w:tc>
              <w:tc>
                <w:tcPr>
                  <w:tcW w:w="2160" w:type="dxa"/>
                  <w:tcMar/>
                </w:tcPr>
                <w:p w:rsidRPr="006F01B2" w:rsidR="00F207AF" w:rsidP="00D310DC" w:rsidRDefault="00F207AF" w14:paraId="4F94BE8A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</w:p>
                <w:p w:rsidRPr="006F01B2" w:rsidR="00F207AF" w:rsidP="00D310DC" w:rsidRDefault="00F207AF" w14:paraId="185E9CCF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lang w:val="fr-CA"/>
                    </w:rPr>
                    <w:t>1500 (300)</w:t>
                  </w:r>
                </w:p>
              </w:tc>
            </w:tr>
            <w:tr w:rsidR="00F207AF" w:rsidTr="4C1A2E3B" w14:paraId="1635CC5E" w14:textId="77777777">
              <w:trPr/>
              <w:tc>
                <w:tcPr>
                  <w:tcW w:w="5457" w:type="dxa"/>
                  <w:tcMar/>
                </w:tcPr>
                <w:p w:rsidRPr="006F01B2" w:rsidR="00F207AF" w:rsidP="006F01B2" w:rsidRDefault="006F01B2" w14:paraId="5B1FC0BA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Post-partum</w:t>
                  </w:r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si le nouveau-né est Rh positif ou de statut inconnu et que le résultat de la coloration de </w:t>
                  </w:r>
                  <w:proofErr w:type="spellStart"/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Kleihauer</w:t>
                  </w:r>
                  <w:proofErr w:type="spellEnd"/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est &lt; 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1</w:t>
                  </w:r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5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 </w:t>
                  </w:r>
                  <w:proofErr w:type="spellStart"/>
                  <w:r w:rsidRPr="00030405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m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L</w:t>
                  </w:r>
                  <w:proofErr w:type="spellEnd"/>
                </w:p>
              </w:tc>
              <w:tc>
                <w:tcPr>
                  <w:tcW w:w="2160" w:type="dxa"/>
                  <w:tcMar/>
                </w:tcPr>
                <w:p w:rsidRPr="006F01B2" w:rsidR="00F207AF" w:rsidP="00D310DC" w:rsidRDefault="00F207AF" w14:paraId="6C31919C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</w:p>
                <w:p w:rsidRPr="006F01B2" w:rsidR="00F207AF" w:rsidP="00D310DC" w:rsidRDefault="00F207AF" w14:paraId="44AC0482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lang w:val="fr-CA"/>
                    </w:rPr>
                    <w:t>1500 (300)</w:t>
                  </w:r>
                </w:p>
              </w:tc>
            </w:tr>
            <w:tr w:rsidRPr="00B10ECF" w:rsidR="00F207AF" w:rsidTr="4C1A2E3B" w14:paraId="3E12E52A" w14:textId="77777777">
              <w:trPr>
                <w:trHeight w:val="4092"/>
              </w:trPr>
              <w:tc>
                <w:tcPr>
                  <w:tcW w:w="5457" w:type="dxa"/>
                  <w:tcBorders>
                    <w:bottom w:val="nil"/>
                  </w:tcBorders>
                  <w:tcMar/>
                </w:tcPr>
                <w:p w:rsidRPr="006F01B2" w:rsidR="00F207AF" w:rsidP="00D310DC" w:rsidRDefault="0087662A" w14:paraId="28EDDD29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A</w:t>
                  </w:r>
                  <w:r w:rsidRPr="00030405" w:rsidR="006F01B2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vortement thérapeutique, amniocentèse ou autre </w:t>
                  </w:r>
                  <w:r w:rsidRPr="00493289" w:rsidR="006F01B2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manipulation après 34 semaines de grossesse</w:t>
                  </w:r>
                  <w:r w:rsidRPr="006F01B2"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br/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Menace d’avortement ou avortement</w:t>
                  </w:r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br/>
                  </w:r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&lt;12 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semaines de grossesse</w:t>
                  </w:r>
                </w:p>
                <w:p w:rsidRPr="006F01B2" w:rsidR="00F207AF" w:rsidP="00D310DC" w:rsidRDefault="001C5F4F" w14:paraId="484A2B69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Détresse fœtale quand l’épreuve d’HFM n’est pas fiable</w:t>
                  </w:r>
                </w:p>
                <w:p w:rsidRPr="006F01B2" w:rsidR="00F207AF" w:rsidP="00D310DC" w:rsidRDefault="00F207AF" w14:paraId="607039DA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Postpartum </w:t>
                  </w:r>
                  <w:r w:rsidR="001C5F4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si le nouveau-né est </w:t>
                  </w:r>
                  <w:proofErr w:type="spellStart"/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RhD</w:t>
                  </w:r>
                  <w:proofErr w:type="spellEnd"/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positi</w:t>
                  </w:r>
                  <w:r w:rsidR="001C5F4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f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, </w:t>
                  </w:r>
                  <w:r w:rsidR="001C5F4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y compris faiblement 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positi</w:t>
                  </w:r>
                  <w:r w:rsidR="001C5F4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f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</w:t>
                  </w:r>
                </w:p>
                <w:p w:rsidRPr="006F01B2" w:rsidR="00F207AF" w:rsidP="001C5F4F" w:rsidRDefault="0094277B" w14:paraId="4C6850D0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Saignement </w:t>
                  </w:r>
                  <w:r w:rsidR="001C5F4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vaginal continu </w:t>
                  </w:r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(</w:t>
                  </w:r>
                  <w:r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p. ex.</w:t>
                  </w:r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placenta </w:t>
                  </w:r>
                  <w:proofErr w:type="spellStart"/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previa</w:t>
                  </w:r>
                  <w:proofErr w:type="spellEnd"/>
                  <w:r w:rsidRPr="006F01B2" w:rsidR="00F207AF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)</w:t>
                  </w:r>
                </w:p>
              </w:tc>
              <w:tc>
                <w:tcPr>
                  <w:tcW w:w="2160" w:type="dxa"/>
                  <w:tcBorders>
                    <w:bottom w:val="nil"/>
                  </w:tcBorders>
                  <w:tcMar/>
                </w:tcPr>
                <w:p w:rsidRPr="006F01B2" w:rsidR="00F207AF" w:rsidP="00D310DC" w:rsidRDefault="00F207AF" w14:paraId="58F115A0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1500 (300)</w:t>
                  </w:r>
                </w:p>
                <w:p w:rsidRPr="006F01B2" w:rsidR="00F207AF" w:rsidP="00D310DC" w:rsidRDefault="00F207AF" w14:paraId="33D781B4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</w:p>
                <w:p w:rsidR="0087662A" w:rsidP="00D310DC" w:rsidRDefault="0087662A" w14:paraId="6D97A36A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</w:p>
                <w:p w:rsidRPr="006F01B2" w:rsidR="00F207AF" w:rsidP="00D310DC" w:rsidRDefault="00F207AF" w14:paraId="6D650F38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600</w:t>
                  </w:r>
                  <w:r w:rsidR="001822D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U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I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(</w:t>
                  </w:r>
                  <w:r w:rsidRPr="006F01B2">
                    <w:rPr>
                      <w:rFonts w:ascii="Arial" w:hAnsi="Arial"/>
                      <w:b/>
                      <w:bCs/>
                      <w:sz w:val="24"/>
                      <w:szCs w:val="24"/>
                      <w:lang w:val="fr-CA"/>
                    </w:rPr>
                    <w:t>120</w:t>
                  </w:r>
                  <w:r w:rsidR="006F01B2">
                    <w:rPr>
                      <w:rFonts w:ascii="Arial" w:hAnsi="Arial"/>
                      <w:b/>
                      <w:bCs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Symbol" w:hAnsi="Symbol" w:eastAsia="Symbol" w:cs="Symbol"/>
                      <w:sz w:val="24"/>
                      <w:szCs w:val="24"/>
                      <w:lang w:val="fr-CA"/>
                    </w:rPr>
                    <w:t>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g)</w:t>
                  </w:r>
                </w:p>
                <w:p w:rsidRPr="006F01B2" w:rsidR="00F207AF" w:rsidP="00D310DC" w:rsidRDefault="00F207AF" w14:paraId="5905BEF8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</w:p>
                <w:p w:rsidRPr="006F01B2" w:rsidR="00F207AF" w:rsidP="00D310DC" w:rsidRDefault="00F207AF" w14:paraId="4C7C1206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1500</w:t>
                  </w:r>
                  <w:r w:rsidR="001822D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U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I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(300</w:t>
                  </w:r>
                  <w:r w:rsidR="0094277B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Symbol" w:hAnsi="Symbol" w:eastAsia="Symbol" w:cs="Symbol"/>
                      <w:sz w:val="24"/>
                      <w:szCs w:val="24"/>
                      <w:lang w:val="fr-CA"/>
                    </w:rPr>
                    <w:t>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g))</w:t>
                  </w:r>
                </w:p>
                <w:p w:rsidR="001C5F4F" w:rsidP="00D310DC" w:rsidRDefault="001C5F4F" w14:paraId="4ECC5987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</w:p>
                <w:p w:rsidRPr="006F01B2" w:rsidR="00F207AF" w:rsidP="00D310DC" w:rsidRDefault="00F207AF" w14:paraId="109378B9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b/>
                      <w:bCs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600</w:t>
                  </w:r>
                  <w:r w:rsidR="001822D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U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I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(</w:t>
                  </w:r>
                  <w:r w:rsidRPr="006F01B2">
                    <w:rPr>
                      <w:rFonts w:ascii="Arial" w:hAnsi="Arial"/>
                      <w:b/>
                      <w:bCs/>
                      <w:sz w:val="24"/>
                      <w:szCs w:val="24"/>
                      <w:lang w:val="fr-CA"/>
                    </w:rPr>
                    <w:t>120</w:t>
                  </w:r>
                  <w:r w:rsidR="0094277B">
                    <w:rPr>
                      <w:rFonts w:ascii="Arial" w:hAnsi="Arial"/>
                      <w:b/>
                      <w:bCs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Symbol" w:hAnsi="Symbol" w:eastAsia="Symbol" w:cs="Symbol"/>
                      <w:sz w:val="24"/>
                      <w:szCs w:val="24"/>
                      <w:lang w:val="fr-CA"/>
                    </w:rPr>
                    <w:t>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g)</w:t>
                  </w:r>
                </w:p>
                <w:p w:rsidRPr="006F01B2" w:rsidR="00F207AF" w:rsidP="00D310DC" w:rsidRDefault="00F207AF" w14:paraId="048AFB2C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</w:p>
                <w:p w:rsidRPr="006F01B2" w:rsidR="00F207AF" w:rsidP="0087662A" w:rsidRDefault="00F207AF" w14:paraId="62D26FAB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  <w:lang w:val="fr-CA"/>
                    </w:rPr>
                  </w:pP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1500 U</w:t>
                  </w:r>
                  <w:r w:rsid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I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(300</w:t>
                  </w:r>
                  <w:r w:rsidR="0094277B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 </w:t>
                  </w:r>
                  <w:r w:rsidRPr="006F01B2">
                    <w:rPr>
                      <w:rFonts w:ascii="Symbol" w:hAnsi="Symbol" w:eastAsia="Symbol" w:cs="Symbol"/>
                      <w:sz w:val="24"/>
                      <w:szCs w:val="24"/>
                      <w:lang w:val="fr-CA"/>
                    </w:rPr>
                    <w:t></w:t>
                  </w:r>
                  <w:r w:rsidRPr="006F01B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g) </w:t>
                  </w:r>
                  <w:r w:rsidR="0094277B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à répéter après 6 semaines si le saignement </w:t>
                  </w:r>
                  <w:r w:rsidR="004571C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continue</w:t>
                  </w:r>
                  <w:r w:rsidR="001822D2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 </w:t>
                  </w:r>
                  <w:r w:rsidR="0094277B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; test de HFM au moins toutes les </w:t>
                  </w:r>
                  <w:r w:rsidR="0087662A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>2</w:t>
                  </w:r>
                  <w:r w:rsidR="0094277B">
                    <w:rPr>
                      <w:rFonts w:ascii="Arial" w:hAnsi="Arial"/>
                      <w:sz w:val="24"/>
                      <w:szCs w:val="24"/>
                      <w:lang w:val="fr-CA"/>
                    </w:rPr>
                    <w:t xml:space="preserve"> semaines</w:t>
                  </w:r>
                </w:p>
              </w:tc>
            </w:tr>
            <w:tr w:rsidR="00F207AF" w:rsidTr="4C1A2E3B" w14:paraId="5CB69DE6" w14:textId="77777777">
              <w:trPr/>
              <w:tc>
                <w:tcPr>
                  <w:tcW w:w="5457" w:type="dxa"/>
                  <w:shd w:val="clear" w:color="auto" w:fill="FFFFFF" w:themeFill="background1"/>
                  <w:tcMar/>
                </w:tcPr>
                <w:p w:rsidRPr="0094277B" w:rsidR="00F207AF" w:rsidP="0094277B" w:rsidRDefault="0094277B" w14:paraId="75EE4144" w14:textId="77777777">
                  <w:pPr>
                    <w:pStyle w:val="Heading7"/>
                    <w:tabs>
                      <w:tab w:val="right" w:leader="dot" w:pos="7920"/>
                    </w:tabs>
                    <w:rPr>
                      <w:lang w:val="fr-CA"/>
                    </w:rPr>
                  </w:pPr>
                  <w:r w:rsidRPr="0094277B">
                    <w:rPr>
                      <w:lang w:val="fr-CA"/>
                    </w:rPr>
                    <w:t>Prophylaxie</w:t>
                  </w:r>
                  <w:r w:rsidRPr="0094277B" w:rsidR="00F207AF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  <w:tcMar/>
                </w:tcPr>
                <w:p w:rsidRPr="0094277B" w:rsidR="00F207AF" w:rsidP="00D310DC" w:rsidRDefault="00F207AF" w14:paraId="504AB2B5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</w:p>
              </w:tc>
            </w:tr>
            <w:tr w:rsidRPr="00B10ECF" w:rsidR="00F207AF" w:rsidTr="4C1A2E3B" w14:paraId="548215BF" w14:textId="77777777">
              <w:trPr/>
              <w:tc>
                <w:tcPr>
                  <w:tcW w:w="5457" w:type="dxa"/>
                  <w:tcMar/>
                </w:tcPr>
                <w:p w:rsidRPr="0094277B" w:rsidR="00F207AF" w:rsidP="0087662A" w:rsidRDefault="0094277B" w14:paraId="64D459B8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94277B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Plaquettes Rh positif émises pour un receveur Rh négatif (les femmes Rh négatif en âge d’avoir des enfants devraient recevoir de l’</w:t>
                  </w:r>
                  <w:proofErr w:type="spellStart"/>
                  <w:r w:rsidRPr="0094277B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IgRh</w:t>
                  </w:r>
                  <w:proofErr w:type="spellEnd"/>
                  <w:r w:rsidRPr="0094277B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à la transfusion de plaquettes Rh positif pour éviter le risque de formation d’anticorps anti-D). Voir la remarque </w:t>
                  </w:r>
                  <w:r w:rsidR="0087662A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8</w:t>
                  </w:r>
                  <w:r w:rsidRPr="0094277B" w:rsidR="00F207AF">
                    <w:rPr>
                      <w:rFonts w:ascii="Arial" w:hAnsi="Arial"/>
                      <w:sz w:val="24"/>
                      <w:lang w:val="fr-CA"/>
                    </w:rPr>
                    <w:t>.5</w:t>
                  </w:r>
                  <w:r w:rsidRPr="0094277B">
                    <w:rPr>
                      <w:rFonts w:ascii="Arial" w:hAnsi="Arial"/>
                      <w:sz w:val="24"/>
                      <w:lang w:val="fr-CA"/>
                    </w:rPr>
                    <w:t>.</w:t>
                  </w:r>
                </w:p>
              </w:tc>
              <w:tc>
                <w:tcPr>
                  <w:tcW w:w="2160" w:type="dxa"/>
                  <w:tcMar/>
                </w:tcPr>
                <w:p w:rsidRPr="0094277B" w:rsidR="00F207AF" w:rsidP="00D310DC" w:rsidRDefault="00F207AF" w14:paraId="4182C787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lang w:val="fr-CA"/>
                    </w:rPr>
                  </w:pPr>
                  <w:r w:rsidRPr="0094277B">
                    <w:rPr>
                      <w:rFonts w:ascii="Arial" w:hAnsi="Arial"/>
                      <w:sz w:val="24"/>
                      <w:lang w:val="fr-CA"/>
                    </w:rPr>
                    <w:t>1500 (300)</w:t>
                  </w:r>
                </w:p>
                <w:p w:rsidRPr="0094277B" w:rsidR="00F207AF" w:rsidP="0094277B" w:rsidRDefault="0094277B" w14:paraId="512D5E28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vertAlign w:val="superscript"/>
                      <w:lang w:val="fr-CA"/>
                    </w:rPr>
                  </w:pPr>
                  <w:r w:rsidRPr="0094277B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Une seule dose devrait suffire pour de multiples transfusions de plaquettes pendant une période de 2 à 4 semaines</w:t>
                  </w:r>
                  <w:r w:rsidRPr="0094277B" w:rsidR="00F207AF">
                    <w:rPr>
                      <w:rFonts w:ascii="Arial" w:hAnsi="Arial"/>
                      <w:sz w:val="24"/>
                      <w:vertAlign w:val="superscript"/>
                      <w:lang w:val="fr-CA"/>
                    </w:rPr>
                    <w:t>10.3</w:t>
                  </w:r>
                  <w:r w:rsidRPr="0094277B">
                    <w:rPr>
                      <w:rFonts w:ascii="Arial" w:hAnsi="Arial"/>
                      <w:sz w:val="24"/>
                      <w:lang w:val="fr-CA"/>
                    </w:rPr>
                    <w:t>.</w:t>
                  </w:r>
                  <w:r w:rsidRPr="0094277B" w:rsidR="00F207AF">
                    <w:rPr>
                      <w:rFonts w:ascii="Arial" w:hAnsi="Arial"/>
                      <w:sz w:val="24"/>
                      <w:lang w:val="fr-CA"/>
                    </w:rPr>
                    <w:t xml:space="preserve"> </w:t>
                  </w:r>
                </w:p>
              </w:tc>
            </w:tr>
            <w:tr w:rsidR="00F207AF" w:rsidTr="4C1A2E3B" w14:paraId="2CC02AB8" w14:textId="77777777">
              <w:trPr/>
              <w:tc>
                <w:tcPr>
                  <w:tcW w:w="5457" w:type="dxa"/>
                  <w:shd w:val="clear" w:color="auto" w:fill="BFBFBF" w:themeFill="background1" w:themeFillShade="BF"/>
                  <w:tcMar/>
                </w:tcPr>
                <w:p w:rsidRPr="0094277B" w:rsidR="00F207AF" w:rsidP="0094277B" w:rsidRDefault="00F207AF" w14:paraId="1D892BD6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b/>
                      <w:sz w:val="24"/>
                      <w:lang w:val="af-ZA"/>
                    </w:rPr>
                  </w:pPr>
                  <w:r w:rsidRPr="0094277B">
                    <w:rPr>
                      <w:rFonts w:ascii="Arial" w:hAnsi="Arial"/>
                      <w:b/>
                      <w:sz w:val="24"/>
                      <w:lang w:val="af-ZA"/>
                    </w:rPr>
                    <w:t>Tra</w:t>
                  </w:r>
                  <w:r w:rsidRPr="0094277B" w:rsidR="0094277B">
                    <w:rPr>
                      <w:rFonts w:ascii="Arial" w:hAnsi="Arial"/>
                      <w:b/>
                      <w:sz w:val="24"/>
                      <w:lang w:val="af-ZA"/>
                    </w:rPr>
                    <w:t>i</w:t>
                  </w:r>
                  <w:r w:rsidRPr="0094277B">
                    <w:rPr>
                      <w:rFonts w:ascii="Arial" w:hAnsi="Arial"/>
                      <w:b/>
                      <w:sz w:val="24"/>
                      <w:lang w:val="af-ZA"/>
                    </w:rPr>
                    <w:t>t</w:t>
                  </w:r>
                  <w:r w:rsidRPr="0094277B" w:rsidR="0094277B">
                    <w:rPr>
                      <w:rFonts w:ascii="Arial" w:hAnsi="Arial"/>
                      <w:b/>
                      <w:sz w:val="24"/>
                      <w:lang w:val="af-ZA"/>
                    </w:rPr>
                    <w:t>e</w:t>
                  </w:r>
                  <w:r w:rsidRPr="0094277B">
                    <w:rPr>
                      <w:rFonts w:ascii="Arial" w:hAnsi="Arial"/>
                      <w:b/>
                      <w:sz w:val="24"/>
                      <w:lang w:val="af-ZA"/>
                    </w:rPr>
                    <w:t>ment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  <w:tcMar/>
                </w:tcPr>
                <w:p w:rsidR="00F207AF" w:rsidP="00D310DC" w:rsidRDefault="00F207AF" w14:paraId="3263765A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207AF" w:rsidTr="4C1A2E3B" w14:paraId="67D73FB6" w14:textId="77777777">
              <w:trPr/>
              <w:tc>
                <w:tcPr>
                  <w:tcW w:w="5457" w:type="dxa"/>
                  <w:tcMar/>
                </w:tcPr>
                <w:p w:rsidR="00F207AF" w:rsidP="0087662A" w:rsidRDefault="0094277B" w14:paraId="6333AE62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Patients </w:t>
                  </w:r>
                  <w:r w:rsidRPr="00A34F30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Rh 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p</w:t>
                  </w:r>
                  <w:r w:rsidRPr="00A34F30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ositif 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porteurs d’un diagnostic de </w:t>
                  </w:r>
                  <w:r w:rsidRPr="00A34F30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purpura thrombopénique idiopathique (PTI). </w:t>
                  </w:r>
                  <w:r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Voir la remarque </w:t>
                  </w:r>
                  <w:r w:rsidR="0087662A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8</w:t>
                  </w:r>
                  <w:r w:rsidR="00F207AF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  <w:r w:rsidRPr="4847426C" w:rsidR="00F207AF"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0" w:type="dxa"/>
                  <w:tcMar/>
                </w:tcPr>
                <w:p w:rsidR="00F207AF" w:rsidP="00D310DC" w:rsidRDefault="00F207AF" w14:paraId="50B5C1C3" w14:textId="77777777">
                  <w:pPr>
                    <w:tabs>
                      <w:tab w:val="right" w:leader="dot" w:pos="7920"/>
                    </w:tabs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5000 (1000)</w:t>
                  </w:r>
                </w:p>
              </w:tc>
            </w:tr>
          </w:tbl>
          <w:p w:rsidRPr="002E46B4" w:rsidR="00F207AF" w:rsidP="00D310DC" w:rsidRDefault="00F207AF" w14:paraId="47B41C35" w14:textId="77777777">
            <w:pPr>
              <w:ind w:left="453"/>
              <w:rPr>
                <w:rFonts w:ascii="Calibri" w:hAnsi="Calibri" w:cs="Calibri"/>
              </w:rPr>
            </w:pPr>
            <w:r>
              <w:br/>
            </w:r>
          </w:p>
        </w:tc>
      </w:tr>
      <w:tr w:rsidRPr="00B10ECF" w:rsidR="00F207AF" w:rsidDel="008025A0" w:rsidTr="4C1A2E3B" w14:paraId="17A222A6" w14:textId="77777777">
        <w:trPr>
          <w:trHeight w:val="494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02F9B" w:rsidR="00F207AF" w:rsidP="00F207AF" w:rsidRDefault="00F207AF" w14:paraId="30D62564" w14:textId="77777777">
            <w:pPr>
              <w:pStyle w:val="ListParagraph"/>
              <w:numPr>
                <w:ilvl w:val="0"/>
                <w:numId w:val="19"/>
              </w:numPr>
              <w:ind w:left="291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:rsidRPr="00502F9B" w:rsidR="00F207AF" w:rsidP="006F01B2" w:rsidRDefault="006F01B2" w14:paraId="226546B8" w14:textId="77777777">
            <w:pPr>
              <w:pStyle w:val="ListParagraph"/>
              <w:ind w:left="149"/>
              <w:contextualSpacing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>Mise en circulation de l’</w:t>
            </w:r>
            <w:proofErr w:type="spellStart"/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>IgRh</w:t>
            </w:r>
            <w:proofErr w:type="spellEnd"/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pPr w:leftFromText="180" w:rightFromText="180" w:vertAnchor="text" w:horzAnchor="margin" w:tblpXSpec="center" w:tblpY="612"/>
              <w:tblOverlap w:val="never"/>
              <w:tblW w:w="740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4241"/>
            </w:tblGrid>
            <w:tr w:rsidRPr="005F6114" w:rsidR="00F207AF" w:rsidTr="4C1A2E3B" w14:paraId="3A685639" w14:textId="77777777">
              <w:tc>
                <w:tcPr>
                  <w:tcW w:w="3165" w:type="dxa"/>
                  <w:shd w:val="clear" w:color="auto" w:fill="auto"/>
                  <w:tcMar/>
                </w:tcPr>
                <w:p w:rsidRPr="005F6114" w:rsidR="00F207AF" w:rsidP="00D310DC" w:rsidRDefault="00143260" w14:paraId="2256CF12" w14:textId="77777777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</w:pPr>
                  <w:r w:rsidRPr="005F6114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  <w:t>Si…</w:t>
                  </w:r>
                </w:p>
              </w:tc>
              <w:tc>
                <w:tcPr>
                  <w:tcW w:w="4241" w:type="dxa"/>
                  <w:shd w:val="clear" w:color="auto" w:fill="auto"/>
                  <w:tcMar/>
                </w:tcPr>
                <w:p w:rsidRPr="005F6114" w:rsidR="00F207AF" w:rsidP="0087662A" w:rsidRDefault="0087662A" w14:paraId="7752B14A" w14:textId="77777777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  <w:t>il</w:t>
                  </w:r>
                  <w:proofErr w:type="gramEnd"/>
                  <w:r w:rsidRPr="005F6114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  <w:t xml:space="preserve"> faut</w:t>
                  </w:r>
                  <w:r w:rsidRPr="005F6114" w:rsidR="00143260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fr-CA"/>
                    </w:rPr>
                    <w:t>…</w:t>
                  </w:r>
                </w:p>
              </w:tc>
            </w:tr>
            <w:tr w:rsidRPr="005F6114" w:rsidR="00F207AF" w:rsidTr="4C1A2E3B" w14:paraId="29EFDBCD" w14:textId="77777777">
              <w:tc>
                <w:tcPr>
                  <w:tcW w:w="3165" w:type="dxa"/>
                  <w:shd w:val="clear" w:color="auto" w:fill="auto"/>
                  <w:tcMar/>
                </w:tcPr>
                <w:p w:rsidRPr="005F6114" w:rsidR="00F207AF" w:rsidP="00D310DC" w:rsidRDefault="00143260" w14:paraId="4FC0A9BD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le</w:t>
                  </w:r>
                  <w:proofErr w:type="gramEnd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produit ne sera pas ramassé le même jour</w:t>
                  </w:r>
                  <w:r w:rsidRPr="005F6114" w:rsidR="001C5F4F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,</w:t>
                  </w:r>
                </w:p>
              </w:tc>
              <w:tc>
                <w:tcPr>
                  <w:tcW w:w="4241" w:type="dxa"/>
                  <w:shd w:val="clear" w:color="auto" w:fill="auto"/>
                  <w:tcMar/>
                </w:tcPr>
                <w:p w:rsidRPr="005F6114" w:rsidR="00143260" w:rsidP="00143260" w:rsidRDefault="00502F9B" w14:paraId="2D3C9A1E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r</w:t>
                  </w:r>
                  <w:r w:rsidRPr="005F6114" w:rsidR="00143260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éserver</w:t>
                  </w:r>
                  <w:proofErr w:type="gramEnd"/>
                  <w:r w:rsidRPr="005F6114" w:rsidR="00143260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le produit au nom du patient</w:t>
                  </w:r>
                  <w:r w:rsidRPr="005F6114" w:rsidR="00F207A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. </w:t>
                  </w:r>
                  <w:r w:rsidRPr="005F6114" w:rsidR="00143260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Il pourra être administré </w:t>
                  </w:r>
                </w:p>
                <w:p w:rsidRPr="005F6114" w:rsidR="00F207AF" w:rsidP="00143260" w:rsidRDefault="00143260" w14:paraId="08F13E4E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le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jour de sa collecte</w:t>
                  </w:r>
                  <w:r w:rsidRPr="005F6114" w:rsidR="00F207A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.</w:t>
                  </w:r>
                </w:p>
              </w:tc>
            </w:tr>
            <w:tr w:rsidRPr="005F6114" w:rsidR="00F207AF" w:rsidTr="4C1A2E3B" w14:paraId="2438B6E6" w14:textId="77777777">
              <w:tc>
                <w:tcPr>
                  <w:tcW w:w="3165" w:type="dxa"/>
                  <w:shd w:val="clear" w:color="auto" w:fill="auto"/>
                  <w:tcMar/>
                </w:tcPr>
                <w:p w:rsidRPr="005F6114" w:rsidR="00F207AF" w:rsidP="00502F9B" w:rsidRDefault="00502F9B" w14:paraId="71D01A6A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</w:t>
                  </w:r>
                  <w:r w:rsidRPr="005F6114" w:rsidR="001C5F4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e</w:t>
                  </w:r>
                  <w:proofErr w:type="gramEnd"/>
                  <w:r w:rsidRPr="005F6114" w:rsidR="001C5F4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produit n’est pas transfus</w:t>
                  </w:r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é</w:t>
                  </w:r>
                  <w:r w:rsidRPr="005F6114" w:rsidR="001C5F4F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après la collecte,</w:t>
                  </w:r>
                </w:p>
              </w:tc>
              <w:tc>
                <w:tcPr>
                  <w:tcW w:w="4241" w:type="dxa"/>
                  <w:shd w:val="clear" w:color="auto" w:fill="auto"/>
                  <w:tcMar/>
                </w:tcPr>
                <w:p w:rsidRPr="005F6114" w:rsidR="00F207AF" w:rsidP="00502F9B" w:rsidRDefault="00502F9B" w14:paraId="579257A2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en</w:t>
                  </w:r>
                  <w:proofErr w:type="gramEnd"/>
                  <w:r w:rsidRPr="005F6114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 aviser le LMT et voir à ce que le produit soit éliminé</w:t>
                  </w:r>
                </w:p>
              </w:tc>
            </w:tr>
            <w:tr w:rsidRPr="005F6114" w:rsidR="00F207AF" w:rsidTr="4C1A2E3B" w14:paraId="09BA2115" w14:textId="77777777">
              <w:tc>
                <w:tcPr>
                  <w:tcW w:w="3165" w:type="dxa"/>
                  <w:shd w:val="clear" w:color="auto" w:fill="auto"/>
                  <w:tcMar/>
                </w:tcPr>
                <w:p w:rsidRPr="005F6114" w:rsidR="00F207AF" w:rsidP="00D310DC" w:rsidRDefault="001C5F4F" w14:paraId="2ECD4F40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de</w:t>
                  </w:r>
                  <w:proofErr w:type="gramEnd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multiples fioles sont mises en circulation pour le bureau d’un médecin ou d’une sage-femme</w:t>
                  </w:r>
                </w:p>
              </w:tc>
              <w:tc>
                <w:tcPr>
                  <w:tcW w:w="4241" w:type="dxa"/>
                  <w:shd w:val="clear" w:color="auto" w:fill="auto"/>
                  <w:tcMar/>
                </w:tcPr>
                <w:p w:rsidRPr="005F6114" w:rsidR="001C5F4F" w:rsidP="00502F9B" w:rsidRDefault="001C5F4F" w14:paraId="15661ED9" w14:textId="77777777">
                  <w:pP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proofErr w:type="gramStart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s’assurer</w:t>
                  </w:r>
                  <w:proofErr w:type="gramEnd"/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 xml:space="preserve"> que toutes les fioles portent le même numéro de lot</w:t>
                  </w:r>
                  <w:r w:rsidRPr="005F6114" w:rsidR="00502F9B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, si possible</w:t>
                  </w:r>
                  <w:r w:rsidRPr="005F6114">
                    <w:rPr>
                      <w:rFonts w:ascii="Arial" w:hAnsi="Arial"/>
                      <w:color w:val="000000"/>
                      <w:sz w:val="24"/>
                      <w:lang w:val="fr-CA"/>
                    </w:rPr>
                    <w:t>.</w:t>
                  </w:r>
                </w:p>
              </w:tc>
            </w:tr>
          </w:tbl>
          <w:p w:rsidRPr="00502F9B" w:rsidR="00F207AF" w:rsidP="00F207AF" w:rsidRDefault="00143260" w14:paraId="4493E996" w14:textId="77777777">
            <w:pPr>
              <w:numPr>
                <w:ilvl w:val="0"/>
                <w:numId w:val="20"/>
              </w:numPr>
              <w:tabs>
                <w:tab w:val="clear" w:pos="1440"/>
              </w:tabs>
              <w:ind w:left="453" w:hanging="42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 xml:space="preserve">Le produit doit être entreposé entre </w:t>
            </w:r>
            <w:r w:rsidRPr="00502F9B" w:rsidR="00F207AF">
              <w:rPr>
                <w:rFonts w:ascii="Arial" w:hAnsi="Arial" w:cs="Arial"/>
                <w:sz w:val="24"/>
                <w:szCs w:val="24"/>
                <w:lang w:val="fr-CA"/>
              </w:rPr>
              <w:t>1</w:t>
            </w: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 xml:space="preserve"> et </w:t>
            </w:r>
            <w:r w:rsidRPr="00502F9B" w:rsidR="00F207AF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502F9B" w:rsidR="00F207AF">
              <w:rPr>
                <w:rFonts w:ascii="Symbol" w:hAnsi="Symbol" w:eastAsia="Symbol" w:cs="Symbol"/>
                <w:sz w:val="24"/>
                <w:szCs w:val="24"/>
                <w:lang w:val="fr-CA"/>
              </w:rPr>
              <w:t></w:t>
            </w:r>
            <w:r w:rsidRPr="00502F9B" w:rsidR="00F207AF">
              <w:rPr>
                <w:rFonts w:ascii="Arial" w:hAnsi="Arial" w:cs="Arial"/>
                <w:sz w:val="24"/>
                <w:szCs w:val="24"/>
                <w:lang w:val="fr-CA"/>
              </w:rPr>
              <w:t xml:space="preserve">C. </w:t>
            </w: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 xml:space="preserve">Le médecin ou la sage-femme doit </w:t>
            </w:r>
            <w:r w:rsidR="0087662A">
              <w:rPr>
                <w:rFonts w:ascii="Arial" w:hAnsi="Arial" w:cs="Arial"/>
                <w:sz w:val="24"/>
                <w:szCs w:val="24"/>
                <w:lang w:val="fr-CA"/>
              </w:rPr>
              <w:t>vérifier</w:t>
            </w:r>
            <w:r w:rsidRPr="00502F9B">
              <w:rPr>
                <w:rFonts w:ascii="Arial" w:hAnsi="Arial" w:cs="Arial"/>
                <w:sz w:val="24"/>
                <w:szCs w:val="24"/>
                <w:lang w:val="fr-CA"/>
              </w:rPr>
              <w:t xml:space="preserve"> que le produit a été bien entreposé</w:t>
            </w:r>
            <w:r w:rsidRPr="00502F9B" w:rsidR="00F207AF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Pr="00502F9B" w:rsidR="00F207AF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</w:p>
          <w:p w:rsidRPr="00502F9B" w:rsidR="00F207AF" w:rsidP="00143260" w:rsidRDefault="00143260" w14:paraId="7974F9DA" w14:textId="77777777">
            <w:pPr>
              <w:numPr>
                <w:ilvl w:val="0"/>
                <w:numId w:val="20"/>
              </w:numPr>
              <w:tabs>
                <w:tab w:val="clear" w:pos="1440"/>
              </w:tabs>
              <w:ind w:left="453" w:hanging="42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02F9B">
              <w:rPr>
                <w:rFonts w:ascii="Arial" w:hAnsi="Arial"/>
                <w:color w:val="000000"/>
                <w:sz w:val="24"/>
                <w:lang w:val="fr-CA"/>
              </w:rPr>
              <w:t>Mettre le produit en circulation. Voir GS.004 - Mise en circulation manuelle de sang, de composants sanguins et d</w:t>
            </w:r>
            <w:r w:rsidR="001822D2">
              <w:rPr>
                <w:rFonts w:ascii="Arial" w:hAnsi="Arial"/>
                <w:color w:val="000000"/>
                <w:sz w:val="24"/>
                <w:lang w:val="fr-CA"/>
              </w:rPr>
              <w:t>'</w:t>
            </w:r>
            <w:r w:rsidRPr="00502F9B">
              <w:rPr>
                <w:rFonts w:ascii="Arial" w:hAnsi="Arial"/>
                <w:color w:val="000000"/>
                <w:sz w:val="24"/>
                <w:lang w:val="fr-CA"/>
              </w:rPr>
              <w:t>autres produits connexes en se servant du registre de mise en circulation / de transfusion de produits sanguins.</w:t>
            </w:r>
          </w:p>
        </w:tc>
      </w:tr>
    </w:tbl>
    <w:p w:rsidRPr="0002618B" w:rsidR="0058239C" w:rsidP="00143260" w:rsidRDefault="0058239C" w14:paraId="4217F6EC" w14:textId="77777777">
      <w:pPr>
        <w:rPr>
          <w:rFonts w:ascii="Arial" w:hAnsi="Arial"/>
          <w:color w:val="000000"/>
          <w:sz w:val="24"/>
          <w:lang w:val="fr-CA"/>
        </w:rPr>
      </w:pPr>
    </w:p>
    <w:p w:rsidRPr="003C62BD" w:rsidR="0058239C" w:rsidP="000E7D50" w:rsidRDefault="0057561E" w14:paraId="2C68938D" w14:textId="77777777">
      <w:pPr>
        <w:numPr>
          <w:ilvl w:val="0"/>
          <w:numId w:val="24"/>
        </w:numPr>
        <w:rPr>
          <w:rFonts w:ascii="Arial" w:hAnsi="Arial"/>
          <w:b/>
          <w:color w:val="000000"/>
          <w:sz w:val="28"/>
          <w:lang w:val="fr-CA"/>
        </w:rPr>
      </w:pPr>
      <w:r w:rsidRPr="003C62BD">
        <w:rPr>
          <w:rFonts w:ascii="Arial" w:hAnsi="Arial"/>
          <w:b/>
          <w:color w:val="000000"/>
          <w:sz w:val="28"/>
          <w:lang w:val="fr-CA"/>
        </w:rPr>
        <w:t>Remarques</w:t>
      </w:r>
    </w:p>
    <w:p w:rsidRPr="003C62BD" w:rsidR="0058239C" w:rsidRDefault="0058239C" w14:paraId="42F15D91" w14:textId="77777777">
      <w:pPr>
        <w:rPr>
          <w:rFonts w:ascii="Arial" w:hAnsi="Arial"/>
          <w:color w:val="000000"/>
          <w:sz w:val="24"/>
          <w:lang w:val="fr-CA"/>
        </w:rPr>
      </w:pPr>
    </w:p>
    <w:p w:rsidRPr="0034430E" w:rsidR="0058239C" w:rsidP="0087662A" w:rsidRDefault="00493289" w14:paraId="409F593F" w14:textId="77777777">
      <w:pPr>
        <w:numPr>
          <w:ilvl w:val="1"/>
          <w:numId w:val="25"/>
        </w:numPr>
        <w:tabs>
          <w:tab w:val="right" w:leader="dot" w:pos="7920"/>
        </w:tabs>
        <w:rPr>
          <w:rFonts w:ascii="Arial" w:hAnsi="Arial"/>
          <w:color w:val="000000"/>
          <w:sz w:val="24"/>
          <w:lang w:val="fr-CA"/>
        </w:rPr>
      </w:pPr>
      <w:r w:rsidRPr="0034430E">
        <w:rPr>
          <w:rFonts w:ascii="Arial" w:hAnsi="Arial"/>
          <w:color w:val="000000"/>
          <w:sz w:val="24"/>
          <w:lang w:val="fr-CA"/>
        </w:rPr>
        <w:t xml:space="preserve">Une dose de </w:t>
      </w:r>
      <w:r w:rsidR="004D256B">
        <w:rPr>
          <w:rFonts w:ascii="Arial" w:hAnsi="Arial"/>
          <w:color w:val="000000"/>
          <w:sz w:val="24"/>
          <w:lang w:val="fr-CA"/>
        </w:rPr>
        <w:t>1000 UI (</w:t>
      </w:r>
      <w:r w:rsidRPr="0034430E">
        <w:rPr>
          <w:rFonts w:ascii="Arial" w:hAnsi="Arial"/>
          <w:color w:val="000000"/>
          <w:sz w:val="24"/>
          <w:lang w:val="fr-CA"/>
        </w:rPr>
        <w:t xml:space="preserve">300 </w:t>
      </w:r>
      <w:r w:rsidRPr="003C62BD" w:rsidR="0058239C">
        <w:rPr>
          <w:rFonts w:ascii="Symbol" w:hAnsi="Symbol" w:eastAsia="Symbol" w:cs="Symbol"/>
          <w:color w:val="000000"/>
          <w:sz w:val="24"/>
          <w:lang w:val="fr-CA"/>
        </w:rPr>
        <w:t>m</w:t>
      </w:r>
      <w:r w:rsidRPr="0034430E" w:rsidR="0058239C">
        <w:rPr>
          <w:rFonts w:ascii="Arial" w:hAnsi="Arial"/>
          <w:color w:val="000000"/>
          <w:sz w:val="24"/>
          <w:lang w:val="fr-CA"/>
        </w:rPr>
        <w:t>g</w:t>
      </w:r>
      <w:r w:rsidR="004D256B">
        <w:rPr>
          <w:rFonts w:ascii="Arial" w:hAnsi="Arial"/>
          <w:color w:val="000000"/>
          <w:sz w:val="24"/>
          <w:lang w:val="fr-CA"/>
        </w:rPr>
        <w:t>)</w:t>
      </w:r>
      <w:r w:rsidRPr="0034430E" w:rsidR="0058239C">
        <w:rPr>
          <w:rFonts w:ascii="Arial" w:hAnsi="Arial"/>
          <w:color w:val="000000"/>
          <w:sz w:val="24"/>
          <w:lang w:val="fr-CA"/>
        </w:rPr>
        <w:t xml:space="preserve"> </w:t>
      </w:r>
      <w:r w:rsidRPr="0034430E">
        <w:rPr>
          <w:rFonts w:ascii="Arial" w:hAnsi="Arial"/>
          <w:color w:val="000000"/>
          <w:sz w:val="24"/>
          <w:lang w:val="fr-CA"/>
        </w:rPr>
        <w:t>d’</w:t>
      </w:r>
      <w:proofErr w:type="spellStart"/>
      <w:r w:rsidRPr="0034430E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Pr="0034430E">
        <w:rPr>
          <w:rFonts w:ascii="Arial" w:hAnsi="Arial"/>
          <w:color w:val="000000"/>
          <w:sz w:val="24"/>
          <w:lang w:val="fr-CA"/>
        </w:rPr>
        <w:t xml:space="preserve"> suffit à prévenir l’allo</w:t>
      </w:r>
      <w:r w:rsidR="004D256B">
        <w:rPr>
          <w:rFonts w:ascii="Arial" w:hAnsi="Arial"/>
          <w:color w:val="000000"/>
          <w:sz w:val="24"/>
          <w:lang w:val="fr-CA"/>
        </w:rPr>
        <w:t>-</w:t>
      </w:r>
      <w:r w:rsidRPr="0034430E">
        <w:rPr>
          <w:rFonts w:ascii="Arial" w:hAnsi="Arial"/>
          <w:color w:val="000000"/>
          <w:sz w:val="24"/>
          <w:lang w:val="fr-CA"/>
        </w:rPr>
        <w:t xml:space="preserve">immunisation après un accouchement dans 99 % des cas. Cette dose de </w:t>
      </w:r>
      <w:r w:rsidR="004D256B">
        <w:rPr>
          <w:rFonts w:ascii="Arial" w:hAnsi="Arial"/>
          <w:color w:val="000000"/>
          <w:sz w:val="24"/>
          <w:lang w:val="fr-CA"/>
        </w:rPr>
        <w:t>1500 UI</w:t>
      </w:r>
      <w:r w:rsidRPr="0034430E" w:rsidR="0058239C">
        <w:rPr>
          <w:rFonts w:ascii="Arial" w:hAnsi="Arial"/>
          <w:color w:val="000000"/>
          <w:sz w:val="24"/>
          <w:lang w:val="fr-CA"/>
        </w:rPr>
        <w:t xml:space="preserve"> d</w:t>
      </w:r>
      <w:r w:rsidRPr="0034430E" w:rsidR="003C62BD">
        <w:rPr>
          <w:rFonts w:ascii="Arial" w:hAnsi="Arial"/>
          <w:color w:val="000000"/>
          <w:sz w:val="24"/>
          <w:lang w:val="fr-CA"/>
        </w:rPr>
        <w:t xml:space="preserve">evrait assurer une protection contre une exposition à </w:t>
      </w:r>
      <w:r w:rsidRPr="0034430E" w:rsidR="0058239C">
        <w:rPr>
          <w:rFonts w:ascii="Arial" w:hAnsi="Arial"/>
          <w:color w:val="000000"/>
          <w:sz w:val="24"/>
          <w:lang w:val="fr-CA"/>
        </w:rPr>
        <w:t>1</w:t>
      </w:r>
      <w:r w:rsidRPr="0034430E" w:rsidR="0034430E">
        <w:rPr>
          <w:rFonts w:ascii="Arial" w:hAnsi="Arial"/>
          <w:color w:val="000000"/>
          <w:sz w:val="24"/>
          <w:lang w:val="fr-CA"/>
        </w:rPr>
        <w:t>5</w:t>
      </w:r>
      <w:r w:rsidRPr="0034430E" w:rsidR="003C62BD">
        <w:rPr>
          <w:rFonts w:ascii="Arial" w:hAnsi="Arial"/>
          <w:color w:val="000000"/>
          <w:sz w:val="24"/>
          <w:lang w:val="fr-CA"/>
        </w:rPr>
        <w:t> </w:t>
      </w:r>
      <w:r w:rsidRPr="0034430E" w:rsidR="0058239C">
        <w:rPr>
          <w:rFonts w:ascii="Arial" w:hAnsi="Arial"/>
          <w:color w:val="000000"/>
          <w:sz w:val="24"/>
          <w:lang w:val="fr-CA"/>
        </w:rPr>
        <w:t xml:space="preserve">mL </w:t>
      </w:r>
      <w:r w:rsidRPr="0034430E" w:rsidR="003C62BD">
        <w:rPr>
          <w:rFonts w:ascii="Arial" w:hAnsi="Arial"/>
          <w:color w:val="000000"/>
          <w:sz w:val="24"/>
          <w:lang w:val="fr-CA"/>
        </w:rPr>
        <w:t xml:space="preserve">de </w:t>
      </w:r>
      <w:r w:rsidRPr="0034430E" w:rsidR="0034430E">
        <w:rPr>
          <w:rFonts w:ascii="Arial" w:hAnsi="Arial"/>
          <w:color w:val="000000"/>
          <w:sz w:val="24"/>
          <w:lang w:val="fr-CA"/>
        </w:rPr>
        <w:t xml:space="preserve">globules rouges </w:t>
      </w:r>
      <w:r w:rsidRPr="0034430E" w:rsidR="0058239C">
        <w:rPr>
          <w:rFonts w:ascii="Arial" w:hAnsi="Arial"/>
          <w:color w:val="000000"/>
          <w:sz w:val="24"/>
          <w:lang w:val="fr-CA"/>
        </w:rPr>
        <w:t>Rh positi</w:t>
      </w:r>
      <w:r w:rsidRPr="0034430E" w:rsidR="003C62BD">
        <w:rPr>
          <w:rFonts w:ascii="Arial" w:hAnsi="Arial"/>
          <w:color w:val="000000"/>
          <w:sz w:val="24"/>
          <w:lang w:val="fr-CA"/>
        </w:rPr>
        <w:t>f</w:t>
      </w:r>
      <w:r w:rsidRPr="0034430E" w:rsidR="0034430E">
        <w:rPr>
          <w:rFonts w:ascii="Arial" w:hAnsi="Arial"/>
          <w:color w:val="000000"/>
          <w:sz w:val="24"/>
          <w:lang w:val="fr-CA"/>
        </w:rPr>
        <w:t xml:space="preserve"> (</w:t>
      </w:r>
      <w:r w:rsidR="0034430E">
        <w:rPr>
          <w:rFonts w:ascii="Arial" w:hAnsi="Arial"/>
          <w:color w:val="000000"/>
          <w:sz w:val="24"/>
          <w:lang w:val="fr-CA"/>
        </w:rPr>
        <w:t>à peu près 30</w:t>
      </w:r>
      <w:r w:rsidR="007E02DE">
        <w:rPr>
          <w:rFonts w:ascii="Arial" w:hAnsi="Arial"/>
          <w:color w:val="000000"/>
          <w:sz w:val="24"/>
          <w:lang w:val="fr-CA"/>
        </w:rPr>
        <w:t> </w:t>
      </w:r>
      <w:proofErr w:type="spellStart"/>
      <w:r w:rsidR="0034430E">
        <w:rPr>
          <w:rFonts w:ascii="Arial" w:hAnsi="Arial"/>
          <w:color w:val="000000"/>
          <w:sz w:val="24"/>
          <w:lang w:val="fr-CA"/>
        </w:rPr>
        <w:t>mL</w:t>
      </w:r>
      <w:proofErr w:type="spellEnd"/>
      <w:r w:rsidR="0034430E">
        <w:rPr>
          <w:rFonts w:ascii="Arial" w:hAnsi="Arial"/>
          <w:color w:val="000000"/>
          <w:sz w:val="24"/>
          <w:lang w:val="fr-CA"/>
        </w:rPr>
        <w:t xml:space="preserve"> de sang </w:t>
      </w:r>
      <w:r w:rsidR="0068543F">
        <w:rPr>
          <w:rFonts w:ascii="Arial" w:hAnsi="Arial"/>
          <w:color w:val="000000"/>
          <w:sz w:val="24"/>
          <w:lang w:val="fr-CA"/>
        </w:rPr>
        <w:t xml:space="preserve">fœtal </w:t>
      </w:r>
      <w:r w:rsidR="00E76DA8">
        <w:rPr>
          <w:rFonts w:ascii="Arial" w:hAnsi="Arial"/>
          <w:color w:val="000000"/>
          <w:sz w:val="24"/>
          <w:lang w:val="fr-CA"/>
        </w:rPr>
        <w:t>entier</w:t>
      </w:r>
      <w:r w:rsidR="0034430E">
        <w:rPr>
          <w:rFonts w:ascii="Arial" w:hAnsi="Arial"/>
          <w:color w:val="000000"/>
          <w:sz w:val="24"/>
          <w:lang w:val="fr-CA"/>
        </w:rPr>
        <w:t>)</w:t>
      </w:r>
      <w:r w:rsidR="000E7D50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="004D256B">
        <w:rPr>
          <w:rFonts w:ascii="Arial" w:hAnsi="Arial"/>
          <w:color w:val="000000"/>
          <w:sz w:val="24"/>
          <w:vertAlign w:val="superscript"/>
          <w:lang w:val="fr-CA"/>
        </w:rPr>
        <w:t>.2</w:t>
      </w:r>
      <w:r w:rsidRPr="0034430E" w:rsidR="0058239C">
        <w:rPr>
          <w:rFonts w:ascii="Arial" w:hAnsi="Arial"/>
          <w:color w:val="000000"/>
          <w:sz w:val="24"/>
          <w:lang w:val="fr-CA"/>
        </w:rPr>
        <w:t xml:space="preserve">. </w:t>
      </w:r>
      <w:r w:rsidR="0068543F">
        <w:rPr>
          <w:rFonts w:ascii="Arial" w:hAnsi="Arial"/>
          <w:color w:val="000000"/>
          <w:sz w:val="24"/>
          <w:lang w:val="fr-CA"/>
        </w:rPr>
        <w:t xml:space="preserve">Une dose de </w:t>
      </w:r>
      <w:r w:rsidR="004D256B">
        <w:rPr>
          <w:rFonts w:ascii="Arial" w:hAnsi="Arial"/>
          <w:color w:val="000000"/>
          <w:sz w:val="24"/>
          <w:lang w:val="fr-CA"/>
        </w:rPr>
        <w:t>600 UI (1</w:t>
      </w:r>
      <w:r w:rsidR="0068543F">
        <w:rPr>
          <w:rFonts w:ascii="Arial" w:hAnsi="Arial"/>
          <w:color w:val="000000"/>
          <w:sz w:val="24"/>
          <w:lang w:val="fr-CA"/>
        </w:rPr>
        <w:t>20 </w:t>
      </w:r>
      <w:r w:rsidRPr="003C62BD" w:rsidR="004D256B">
        <w:rPr>
          <w:rFonts w:ascii="Symbol" w:hAnsi="Symbol" w:eastAsia="Symbol" w:cs="Symbol"/>
          <w:color w:val="000000"/>
          <w:sz w:val="24"/>
          <w:lang w:val="fr-CA"/>
        </w:rPr>
        <w:t>m</w:t>
      </w:r>
      <w:r w:rsidR="004D256B">
        <w:rPr>
          <w:rFonts w:ascii="Arial" w:hAnsi="Arial"/>
          <w:color w:val="000000"/>
          <w:sz w:val="24"/>
          <w:lang w:val="fr-CA"/>
        </w:rPr>
        <w:t>g)</w:t>
      </w:r>
      <w:r w:rsidR="0068543F">
        <w:rPr>
          <w:rFonts w:ascii="Arial" w:hAnsi="Arial"/>
          <w:color w:val="000000"/>
          <w:sz w:val="24"/>
          <w:lang w:val="fr-CA"/>
        </w:rPr>
        <w:t xml:space="preserve"> </w:t>
      </w:r>
      <w:r w:rsidR="00E76DA8">
        <w:rPr>
          <w:rFonts w:ascii="Arial" w:hAnsi="Arial"/>
          <w:color w:val="000000"/>
          <w:sz w:val="24"/>
          <w:lang w:val="fr-CA"/>
        </w:rPr>
        <w:t>neutralise</w:t>
      </w:r>
      <w:r w:rsidR="0068543F">
        <w:rPr>
          <w:rFonts w:ascii="Arial" w:hAnsi="Arial"/>
          <w:color w:val="000000"/>
          <w:sz w:val="24"/>
          <w:lang w:val="fr-CA"/>
        </w:rPr>
        <w:t xml:space="preserve"> 6 </w:t>
      </w:r>
      <w:proofErr w:type="spellStart"/>
      <w:r w:rsidR="0068543F">
        <w:rPr>
          <w:rFonts w:ascii="Arial" w:hAnsi="Arial"/>
          <w:color w:val="000000"/>
          <w:sz w:val="24"/>
          <w:lang w:val="fr-CA"/>
        </w:rPr>
        <w:t>mL</w:t>
      </w:r>
      <w:proofErr w:type="spellEnd"/>
      <w:r w:rsidR="0068543F">
        <w:rPr>
          <w:rFonts w:ascii="Arial" w:hAnsi="Arial"/>
          <w:color w:val="000000"/>
          <w:sz w:val="24"/>
          <w:lang w:val="fr-CA"/>
        </w:rPr>
        <w:t xml:space="preserve"> de globules rouges (environ 12 </w:t>
      </w:r>
      <w:proofErr w:type="spellStart"/>
      <w:r w:rsidR="0068543F">
        <w:rPr>
          <w:rFonts w:ascii="Arial" w:hAnsi="Arial"/>
          <w:color w:val="000000"/>
          <w:sz w:val="24"/>
          <w:lang w:val="fr-CA"/>
        </w:rPr>
        <w:t>mL</w:t>
      </w:r>
      <w:proofErr w:type="spellEnd"/>
      <w:r w:rsidR="0068543F">
        <w:rPr>
          <w:rFonts w:ascii="Arial" w:hAnsi="Arial"/>
          <w:color w:val="000000"/>
          <w:sz w:val="24"/>
          <w:lang w:val="fr-CA"/>
        </w:rPr>
        <w:t xml:space="preserve"> de </w:t>
      </w:r>
      <w:r w:rsidR="00E76DA8">
        <w:rPr>
          <w:rFonts w:ascii="Arial" w:hAnsi="Arial"/>
          <w:color w:val="000000"/>
          <w:sz w:val="24"/>
          <w:lang w:val="fr-CA"/>
        </w:rPr>
        <w:t>s</w:t>
      </w:r>
      <w:r w:rsidR="0068543F">
        <w:rPr>
          <w:rFonts w:ascii="Arial" w:hAnsi="Arial"/>
          <w:color w:val="000000"/>
          <w:sz w:val="24"/>
          <w:lang w:val="fr-CA"/>
        </w:rPr>
        <w:t>an</w:t>
      </w:r>
      <w:r w:rsidR="00E76DA8">
        <w:rPr>
          <w:rFonts w:ascii="Arial" w:hAnsi="Arial"/>
          <w:color w:val="000000"/>
          <w:sz w:val="24"/>
          <w:lang w:val="fr-CA"/>
        </w:rPr>
        <w:t>g entier</w:t>
      </w:r>
      <w:r w:rsidR="0068543F">
        <w:rPr>
          <w:rFonts w:ascii="Arial" w:hAnsi="Arial"/>
          <w:color w:val="000000"/>
          <w:sz w:val="24"/>
          <w:lang w:val="fr-CA"/>
        </w:rPr>
        <w:t>) et protège pendant environ 21</w:t>
      </w:r>
      <w:r w:rsidR="007E02DE">
        <w:rPr>
          <w:rFonts w:ascii="Arial" w:hAnsi="Arial"/>
          <w:color w:val="000000"/>
          <w:sz w:val="24"/>
          <w:lang w:val="fr-CA"/>
        </w:rPr>
        <w:t> </w:t>
      </w:r>
      <w:r w:rsidR="0068543F">
        <w:rPr>
          <w:rFonts w:ascii="Arial" w:hAnsi="Arial"/>
          <w:color w:val="000000"/>
          <w:sz w:val="24"/>
          <w:lang w:val="fr-CA"/>
        </w:rPr>
        <w:t>jours.</w:t>
      </w:r>
    </w:p>
    <w:p w:rsidRPr="003C62BD" w:rsidR="0058239C" w:rsidRDefault="0058239C" w14:paraId="3C2F89FF" w14:textId="77777777">
      <w:pPr>
        <w:tabs>
          <w:tab w:val="right" w:leader="dot" w:pos="7920"/>
        </w:tabs>
        <w:ind w:left="720"/>
        <w:rPr>
          <w:rFonts w:ascii="Arial" w:hAnsi="Arial"/>
          <w:color w:val="000000"/>
          <w:sz w:val="24"/>
          <w:lang w:val="fr-CA"/>
        </w:rPr>
      </w:pPr>
    </w:p>
    <w:p w:rsidRPr="003C62BD" w:rsidR="0058239C" w:rsidP="0087662A" w:rsidRDefault="0058239C" w14:paraId="06CDD9C0" w14:textId="77777777">
      <w:pPr>
        <w:numPr>
          <w:ilvl w:val="1"/>
          <w:numId w:val="25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R</w:t>
      </w:r>
      <w:r w:rsidR="009D04D5">
        <w:rPr>
          <w:rFonts w:ascii="Arial" w:hAnsi="Arial"/>
          <w:color w:val="000000"/>
          <w:sz w:val="24"/>
          <w:lang w:val="fr-CA"/>
        </w:rPr>
        <w:t xml:space="preserve">écupérer </w:t>
      </w:r>
      <w:r w:rsidR="003C62BD">
        <w:rPr>
          <w:rFonts w:ascii="Arial" w:hAnsi="Arial"/>
          <w:color w:val="000000"/>
          <w:sz w:val="24"/>
          <w:lang w:val="fr-CA"/>
        </w:rPr>
        <w:t>le dossier de la patiente</w:t>
      </w:r>
      <w:r w:rsidRPr="003C62BD">
        <w:rPr>
          <w:rFonts w:ascii="Arial" w:hAnsi="Arial"/>
          <w:color w:val="000000"/>
          <w:sz w:val="24"/>
          <w:lang w:val="fr-CA"/>
        </w:rPr>
        <w:t xml:space="preserve">. </w:t>
      </w:r>
      <w:r w:rsidR="003C62BD">
        <w:rPr>
          <w:rFonts w:ascii="Arial" w:hAnsi="Arial"/>
          <w:color w:val="000000"/>
          <w:sz w:val="24"/>
          <w:lang w:val="fr-CA"/>
        </w:rPr>
        <w:t xml:space="preserve">S’assurer de la concordance de toutes les données sur la </w:t>
      </w:r>
      <w:r w:rsidR="00DB3CE8">
        <w:rPr>
          <w:rFonts w:ascii="Arial" w:hAnsi="Arial"/>
          <w:color w:val="000000"/>
          <w:sz w:val="24"/>
          <w:lang w:val="fr-CA"/>
        </w:rPr>
        <w:t>patiente</w:t>
      </w:r>
      <w:r w:rsidRPr="003C62BD">
        <w:rPr>
          <w:rFonts w:ascii="Arial" w:hAnsi="Arial"/>
          <w:color w:val="000000"/>
          <w:sz w:val="24"/>
          <w:lang w:val="fr-CA"/>
        </w:rPr>
        <w:t xml:space="preserve">. </w:t>
      </w:r>
      <w:r w:rsidR="003C62BD">
        <w:rPr>
          <w:rFonts w:ascii="Arial" w:hAnsi="Arial"/>
          <w:color w:val="000000"/>
          <w:sz w:val="24"/>
          <w:lang w:val="fr-CA"/>
        </w:rPr>
        <w:t>S’</w:t>
      </w:r>
      <w:r w:rsidR="00493289">
        <w:rPr>
          <w:rFonts w:ascii="Arial" w:hAnsi="Arial"/>
          <w:color w:val="000000"/>
          <w:sz w:val="24"/>
          <w:lang w:val="fr-CA"/>
        </w:rPr>
        <w:t>i</w:t>
      </w:r>
      <w:r w:rsidR="003C62BD">
        <w:rPr>
          <w:rFonts w:ascii="Arial" w:hAnsi="Arial"/>
          <w:color w:val="000000"/>
          <w:sz w:val="24"/>
          <w:lang w:val="fr-CA"/>
        </w:rPr>
        <w:t xml:space="preserve">l s’agit d’une demande </w:t>
      </w:r>
      <w:r w:rsidRPr="003C62BD">
        <w:rPr>
          <w:rFonts w:ascii="Arial" w:hAnsi="Arial"/>
          <w:color w:val="000000"/>
          <w:sz w:val="24"/>
          <w:lang w:val="fr-CA"/>
        </w:rPr>
        <w:t>post</w:t>
      </w:r>
      <w:r w:rsidR="003C62BD">
        <w:rPr>
          <w:rFonts w:ascii="Arial" w:hAnsi="Arial"/>
          <w:color w:val="000000"/>
          <w:sz w:val="24"/>
          <w:lang w:val="fr-CA"/>
        </w:rPr>
        <w:t>-</w:t>
      </w:r>
      <w:r w:rsidRPr="003C62BD">
        <w:rPr>
          <w:rFonts w:ascii="Arial" w:hAnsi="Arial"/>
          <w:color w:val="000000"/>
          <w:sz w:val="24"/>
          <w:lang w:val="fr-CA"/>
        </w:rPr>
        <w:t>partum</w:t>
      </w:r>
      <w:r w:rsidR="003C62BD">
        <w:rPr>
          <w:rFonts w:ascii="Arial" w:hAnsi="Arial"/>
          <w:color w:val="000000"/>
          <w:sz w:val="24"/>
          <w:lang w:val="fr-CA"/>
        </w:rPr>
        <w:t xml:space="preserve">, confirmer que le nouveau-né est </w:t>
      </w:r>
      <w:r w:rsidRPr="003C62BD">
        <w:rPr>
          <w:rFonts w:ascii="Arial" w:hAnsi="Arial"/>
          <w:color w:val="000000"/>
          <w:sz w:val="24"/>
          <w:lang w:val="fr-CA"/>
        </w:rPr>
        <w:t>Rh positi</w:t>
      </w:r>
      <w:r w:rsidR="003C62BD">
        <w:rPr>
          <w:rFonts w:ascii="Arial" w:hAnsi="Arial"/>
          <w:color w:val="000000"/>
          <w:sz w:val="24"/>
          <w:lang w:val="fr-CA"/>
        </w:rPr>
        <w:t>f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3C62BD">
        <w:rPr>
          <w:rFonts w:ascii="Arial" w:hAnsi="Arial"/>
          <w:color w:val="000000"/>
          <w:sz w:val="24"/>
          <w:lang w:val="fr-CA"/>
        </w:rPr>
        <w:t>–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3C62BD">
        <w:rPr>
          <w:rFonts w:ascii="Arial" w:hAnsi="Arial"/>
          <w:color w:val="000000"/>
          <w:sz w:val="24"/>
          <w:lang w:val="fr-CA"/>
        </w:rPr>
        <w:t xml:space="preserve">vérifier les résultats d’épreuves du nouveau-né. </w:t>
      </w:r>
    </w:p>
    <w:p w:rsidRPr="003C62BD" w:rsidR="0058239C" w:rsidRDefault="0058239C" w14:paraId="2227539F" w14:textId="77777777">
      <w:pPr>
        <w:rPr>
          <w:rFonts w:ascii="Arial" w:hAnsi="Arial"/>
          <w:color w:val="000000"/>
          <w:sz w:val="24"/>
          <w:lang w:val="fr-CA"/>
        </w:rPr>
      </w:pPr>
    </w:p>
    <w:p w:rsidRPr="003C62BD" w:rsidR="0058239C" w:rsidP="0087662A" w:rsidRDefault="00B57EC1" w14:paraId="59BFCF6E" w14:textId="77777777">
      <w:pPr>
        <w:numPr>
          <w:ilvl w:val="1"/>
          <w:numId w:val="25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 xml:space="preserve">Entreposage </w:t>
      </w:r>
      <w:r w:rsidR="004D256B">
        <w:rPr>
          <w:rFonts w:ascii="Arial" w:hAnsi="Arial"/>
          <w:color w:val="000000"/>
          <w:sz w:val="24"/>
          <w:lang w:val="fr-CA"/>
        </w:rPr>
        <w:t xml:space="preserve">externe </w:t>
      </w:r>
      <w:r w:rsidRPr="003C62BD">
        <w:rPr>
          <w:rFonts w:ascii="Arial" w:hAnsi="Arial"/>
          <w:color w:val="000000"/>
          <w:sz w:val="24"/>
          <w:lang w:val="fr-CA"/>
        </w:rPr>
        <w:t xml:space="preserve">du </w:t>
      </w:r>
      <w:r w:rsidR="00DB3CE8">
        <w:rPr>
          <w:rFonts w:ascii="Arial" w:hAnsi="Arial"/>
          <w:color w:val="000000"/>
          <w:sz w:val="24"/>
          <w:lang w:val="fr-CA"/>
        </w:rPr>
        <w:t>produit </w:t>
      </w:r>
      <w:r w:rsidRPr="003C62BD" w:rsidR="0058239C">
        <w:rPr>
          <w:rFonts w:ascii="Arial" w:hAnsi="Arial"/>
          <w:color w:val="000000"/>
          <w:sz w:val="24"/>
          <w:lang w:val="fr-CA"/>
        </w:rPr>
        <w:t>:</w:t>
      </w:r>
    </w:p>
    <w:p w:rsidRPr="003C62BD" w:rsidR="0058239C" w:rsidRDefault="0058239C" w14:paraId="2E85928B" w14:textId="77777777">
      <w:pPr>
        <w:rPr>
          <w:rFonts w:ascii="Arial" w:hAnsi="Arial"/>
          <w:color w:val="000000"/>
          <w:sz w:val="24"/>
          <w:lang w:val="fr-CA"/>
        </w:rPr>
      </w:pPr>
    </w:p>
    <w:p w:rsidRPr="003C62BD" w:rsidR="0058239C" w:rsidP="000104A2" w:rsidRDefault="00B57EC1" w14:paraId="5553A155" w14:textId="77777777">
      <w:pPr>
        <w:numPr>
          <w:ilvl w:val="2"/>
          <w:numId w:val="25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Entreposer le produit au réfrigérateur</w:t>
      </w:r>
      <w:r w:rsidRPr="003C62BD" w:rsidR="0058239C">
        <w:rPr>
          <w:rFonts w:ascii="Arial" w:hAnsi="Arial"/>
          <w:color w:val="000000"/>
          <w:sz w:val="24"/>
          <w:lang w:val="fr-CA"/>
        </w:rPr>
        <w:t xml:space="preserve"> (1-6</w:t>
      </w:r>
      <w:r w:rsidRPr="003C62BD">
        <w:rPr>
          <w:rFonts w:ascii="Arial" w:hAnsi="Arial"/>
          <w:color w:val="000000"/>
          <w:sz w:val="24"/>
          <w:lang w:val="fr-CA"/>
        </w:rPr>
        <w:t> </w:t>
      </w:r>
      <w:r w:rsidRPr="003C62BD">
        <w:rPr>
          <w:rFonts w:ascii="Arial" w:hAnsi="Arial"/>
          <w:color w:val="000000"/>
          <w:sz w:val="24"/>
          <w:vertAlign w:val="superscript"/>
          <w:lang w:val="fr-CA"/>
        </w:rPr>
        <w:t>o</w:t>
      </w:r>
      <w:r w:rsidRPr="003C62BD" w:rsidR="0058239C">
        <w:rPr>
          <w:rFonts w:ascii="Arial" w:hAnsi="Arial"/>
          <w:color w:val="000000"/>
          <w:sz w:val="24"/>
          <w:lang w:val="fr-CA"/>
        </w:rPr>
        <w:t>C).</w:t>
      </w:r>
    </w:p>
    <w:p w:rsidRPr="000104A2" w:rsidR="0058239C" w:rsidP="000104A2" w:rsidRDefault="0058239C" w14:paraId="0461149F" w14:textId="77777777">
      <w:pPr>
        <w:rPr>
          <w:rFonts w:ascii="Arial" w:hAnsi="Arial"/>
          <w:color w:val="000000"/>
          <w:lang w:val="fr-CA"/>
        </w:rPr>
      </w:pPr>
    </w:p>
    <w:p w:rsidRPr="003C62BD" w:rsidR="0058239C" w:rsidP="000104A2" w:rsidRDefault="0068543F" w14:paraId="1B60C9F7" w14:textId="77777777">
      <w:pPr>
        <w:numPr>
          <w:ilvl w:val="2"/>
          <w:numId w:val="25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Si le produit s’en va ailleurs, informer l</w:t>
      </w:r>
      <w:r w:rsidRPr="003C62BD" w:rsidR="00347F1E">
        <w:rPr>
          <w:rFonts w:ascii="Arial" w:hAnsi="Arial"/>
          <w:color w:val="000000"/>
          <w:sz w:val="24"/>
          <w:lang w:val="fr-CA"/>
        </w:rPr>
        <w:t>e médecin</w:t>
      </w:r>
      <w:r>
        <w:rPr>
          <w:rFonts w:ascii="Arial" w:hAnsi="Arial"/>
          <w:color w:val="000000"/>
          <w:sz w:val="24"/>
          <w:lang w:val="fr-CA"/>
        </w:rPr>
        <w:t xml:space="preserve">, </w:t>
      </w:r>
      <w:r w:rsidRPr="003C62BD" w:rsidR="00347F1E">
        <w:rPr>
          <w:rFonts w:ascii="Arial" w:hAnsi="Arial"/>
          <w:color w:val="000000"/>
          <w:sz w:val="24"/>
          <w:lang w:val="fr-CA"/>
        </w:rPr>
        <w:t xml:space="preserve">la sage-femme </w:t>
      </w:r>
      <w:r w:rsidR="004D256B">
        <w:rPr>
          <w:rFonts w:ascii="Arial" w:hAnsi="Arial"/>
          <w:color w:val="000000"/>
          <w:sz w:val="24"/>
          <w:lang w:val="fr-CA"/>
        </w:rPr>
        <w:t>ou tout autre</w:t>
      </w:r>
      <w:r>
        <w:rPr>
          <w:rFonts w:ascii="Arial" w:hAnsi="Arial"/>
          <w:color w:val="000000"/>
          <w:sz w:val="24"/>
          <w:lang w:val="fr-CA"/>
        </w:rPr>
        <w:t xml:space="preserve"> professionnel de la santé </w:t>
      </w:r>
      <w:r w:rsidR="00AD2BE9">
        <w:rPr>
          <w:rFonts w:ascii="Arial" w:hAnsi="Arial"/>
          <w:color w:val="000000"/>
          <w:sz w:val="24"/>
          <w:lang w:val="fr-CA"/>
        </w:rPr>
        <w:t xml:space="preserve">des </w:t>
      </w:r>
      <w:r w:rsidRPr="003C62BD" w:rsidR="00347F1E">
        <w:rPr>
          <w:rFonts w:ascii="Arial" w:hAnsi="Arial"/>
          <w:color w:val="000000"/>
          <w:sz w:val="24"/>
          <w:lang w:val="fr-CA"/>
        </w:rPr>
        <w:t>modalités d’entreposage d</w:t>
      </w:r>
      <w:r>
        <w:rPr>
          <w:rFonts w:ascii="Arial" w:hAnsi="Arial"/>
          <w:color w:val="000000"/>
          <w:sz w:val="24"/>
          <w:lang w:val="fr-CA"/>
        </w:rPr>
        <w:t>e l’</w:t>
      </w:r>
      <w:proofErr w:type="spellStart"/>
      <w:r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Pr="003C62BD" w:rsidR="00347F1E">
        <w:rPr>
          <w:rFonts w:ascii="Arial" w:hAnsi="Arial"/>
          <w:color w:val="000000"/>
          <w:sz w:val="24"/>
          <w:lang w:val="fr-CA"/>
        </w:rPr>
        <w:t xml:space="preserve">. </w:t>
      </w:r>
      <w:r w:rsidRPr="003C62BD" w:rsidR="00347F1E">
        <w:rPr>
          <w:rFonts w:ascii="Arial" w:hAnsi="Arial"/>
          <w:color w:val="000000"/>
          <w:sz w:val="24"/>
          <w:lang w:val="fr-CA"/>
        </w:rPr>
        <w:br/>
      </w:r>
    </w:p>
    <w:p w:rsidR="00794340" w:rsidP="000104A2" w:rsidRDefault="0068543F" w14:paraId="6B30D707" w14:textId="77777777">
      <w:pPr>
        <w:numPr>
          <w:ilvl w:val="2"/>
          <w:numId w:val="25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Si les conditions d’entreposage varient, ne </w:t>
      </w:r>
      <w:r w:rsidRPr="003C62BD" w:rsidR="00AD2BE9">
        <w:rPr>
          <w:rFonts w:ascii="Arial" w:hAnsi="Arial"/>
          <w:color w:val="000000"/>
          <w:sz w:val="24"/>
          <w:lang w:val="fr-CA"/>
        </w:rPr>
        <w:t xml:space="preserve">pas administrer </w:t>
      </w:r>
      <w:r w:rsidRPr="003C62BD" w:rsidR="0002618B">
        <w:rPr>
          <w:rFonts w:ascii="Arial" w:hAnsi="Arial"/>
          <w:color w:val="000000"/>
          <w:sz w:val="24"/>
          <w:lang w:val="fr-CA"/>
        </w:rPr>
        <w:t>l’</w:t>
      </w:r>
      <w:proofErr w:type="spellStart"/>
      <w:r w:rsidRPr="003C62BD" w:rsidR="0002618B">
        <w:rPr>
          <w:rFonts w:ascii="Arial" w:hAnsi="Arial"/>
          <w:color w:val="000000"/>
          <w:sz w:val="24"/>
          <w:lang w:val="fr-CA"/>
        </w:rPr>
        <w:t>IgRh</w:t>
      </w:r>
      <w:proofErr w:type="spellEnd"/>
      <w:r w:rsidRPr="003C62BD" w:rsidR="0002618B">
        <w:rPr>
          <w:rFonts w:ascii="Arial" w:hAnsi="Arial"/>
          <w:color w:val="000000"/>
          <w:sz w:val="24"/>
          <w:lang w:val="fr-CA"/>
        </w:rPr>
        <w:t xml:space="preserve">. </w:t>
      </w:r>
      <w:r>
        <w:rPr>
          <w:rFonts w:ascii="Arial" w:hAnsi="Arial"/>
          <w:color w:val="000000"/>
          <w:sz w:val="24"/>
          <w:lang w:val="fr-CA"/>
        </w:rPr>
        <w:t xml:space="preserve">Retourner le produit au LMT qui </w:t>
      </w:r>
      <w:r w:rsidR="00794340">
        <w:rPr>
          <w:rFonts w:ascii="Arial" w:hAnsi="Arial"/>
          <w:color w:val="000000"/>
          <w:sz w:val="24"/>
          <w:lang w:val="fr-CA"/>
        </w:rPr>
        <w:t>s’occupera de l’é</w:t>
      </w:r>
      <w:r w:rsidRPr="003C62BD" w:rsidR="00AD2BE9">
        <w:rPr>
          <w:rFonts w:ascii="Arial" w:hAnsi="Arial"/>
          <w:color w:val="000000"/>
          <w:sz w:val="24"/>
          <w:lang w:val="fr-CA"/>
        </w:rPr>
        <w:t>liminer</w:t>
      </w:r>
      <w:r w:rsidR="00AD2BE9">
        <w:rPr>
          <w:rFonts w:ascii="Arial" w:hAnsi="Arial"/>
          <w:color w:val="000000"/>
          <w:sz w:val="24"/>
          <w:lang w:val="fr-CA"/>
        </w:rPr>
        <w:t>.</w:t>
      </w:r>
      <w:r w:rsidR="00794340">
        <w:rPr>
          <w:rFonts w:ascii="Arial" w:hAnsi="Arial"/>
          <w:color w:val="000000"/>
          <w:sz w:val="24"/>
          <w:lang w:val="fr-CA"/>
        </w:rPr>
        <w:br/>
      </w:r>
    </w:p>
    <w:p w:rsidRPr="003C62BD" w:rsidR="0058239C" w:rsidP="000104A2" w:rsidRDefault="00794340" w14:paraId="4BB620A0" w14:textId="77777777">
      <w:pPr>
        <w:numPr>
          <w:ilvl w:val="2"/>
          <w:numId w:val="25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Une entente sera produite pour confirmer que les deux parties s’entendent pour respecter les normes pertinentes. </w:t>
      </w:r>
      <w:r w:rsidRPr="003C62BD" w:rsidR="0002618B">
        <w:rPr>
          <w:rFonts w:ascii="Arial" w:hAnsi="Arial"/>
          <w:color w:val="000000"/>
          <w:sz w:val="24"/>
          <w:lang w:val="fr-CA"/>
        </w:rPr>
        <w:br/>
      </w:r>
    </w:p>
    <w:p w:rsidRPr="003C62BD" w:rsidR="0058239C" w:rsidP="0087662A" w:rsidRDefault="00347F1E" w14:paraId="250E8859" w14:textId="77777777">
      <w:pPr>
        <w:numPr>
          <w:ilvl w:val="1"/>
          <w:numId w:val="25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Si pour une raison quelconque le produit n’est pas transfus</w:t>
      </w:r>
      <w:r w:rsidRPr="003C62BD" w:rsidR="0002618B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 xml:space="preserve"> </w:t>
      </w:r>
      <w:r w:rsidR="00AD2BE9">
        <w:rPr>
          <w:rFonts w:ascii="Arial" w:hAnsi="Arial"/>
          <w:color w:val="000000"/>
          <w:sz w:val="24"/>
          <w:lang w:val="fr-CA"/>
        </w:rPr>
        <w:t xml:space="preserve">au </w:t>
      </w:r>
      <w:r w:rsidRPr="003C62BD">
        <w:rPr>
          <w:rFonts w:ascii="Arial" w:hAnsi="Arial"/>
          <w:color w:val="000000"/>
          <w:sz w:val="24"/>
          <w:lang w:val="fr-CA"/>
        </w:rPr>
        <w:t>patient à qui il était destin</w:t>
      </w:r>
      <w:r w:rsidRPr="003C62BD" w:rsidR="0002618B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, il faut en avert</w:t>
      </w:r>
      <w:r w:rsidRPr="003C62BD" w:rsidR="0002618B">
        <w:rPr>
          <w:rFonts w:ascii="Arial" w:hAnsi="Arial"/>
          <w:color w:val="000000"/>
          <w:sz w:val="24"/>
          <w:lang w:val="fr-CA"/>
        </w:rPr>
        <w:t>i</w:t>
      </w:r>
      <w:r w:rsidRPr="003C62BD">
        <w:rPr>
          <w:rFonts w:ascii="Arial" w:hAnsi="Arial"/>
          <w:color w:val="000000"/>
          <w:sz w:val="24"/>
          <w:lang w:val="fr-CA"/>
        </w:rPr>
        <w:t>r par t</w:t>
      </w:r>
      <w:r w:rsidRPr="003C62BD" w:rsidR="0002618B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l</w:t>
      </w:r>
      <w:r w:rsidRPr="003C62BD" w:rsidR="0002618B">
        <w:rPr>
          <w:rFonts w:ascii="Arial" w:hAnsi="Arial"/>
          <w:color w:val="000000"/>
          <w:sz w:val="24"/>
          <w:lang w:val="fr-CA"/>
        </w:rPr>
        <w:t>é</w:t>
      </w:r>
      <w:r w:rsidRPr="003C62BD">
        <w:rPr>
          <w:rFonts w:ascii="Arial" w:hAnsi="Arial"/>
          <w:color w:val="000000"/>
          <w:sz w:val="24"/>
          <w:lang w:val="fr-CA"/>
        </w:rPr>
        <w:t>phone le L</w:t>
      </w:r>
      <w:r w:rsidR="00AD2BE9">
        <w:rPr>
          <w:rFonts w:ascii="Arial" w:hAnsi="Arial"/>
          <w:color w:val="000000"/>
          <w:sz w:val="24"/>
          <w:lang w:val="fr-CA"/>
        </w:rPr>
        <w:t xml:space="preserve">MT </w:t>
      </w:r>
      <w:r w:rsidRPr="003C62BD">
        <w:rPr>
          <w:rFonts w:ascii="Arial" w:hAnsi="Arial"/>
          <w:color w:val="000000"/>
          <w:sz w:val="24"/>
          <w:lang w:val="fr-CA"/>
        </w:rPr>
        <w:t>et y renvoyer le produit san</w:t>
      </w:r>
      <w:r w:rsidRPr="003C62BD" w:rsidR="0002618B">
        <w:rPr>
          <w:rFonts w:ascii="Arial" w:hAnsi="Arial"/>
          <w:color w:val="000000"/>
          <w:sz w:val="24"/>
          <w:lang w:val="fr-CA"/>
        </w:rPr>
        <w:t>s</w:t>
      </w:r>
      <w:r w:rsidRPr="003C62BD">
        <w:rPr>
          <w:rFonts w:ascii="Arial" w:hAnsi="Arial"/>
          <w:color w:val="000000"/>
          <w:sz w:val="24"/>
          <w:lang w:val="fr-CA"/>
        </w:rPr>
        <w:t xml:space="preserve"> délai. </w:t>
      </w:r>
      <w:r w:rsidRPr="003C62BD" w:rsidR="0002618B">
        <w:rPr>
          <w:rFonts w:ascii="Arial" w:hAnsi="Arial"/>
          <w:color w:val="000000"/>
          <w:sz w:val="24"/>
          <w:lang w:val="fr-CA"/>
        </w:rPr>
        <w:br/>
      </w:r>
    </w:p>
    <w:p w:rsidRPr="00C140FF" w:rsidR="00C140FF" w:rsidP="0087662A" w:rsidRDefault="0057561E" w14:paraId="3991793A" w14:textId="77777777">
      <w:pPr>
        <w:pStyle w:val="PlainText"/>
        <w:numPr>
          <w:ilvl w:val="1"/>
          <w:numId w:val="25"/>
        </w:numPr>
        <w:rPr>
          <w:rFonts w:ascii="Arial" w:hAnsi="Arial"/>
          <w:color w:val="000000"/>
          <w:sz w:val="24"/>
          <w:lang w:val="fr-CA"/>
        </w:rPr>
      </w:pPr>
      <w:r w:rsidRPr="003C62BD">
        <w:rPr>
          <w:rFonts w:ascii="Arial" w:hAnsi="Arial"/>
          <w:color w:val="000000"/>
          <w:sz w:val="24"/>
          <w:lang w:val="fr-CA"/>
        </w:rPr>
        <w:t>Consulter le directeur médical ou son représentant</w:t>
      </w:r>
      <w:r w:rsidRPr="003C62BD" w:rsidR="00B57EC1">
        <w:rPr>
          <w:rFonts w:ascii="Arial" w:hAnsi="Arial"/>
          <w:color w:val="000000"/>
          <w:sz w:val="24"/>
          <w:lang w:val="fr-CA"/>
        </w:rPr>
        <w:t xml:space="preserve"> qui déterminera la quantité d</w:t>
      </w:r>
      <w:r w:rsidR="001822D2">
        <w:rPr>
          <w:rFonts w:ascii="Arial" w:hAnsi="Arial"/>
          <w:color w:val="000000"/>
          <w:sz w:val="24"/>
          <w:lang w:val="fr-CA"/>
        </w:rPr>
        <w:t>'</w:t>
      </w:r>
      <w:proofErr w:type="spellStart"/>
      <w:r w:rsidRPr="003C62BD" w:rsidR="00B57EC1">
        <w:rPr>
          <w:rFonts w:ascii="Arial" w:hAnsi="Arial"/>
          <w:color w:val="000000"/>
          <w:sz w:val="24"/>
          <w:lang w:val="fr-CA"/>
        </w:rPr>
        <w:t>I</w:t>
      </w:r>
      <w:r w:rsidRPr="003C62BD">
        <w:rPr>
          <w:rFonts w:ascii="Arial" w:hAnsi="Arial"/>
          <w:color w:val="000000"/>
          <w:sz w:val="24"/>
          <w:lang w:val="fr-CA"/>
        </w:rPr>
        <w:t>g</w:t>
      </w:r>
      <w:r w:rsidRPr="003C62BD" w:rsidR="00B57EC1">
        <w:rPr>
          <w:rFonts w:ascii="Arial" w:hAnsi="Arial"/>
          <w:color w:val="000000"/>
          <w:sz w:val="24"/>
          <w:lang w:val="fr-CA"/>
        </w:rPr>
        <w:t>R</w:t>
      </w:r>
      <w:r w:rsidRPr="003C62BD">
        <w:rPr>
          <w:rFonts w:ascii="Arial" w:hAnsi="Arial"/>
          <w:color w:val="000000"/>
          <w:sz w:val="24"/>
          <w:lang w:val="fr-CA"/>
        </w:rPr>
        <w:t>h</w:t>
      </w:r>
      <w:proofErr w:type="spellEnd"/>
      <w:r w:rsidRPr="003C62BD">
        <w:rPr>
          <w:rFonts w:ascii="Arial" w:hAnsi="Arial"/>
          <w:color w:val="000000"/>
          <w:sz w:val="24"/>
          <w:lang w:val="fr-CA"/>
        </w:rPr>
        <w:t xml:space="preserve"> à mettre en circulation.</w:t>
      </w:r>
      <w:r w:rsidRPr="003C62BD" w:rsidR="0058239C">
        <w:rPr>
          <w:rFonts w:ascii="Arial" w:hAnsi="Arial"/>
          <w:color w:val="000000"/>
          <w:sz w:val="24"/>
          <w:lang w:val="fr-CA"/>
        </w:rPr>
        <w:t xml:space="preserve"> </w:t>
      </w:r>
      <w:r w:rsidR="00C140FF">
        <w:rPr>
          <w:rFonts w:ascii="Arial" w:hAnsi="Arial"/>
          <w:color w:val="000000"/>
          <w:sz w:val="24"/>
          <w:lang w:val="fr-CA"/>
        </w:rPr>
        <w:t xml:space="preserve">Le risque d’immunisation anti-D résultant de la présence de globules rouges Rh positif dans des produits plaquettaires est très faible (le risque est encore moindre s’il s’agit de produits plaquettaires d’aphérèse). </w:t>
      </w:r>
      <w:r w:rsidR="004D256B">
        <w:rPr>
          <w:rFonts w:ascii="Arial" w:hAnsi="Arial"/>
          <w:color w:val="000000"/>
          <w:sz w:val="24"/>
          <w:lang w:val="fr-CA"/>
        </w:rPr>
        <w:t>N</w:t>
      </w:r>
      <w:r w:rsidR="00C140FF">
        <w:rPr>
          <w:rFonts w:ascii="Arial" w:hAnsi="Arial"/>
          <w:color w:val="000000"/>
          <w:sz w:val="24"/>
          <w:lang w:val="fr-CA"/>
        </w:rPr>
        <w:t>éanmoins, il y a un risque en théorie. La prudence impose donc de protéger les receveuses Rh</w:t>
      </w:r>
      <w:r w:rsidR="001E1DDA">
        <w:rPr>
          <w:rFonts w:ascii="Arial" w:hAnsi="Arial"/>
          <w:color w:val="000000"/>
          <w:sz w:val="24"/>
          <w:lang w:val="fr-CA"/>
        </w:rPr>
        <w:t xml:space="preserve"> </w:t>
      </w:r>
      <w:r w:rsidR="00C140FF">
        <w:rPr>
          <w:rFonts w:ascii="Arial" w:hAnsi="Arial"/>
          <w:color w:val="000000"/>
          <w:sz w:val="24"/>
          <w:lang w:val="fr-CA"/>
        </w:rPr>
        <w:t>négatif en âge d’avoir des enfants</w:t>
      </w:r>
      <w:r w:rsidR="0087662A">
        <w:rPr>
          <w:rFonts w:ascii="Arial" w:hAnsi="Arial"/>
          <w:color w:val="000000"/>
          <w:sz w:val="24"/>
          <w:vertAlign w:val="superscript"/>
          <w:lang w:val="fr-CA"/>
        </w:rPr>
        <w:t>9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t>.3</w:t>
      </w:r>
      <w:r w:rsidR="00C140FF">
        <w:rPr>
          <w:rFonts w:ascii="Arial" w:hAnsi="Arial"/>
          <w:color w:val="000000"/>
          <w:sz w:val="24"/>
          <w:lang w:val="fr-CA"/>
        </w:rPr>
        <w:t>.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t xml:space="preserve"> </w:t>
      </w:r>
      <w:r w:rsidR="00C140FF">
        <w:rPr>
          <w:rFonts w:ascii="Arial" w:hAnsi="Arial"/>
          <w:color w:val="000000"/>
          <w:sz w:val="24"/>
          <w:vertAlign w:val="superscript"/>
          <w:lang w:val="fr-CA"/>
        </w:rPr>
        <w:br/>
      </w:r>
    </w:p>
    <w:p w:rsidRPr="003C62BD" w:rsidR="0058239C" w:rsidP="0087662A" w:rsidRDefault="00AD2BE9" w14:paraId="1CE47712" w14:textId="77777777">
      <w:pPr>
        <w:pStyle w:val="PlainText"/>
        <w:numPr>
          <w:ilvl w:val="1"/>
          <w:numId w:val="25"/>
        </w:numPr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 xml:space="preserve">Des doses de </w:t>
      </w:r>
      <w:r w:rsidR="004D256B">
        <w:rPr>
          <w:rFonts w:ascii="Arial" w:hAnsi="Arial"/>
          <w:color w:val="000000"/>
          <w:sz w:val="24"/>
          <w:lang w:val="fr-CA"/>
        </w:rPr>
        <w:t>5000 UI (</w:t>
      </w:r>
      <w:r w:rsidRPr="0002618B">
        <w:rPr>
          <w:rFonts w:ascii="Arial" w:hAnsi="Arial"/>
          <w:sz w:val="24"/>
          <w:lang w:val="fr-CA"/>
        </w:rPr>
        <w:t>1000</w:t>
      </w:r>
      <w:r>
        <w:rPr>
          <w:rFonts w:ascii="Arial" w:hAnsi="Arial"/>
          <w:sz w:val="24"/>
          <w:lang w:val="fr-CA"/>
        </w:rPr>
        <w:t xml:space="preserve"> </w:t>
      </w:r>
      <w:r w:rsidRPr="0002618B">
        <w:rPr>
          <w:rFonts w:ascii="Symbol" w:hAnsi="Symbol" w:eastAsia="Symbol" w:cs="Symbol"/>
          <w:sz w:val="24"/>
          <w:lang w:val="fr-CA"/>
        </w:rPr>
        <w:t>m</w:t>
      </w:r>
      <w:r w:rsidRPr="0002618B">
        <w:rPr>
          <w:rFonts w:ascii="Arial" w:hAnsi="Arial"/>
          <w:sz w:val="24"/>
          <w:lang w:val="fr-CA"/>
        </w:rPr>
        <w:t>g</w:t>
      </w:r>
      <w:r w:rsidR="004D256B">
        <w:rPr>
          <w:rFonts w:ascii="Arial" w:hAnsi="Arial"/>
          <w:sz w:val="24"/>
          <w:lang w:val="fr-CA"/>
        </w:rPr>
        <w:t>)</w:t>
      </w:r>
      <w:r>
        <w:rPr>
          <w:rFonts w:ascii="Arial" w:hAnsi="Arial"/>
          <w:sz w:val="24"/>
          <w:lang w:val="fr-CA"/>
        </w:rPr>
        <w:t xml:space="preserve"> sont </w:t>
      </w:r>
      <w:r w:rsidR="004D256B">
        <w:rPr>
          <w:rFonts w:ascii="Arial" w:hAnsi="Arial"/>
          <w:sz w:val="24"/>
          <w:lang w:val="fr-CA"/>
        </w:rPr>
        <w:t xml:space="preserve">en stock pour les cas de </w:t>
      </w:r>
      <w:r>
        <w:rPr>
          <w:rFonts w:ascii="Arial" w:hAnsi="Arial"/>
          <w:sz w:val="24"/>
          <w:lang w:val="fr-CA"/>
        </w:rPr>
        <w:t>PTI.</w:t>
      </w:r>
      <w:r w:rsidR="00E76DA8">
        <w:rPr>
          <w:rFonts w:ascii="Arial" w:hAnsi="Arial"/>
          <w:sz w:val="24"/>
          <w:lang w:val="fr-CA"/>
        </w:rPr>
        <w:t xml:space="preserve"> L’</w:t>
      </w:r>
      <w:proofErr w:type="spellStart"/>
      <w:r w:rsidR="00E76DA8">
        <w:rPr>
          <w:rFonts w:ascii="Arial" w:hAnsi="Arial"/>
          <w:sz w:val="24"/>
          <w:lang w:val="fr-CA"/>
        </w:rPr>
        <w:t>IgRh</w:t>
      </w:r>
      <w:proofErr w:type="spellEnd"/>
      <w:r w:rsidR="00E76DA8">
        <w:rPr>
          <w:rFonts w:ascii="Arial" w:hAnsi="Arial"/>
          <w:sz w:val="24"/>
          <w:lang w:val="fr-CA"/>
        </w:rPr>
        <w:t xml:space="preserve"> dans cette indication n’est efficace que si les patients sont Rh positif</w:t>
      </w:r>
      <w:r w:rsidR="004D256B">
        <w:rPr>
          <w:rFonts w:ascii="Arial" w:hAnsi="Arial"/>
          <w:sz w:val="24"/>
          <w:lang w:val="fr-CA"/>
        </w:rPr>
        <w:t>. Elle</w:t>
      </w:r>
      <w:r w:rsidR="000B1BB2">
        <w:rPr>
          <w:rFonts w:ascii="Arial" w:hAnsi="Arial"/>
          <w:sz w:val="24"/>
          <w:lang w:val="fr-CA"/>
        </w:rPr>
        <w:t xml:space="preserve"> a été impliquée dans l’hémolyse sévère des globules rouges du patient</w:t>
      </w:r>
      <w:r w:rsidR="001822D2">
        <w:rPr>
          <w:rFonts w:ascii="Arial" w:hAnsi="Arial"/>
          <w:sz w:val="24"/>
          <w:lang w:val="fr-CA"/>
        </w:rPr>
        <w:t> </w:t>
      </w:r>
      <w:r w:rsidR="000B1BB2">
        <w:rPr>
          <w:rFonts w:ascii="Arial" w:hAnsi="Arial"/>
          <w:sz w:val="24"/>
          <w:lang w:val="fr-CA"/>
        </w:rPr>
        <w:t>; c’est pourquoi elle n’est pas souvent employée dans cette indication</w:t>
      </w:r>
      <w:r w:rsidR="004D256B">
        <w:rPr>
          <w:rFonts w:ascii="Arial" w:hAnsi="Arial"/>
          <w:sz w:val="24"/>
          <w:lang w:val="fr-CA"/>
        </w:rPr>
        <w:t xml:space="preserve"> (25 à 75 </w:t>
      </w:r>
      <w:r w:rsidRPr="0002618B" w:rsidR="004D256B">
        <w:rPr>
          <w:rFonts w:ascii="Symbol" w:hAnsi="Symbol" w:eastAsia="Symbol" w:cs="Symbol"/>
          <w:sz w:val="24"/>
          <w:lang w:val="fr-CA"/>
        </w:rPr>
        <w:t>m</w:t>
      </w:r>
      <w:r w:rsidR="004D256B">
        <w:rPr>
          <w:rFonts w:ascii="Arial" w:hAnsi="Arial"/>
          <w:sz w:val="24"/>
          <w:lang w:val="fr-CA"/>
        </w:rPr>
        <w:t>g/kg IV)</w:t>
      </w:r>
      <w:r w:rsidR="000B1BB2">
        <w:rPr>
          <w:rFonts w:ascii="Arial" w:hAnsi="Arial"/>
          <w:sz w:val="24"/>
          <w:lang w:val="fr-CA"/>
        </w:rPr>
        <w:t xml:space="preserve">.  </w:t>
      </w:r>
    </w:p>
    <w:p w:rsidRPr="003C62BD" w:rsidR="0057561E" w:rsidP="0057561E" w:rsidRDefault="0057561E" w14:paraId="03B8AE95" w14:textId="77777777">
      <w:pPr>
        <w:pStyle w:val="PlainText"/>
        <w:ind w:left="720"/>
        <w:rPr>
          <w:rFonts w:ascii="Arial" w:hAnsi="Arial"/>
          <w:color w:val="000000"/>
          <w:sz w:val="24"/>
          <w:lang w:val="fr-CA"/>
        </w:rPr>
      </w:pPr>
    </w:p>
    <w:p w:rsidRPr="003C62BD" w:rsidR="0058239C" w:rsidP="0087662A" w:rsidRDefault="0057561E" w14:paraId="5F0E30B7" w14:textId="77777777">
      <w:pPr>
        <w:numPr>
          <w:ilvl w:val="0"/>
          <w:numId w:val="25"/>
        </w:numPr>
        <w:rPr>
          <w:rFonts w:ascii="Arial" w:hAnsi="Arial"/>
          <w:b/>
          <w:color w:val="000000"/>
          <w:sz w:val="28"/>
          <w:lang w:val="fr-CA"/>
        </w:rPr>
      </w:pPr>
      <w:r w:rsidRPr="003C62BD">
        <w:rPr>
          <w:rFonts w:ascii="Arial" w:hAnsi="Arial"/>
          <w:b/>
          <w:color w:val="000000"/>
          <w:sz w:val="28"/>
          <w:lang w:val="fr-CA"/>
        </w:rPr>
        <w:t>Références</w:t>
      </w:r>
    </w:p>
    <w:p w:rsidRPr="003C62BD" w:rsidR="0058239C" w:rsidRDefault="0058239C" w14:paraId="3E6FCB3A" w14:textId="77777777">
      <w:pPr>
        <w:rPr>
          <w:rFonts w:ascii="Arial" w:hAnsi="Arial"/>
          <w:color w:val="000000"/>
          <w:sz w:val="24"/>
          <w:lang w:val="fr-CA"/>
        </w:rPr>
      </w:pPr>
    </w:p>
    <w:p w:rsidR="00AD2BE9" w:rsidP="0087662A" w:rsidRDefault="004D256B" w14:paraId="61D43561" w14:textId="77777777">
      <w:pPr>
        <w:numPr>
          <w:ilvl w:val="1"/>
          <w:numId w:val="25"/>
        </w:numPr>
        <w:rPr>
          <w:rFonts w:ascii="Arial" w:hAnsi="Arial"/>
          <w:sz w:val="24"/>
        </w:rPr>
      </w:pPr>
      <w:r w:rsidRPr="00B10ECF">
        <w:rPr>
          <w:rFonts w:ascii="Arial" w:hAnsi="Arial"/>
          <w:i/>
          <w:sz w:val="24"/>
          <w:lang w:val="fr-CA"/>
        </w:rPr>
        <w:t xml:space="preserve">Normes </w:t>
      </w:r>
      <w:r w:rsidRPr="00B10ECF" w:rsidR="00502F9B">
        <w:rPr>
          <w:rFonts w:ascii="Arial" w:hAnsi="Arial"/>
          <w:i/>
          <w:sz w:val="24"/>
          <w:lang w:val="fr-CA"/>
        </w:rPr>
        <w:t>de la SCMT pour ser</w:t>
      </w:r>
      <w:r w:rsidRPr="00B10ECF">
        <w:rPr>
          <w:rFonts w:ascii="Arial" w:hAnsi="Arial"/>
          <w:i/>
          <w:sz w:val="24"/>
          <w:lang w:val="fr-CA"/>
        </w:rPr>
        <w:t xml:space="preserve">vices transfusionnels </w:t>
      </w:r>
      <w:r w:rsidRPr="00B10ECF" w:rsidR="00502F9B">
        <w:rPr>
          <w:rFonts w:ascii="Arial" w:hAnsi="Arial"/>
          <w:i/>
          <w:sz w:val="24"/>
          <w:lang w:val="fr-CA"/>
        </w:rPr>
        <w:t>en milieu hospitalier</w:t>
      </w:r>
      <w:r w:rsidRPr="00B10ECF" w:rsidR="00C140FF">
        <w:rPr>
          <w:rFonts w:ascii="Arial" w:hAnsi="Arial"/>
          <w:sz w:val="24"/>
          <w:lang w:val="fr-CA"/>
        </w:rPr>
        <w:t xml:space="preserve">, version </w:t>
      </w:r>
      <w:r w:rsidRPr="00B10ECF">
        <w:rPr>
          <w:rFonts w:ascii="Arial" w:hAnsi="Arial"/>
          <w:sz w:val="24"/>
          <w:lang w:val="fr-CA"/>
        </w:rPr>
        <w:t>5</w:t>
      </w:r>
      <w:r w:rsidRPr="00B10ECF" w:rsidR="00AD2BE9">
        <w:rPr>
          <w:rFonts w:ascii="Arial" w:hAnsi="Arial"/>
          <w:sz w:val="24"/>
          <w:lang w:val="fr-CA"/>
        </w:rPr>
        <w:t xml:space="preserve"> – </w:t>
      </w:r>
      <w:proofErr w:type="gramStart"/>
      <w:r w:rsidRPr="00B10ECF">
        <w:rPr>
          <w:rFonts w:ascii="Arial" w:hAnsi="Arial"/>
          <w:sz w:val="24"/>
          <w:lang w:val="fr-CA"/>
        </w:rPr>
        <w:t xml:space="preserve">décembre </w:t>
      </w:r>
      <w:r w:rsidRPr="00B10ECF" w:rsidR="00C140FF">
        <w:rPr>
          <w:rFonts w:ascii="Arial" w:hAnsi="Arial"/>
          <w:sz w:val="24"/>
          <w:lang w:val="fr-CA"/>
        </w:rPr>
        <w:t xml:space="preserve"> </w:t>
      </w:r>
      <w:r w:rsidRPr="00B10ECF" w:rsidR="00AD2BE9">
        <w:rPr>
          <w:rFonts w:ascii="Arial" w:hAnsi="Arial"/>
          <w:sz w:val="24"/>
          <w:lang w:val="fr-CA"/>
        </w:rPr>
        <w:t>20</w:t>
      </w:r>
      <w:r w:rsidRPr="00B10ECF">
        <w:rPr>
          <w:rFonts w:ascii="Arial" w:hAnsi="Arial"/>
          <w:sz w:val="24"/>
          <w:lang w:val="fr-CA"/>
        </w:rPr>
        <w:t>2</w:t>
      </w:r>
      <w:r w:rsidRPr="00B10ECF" w:rsidR="00C140FF">
        <w:rPr>
          <w:rFonts w:ascii="Arial" w:hAnsi="Arial"/>
          <w:sz w:val="24"/>
          <w:lang w:val="fr-CA"/>
        </w:rPr>
        <w:t>1</w:t>
      </w:r>
      <w:proofErr w:type="gramEnd"/>
      <w:r w:rsidRPr="00B10ECF" w:rsidR="00AD2BE9">
        <w:rPr>
          <w:rFonts w:ascii="Arial" w:hAnsi="Arial"/>
          <w:sz w:val="24"/>
          <w:lang w:val="fr-CA"/>
        </w:rPr>
        <w:t xml:space="preserve">. </w:t>
      </w:r>
      <w:r w:rsidR="00AD2BE9">
        <w:rPr>
          <w:rFonts w:ascii="Arial" w:hAnsi="Arial"/>
          <w:sz w:val="24"/>
        </w:rPr>
        <w:t xml:space="preserve">Société </w:t>
      </w:r>
      <w:proofErr w:type="spellStart"/>
      <w:r w:rsidR="00AD2BE9">
        <w:rPr>
          <w:rFonts w:ascii="Arial" w:hAnsi="Arial"/>
          <w:sz w:val="24"/>
        </w:rPr>
        <w:t>canadienne</w:t>
      </w:r>
      <w:proofErr w:type="spellEnd"/>
      <w:r w:rsidR="00AD2BE9">
        <w:rPr>
          <w:rFonts w:ascii="Arial" w:hAnsi="Arial"/>
          <w:sz w:val="24"/>
        </w:rPr>
        <w:t xml:space="preserve"> de </w:t>
      </w:r>
      <w:proofErr w:type="spellStart"/>
      <w:r w:rsidR="00AD2BE9">
        <w:rPr>
          <w:rFonts w:ascii="Arial" w:hAnsi="Arial"/>
          <w:sz w:val="24"/>
        </w:rPr>
        <w:t>médecine</w:t>
      </w:r>
      <w:proofErr w:type="spellEnd"/>
      <w:r w:rsidR="00AD2BE9">
        <w:rPr>
          <w:rFonts w:ascii="Arial" w:hAnsi="Arial"/>
          <w:sz w:val="24"/>
        </w:rPr>
        <w:t xml:space="preserve"> </w:t>
      </w:r>
      <w:proofErr w:type="spellStart"/>
      <w:r w:rsidR="00AD2BE9">
        <w:rPr>
          <w:rFonts w:ascii="Arial" w:hAnsi="Arial"/>
          <w:sz w:val="24"/>
        </w:rPr>
        <w:t>transfusionnelle</w:t>
      </w:r>
      <w:proofErr w:type="spellEnd"/>
      <w:r w:rsidR="001822D2">
        <w:rPr>
          <w:rFonts w:ascii="Arial" w:hAnsi="Arial"/>
          <w:sz w:val="24"/>
        </w:rPr>
        <w:t> </w:t>
      </w:r>
      <w:r w:rsidR="00C140FF">
        <w:rPr>
          <w:rFonts w:ascii="Arial" w:hAnsi="Arial"/>
          <w:sz w:val="24"/>
        </w:rPr>
        <w:t>; 5.4.</w:t>
      </w:r>
      <w:r w:rsidR="00502F9B">
        <w:rPr>
          <w:rFonts w:ascii="Arial" w:hAnsi="Arial"/>
          <w:sz w:val="24"/>
        </w:rPr>
        <w:t>4.</w:t>
      </w:r>
      <w:r w:rsidR="00C140FF">
        <w:rPr>
          <w:rFonts w:ascii="Arial" w:hAnsi="Arial"/>
          <w:sz w:val="24"/>
        </w:rPr>
        <w:t>5</w:t>
      </w:r>
    </w:p>
    <w:p w:rsidR="00AD2BE9" w:rsidP="00AD2BE9" w:rsidRDefault="00AD2BE9" w14:paraId="2510A4C1" w14:textId="77777777">
      <w:pPr>
        <w:ind w:left="720"/>
        <w:rPr>
          <w:rFonts w:ascii="Arial" w:hAnsi="Arial"/>
          <w:sz w:val="24"/>
        </w:rPr>
      </w:pPr>
    </w:p>
    <w:p w:rsidR="00AD2BE9" w:rsidP="4C1A2E3B" w:rsidRDefault="002248DF" w14:paraId="0A8D43C7" w14:textId="105F6F15">
      <w:pPr>
        <w:numPr>
          <w:ilvl w:val="1"/>
          <w:numId w:val="25"/>
        </w:numPr>
        <w:rPr>
          <w:rFonts w:ascii="Arial" w:hAnsi="Arial"/>
          <w:sz w:val="24"/>
          <w:szCs w:val="24"/>
        </w:rPr>
      </w:pPr>
      <w:r w:rsidRPr="4C1A2E3B" w:rsidR="77BC3735">
        <w:rPr>
          <w:rFonts w:ascii="Arial" w:hAnsi="Arial"/>
          <w:sz w:val="24"/>
          <w:szCs w:val="24"/>
        </w:rPr>
        <w:t>Cohn</w:t>
      </w:r>
      <w:r w:rsidRPr="4C1A2E3B" w:rsidR="22039E4D">
        <w:rPr>
          <w:rFonts w:ascii="Arial" w:hAnsi="Arial"/>
          <w:sz w:val="24"/>
          <w:szCs w:val="24"/>
        </w:rPr>
        <w:t> </w:t>
      </w:r>
      <w:r w:rsidRPr="4C1A2E3B" w:rsidR="77BC3735">
        <w:rPr>
          <w:rFonts w:ascii="Arial" w:hAnsi="Arial"/>
          <w:sz w:val="24"/>
          <w:szCs w:val="24"/>
        </w:rPr>
        <w:t>C</w:t>
      </w:r>
      <w:r w:rsidRPr="4C1A2E3B" w:rsidR="68C85A7B">
        <w:rPr>
          <w:rFonts w:ascii="Arial" w:hAnsi="Arial"/>
          <w:sz w:val="24"/>
          <w:szCs w:val="24"/>
        </w:rPr>
        <w:t>S</w:t>
      </w:r>
      <w:r w:rsidRPr="4C1A2E3B" w:rsidR="77BC3735">
        <w:rPr>
          <w:rFonts w:ascii="Arial" w:hAnsi="Arial"/>
          <w:sz w:val="24"/>
          <w:szCs w:val="24"/>
        </w:rPr>
        <w:t>, Delaney M, Johnson ST, Katz LM.</w:t>
      </w:r>
      <w:r w:rsidRPr="4C1A2E3B" w:rsidR="77BC3735">
        <w:rPr>
          <w:rFonts w:ascii="Arial" w:hAnsi="Arial"/>
          <w:sz w:val="24"/>
          <w:szCs w:val="24"/>
        </w:rPr>
        <w:t xml:space="preserve"> </w:t>
      </w:r>
      <w:r w:rsidRPr="4C1A2E3B" w:rsidR="77BC3735">
        <w:rPr>
          <w:rFonts w:ascii="Arial" w:hAnsi="Arial"/>
          <w:sz w:val="24"/>
          <w:szCs w:val="24"/>
        </w:rPr>
        <w:t>Technical Manual 20</w:t>
      </w:r>
      <w:r w:rsidRPr="4C1A2E3B" w:rsidR="77BC3735">
        <w:rPr>
          <w:rFonts w:ascii="Arial" w:hAnsi="Arial"/>
          <w:sz w:val="24"/>
          <w:szCs w:val="24"/>
          <w:vertAlign w:val="superscript"/>
        </w:rPr>
        <w:t>e </w:t>
      </w:r>
      <w:proofErr w:type="spellStart"/>
      <w:r w:rsidRPr="4C1A2E3B" w:rsidR="77BC3735">
        <w:rPr>
          <w:rFonts w:ascii="Arial" w:hAnsi="Arial"/>
          <w:sz w:val="24"/>
          <w:szCs w:val="24"/>
        </w:rPr>
        <w:t>é</w:t>
      </w:r>
      <w:r w:rsidRPr="4C1A2E3B" w:rsidR="77BC3735">
        <w:rPr>
          <w:rFonts w:ascii="Arial" w:hAnsi="Arial"/>
          <w:sz w:val="24"/>
          <w:szCs w:val="24"/>
        </w:rPr>
        <w:t>d</w:t>
      </w:r>
      <w:proofErr w:type="spellEnd"/>
      <w:r w:rsidRPr="4C1A2E3B" w:rsidR="77BC3735">
        <w:rPr>
          <w:rFonts w:ascii="Arial" w:hAnsi="Arial"/>
          <w:sz w:val="24"/>
          <w:szCs w:val="24"/>
        </w:rPr>
        <w:t>. Bethesda: AABB</w:t>
      </w:r>
      <w:r w:rsidRPr="4C1A2E3B" w:rsidR="22039E4D">
        <w:rPr>
          <w:rFonts w:ascii="Arial" w:hAnsi="Arial"/>
          <w:sz w:val="24"/>
          <w:szCs w:val="24"/>
        </w:rPr>
        <w:t> </w:t>
      </w:r>
      <w:r w:rsidRPr="4C1A2E3B" w:rsidR="77BC3735">
        <w:rPr>
          <w:rFonts w:ascii="Arial" w:hAnsi="Arial"/>
          <w:sz w:val="24"/>
          <w:szCs w:val="24"/>
        </w:rPr>
        <w:t xml:space="preserve">; </w:t>
      </w:r>
      <w:r w:rsidRPr="4C1A2E3B" w:rsidR="6FEAEA22">
        <w:rPr>
          <w:rFonts w:ascii="Arial" w:hAnsi="Arial"/>
          <w:sz w:val="24"/>
          <w:szCs w:val="24"/>
        </w:rPr>
        <w:t>20</w:t>
      </w:r>
      <w:r w:rsidRPr="4C1A2E3B" w:rsidR="77BC3735">
        <w:rPr>
          <w:rFonts w:ascii="Arial" w:hAnsi="Arial"/>
          <w:sz w:val="24"/>
          <w:szCs w:val="24"/>
        </w:rPr>
        <w:t>20</w:t>
      </w:r>
      <w:r w:rsidRPr="4C1A2E3B" w:rsidR="22039E4D">
        <w:rPr>
          <w:rFonts w:ascii="Arial" w:hAnsi="Arial"/>
          <w:sz w:val="24"/>
          <w:szCs w:val="24"/>
        </w:rPr>
        <w:t> </w:t>
      </w:r>
      <w:r w:rsidRPr="4C1A2E3B" w:rsidR="6FEAEA22">
        <w:rPr>
          <w:rFonts w:ascii="Arial" w:hAnsi="Arial"/>
          <w:sz w:val="24"/>
          <w:szCs w:val="24"/>
        </w:rPr>
        <w:t xml:space="preserve">; </w:t>
      </w:r>
      <w:r w:rsidRPr="4C1A2E3B" w:rsidR="77BC3735">
        <w:rPr>
          <w:rFonts w:ascii="Arial" w:hAnsi="Arial"/>
          <w:sz w:val="24"/>
          <w:szCs w:val="24"/>
        </w:rPr>
        <w:t xml:space="preserve">p. </w:t>
      </w:r>
      <w:r w:rsidRPr="4C1A2E3B" w:rsidR="117073F7">
        <w:rPr>
          <w:rFonts w:ascii="Arial" w:hAnsi="Arial"/>
          <w:sz w:val="24"/>
          <w:szCs w:val="24"/>
        </w:rPr>
        <w:t>53</w:t>
      </w:r>
      <w:r w:rsidRPr="4C1A2E3B" w:rsidR="77BC3735">
        <w:rPr>
          <w:rFonts w:ascii="Arial" w:hAnsi="Arial"/>
          <w:sz w:val="24"/>
          <w:szCs w:val="24"/>
        </w:rPr>
        <w:t>0</w:t>
      </w:r>
      <w:r w:rsidRPr="4C1A2E3B" w:rsidR="117073F7">
        <w:rPr>
          <w:rFonts w:ascii="Arial" w:hAnsi="Arial"/>
          <w:sz w:val="24"/>
          <w:szCs w:val="24"/>
        </w:rPr>
        <w:t>,</w:t>
      </w:r>
      <w:r w:rsidRPr="4C1A2E3B" w:rsidR="6FEAEA22">
        <w:rPr>
          <w:rFonts w:ascii="Arial" w:hAnsi="Arial"/>
          <w:sz w:val="24"/>
          <w:szCs w:val="24"/>
        </w:rPr>
        <w:t>56</w:t>
      </w:r>
      <w:r w:rsidRPr="4C1A2E3B" w:rsidR="77BC3735">
        <w:rPr>
          <w:rFonts w:ascii="Arial" w:hAnsi="Arial"/>
          <w:sz w:val="24"/>
          <w:szCs w:val="24"/>
        </w:rPr>
        <w:t>5</w:t>
      </w:r>
      <w:r w:rsidRPr="4C1A2E3B" w:rsidR="6FEAEA22">
        <w:rPr>
          <w:rFonts w:ascii="Arial" w:hAnsi="Arial"/>
          <w:sz w:val="24"/>
          <w:szCs w:val="24"/>
        </w:rPr>
        <w:t>,</w:t>
      </w:r>
      <w:r w:rsidRPr="4C1A2E3B" w:rsidR="77BC3735">
        <w:rPr>
          <w:rFonts w:ascii="Arial" w:hAnsi="Arial"/>
          <w:sz w:val="24"/>
          <w:szCs w:val="24"/>
        </w:rPr>
        <w:t xml:space="preserve"> 568</w:t>
      </w:r>
      <w:r w:rsidRPr="4C1A2E3B" w:rsidR="6FEAEA22">
        <w:rPr>
          <w:rFonts w:ascii="Arial" w:hAnsi="Arial"/>
          <w:sz w:val="24"/>
          <w:szCs w:val="24"/>
        </w:rPr>
        <w:t>.</w:t>
      </w:r>
    </w:p>
    <w:p w:rsidR="002248DF" w:rsidP="002248DF" w:rsidRDefault="002248DF" w14:paraId="686DDD97" w14:textId="77777777">
      <w:pPr>
        <w:ind w:left="1288"/>
        <w:rPr>
          <w:rFonts w:ascii="Arial" w:hAnsi="Arial"/>
          <w:sz w:val="24"/>
        </w:rPr>
      </w:pPr>
    </w:p>
    <w:p w:rsidRPr="003C0A52" w:rsidR="002248DF" w:rsidP="0087662A" w:rsidRDefault="002248DF" w14:paraId="59DAE1D0" w14:textId="77777777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 w:rsidRPr="003C0A52">
        <w:rPr>
          <w:rFonts w:ascii="Arial" w:hAnsi="Arial" w:eastAsia="Arial" w:cs="Arial"/>
          <w:color w:val="000000"/>
          <w:sz w:val="24"/>
          <w:szCs w:val="24"/>
          <w:lang w:val="fr-CA"/>
        </w:rPr>
        <w:t xml:space="preserve">CAN/CSA-Z902:20. </w:t>
      </w:r>
      <w:r w:rsidRPr="003C0A52" w:rsidR="003C0A52">
        <w:rPr>
          <w:rFonts w:ascii="Arial" w:hAnsi="Arial" w:eastAsia="Arial" w:cs="Arial"/>
          <w:color w:val="000000"/>
          <w:sz w:val="24"/>
          <w:szCs w:val="24"/>
          <w:lang w:val="fr-CA"/>
        </w:rPr>
        <w:t>Sang et composants sanguins labiles</w:t>
      </w:r>
      <w:r w:rsidRPr="003C0A52">
        <w:rPr>
          <w:rFonts w:ascii="Arial" w:hAnsi="Arial" w:eastAsia="Arial" w:cs="Arial"/>
          <w:color w:val="000000"/>
          <w:sz w:val="24"/>
          <w:szCs w:val="24"/>
          <w:lang w:val="fr-CA"/>
        </w:rPr>
        <w:t>.</w:t>
      </w:r>
      <w:r w:rsidRPr="003C0A52" w:rsidR="003C0A52">
        <w:rPr>
          <w:rFonts w:ascii="Arial" w:hAnsi="Arial" w:eastAsia="Arial" w:cs="Arial"/>
          <w:color w:val="000000"/>
          <w:sz w:val="24"/>
          <w:szCs w:val="24"/>
          <w:lang w:val="fr-CA"/>
        </w:rPr>
        <w:t xml:space="preserve"> Conseil canadien des normes</w:t>
      </w:r>
      <w:r w:rsidRPr="003C0A52">
        <w:rPr>
          <w:rFonts w:ascii="Arial" w:hAnsi="Arial" w:eastAsia="Arial" w:cs="Arial"/>
          <w:color w:val="000000"/>
          <w:sz w:val="24"/>
          <w:szCs w:val="24"/>
          <w:lang w:val="fr-CA"/>
        </w:rPr>
        <w:t xml:space="preserve"> Toronto;</w:t>
      </w:r>
      <w:r w:rsidR="001822D2">
        <w:rPr>
          <w:rFonts w:ascii="Arial" w:hAnsi="Arial" w:eastAsia="Arial" w:cs="Arial"/>
          <w:color w:val="000000"/>
          <w:sz w:val="24"/>
          <w:szCs w:val="24"/>
          <w:lang w:val="fr-CA"/>
        </w:rPr>
        <w:t xml:space="preserve"> </w:t>
      </w:r>
      <w:r w:rsidRPr="003C0A52">
        <w:rPr>
          <w:rFonts w:ascii="Arial" w:hAnsi="Arial" w:eastAsia="Arial" w:cs="Arial"/>
          <w:color w:val="000000"/>
          <w:sz w:val="24"/>
          <w:szCs w:val="24"/>
          <w:lang w:val="fr-CA"/>
        </w:rPr>
        <w:t>2020</w:t>
      </w:r>
      <w:r w:rsidR="001822D2">
        <w:rPr>
          <w:rFonts w:ascii="Arial" w:hAnsi="Arial" w:eastAsia="Arial" w:cs="Arial"/>
          <w:color w:val="000000"/>
          <w:sz w:val="24"/>
          <w:szCs w:val="24"/>
          <w:lang w:val="fr-CA"/>
        </w:rPr>
        <w:t> </w:t>
      </w:r>
      <w:r w:rsidR="003C0A52">
        <w:rPr>
          <w:rFonts w:ascii="Arial" w:hAnsi="Arial" w:eastAsia="Arial" w:cs="Arial"/>
          <w:color w:val="000000"/>
          <w:sz w:val="24"/>
          <w:szCs w:val="24"/>
          <w:lang w:val="fr-CA"/>
        </w:rPr>
        <w:t>; 11.4, 11.9.</w:t>
      </w:r>
    </w:p>
    <w:p w:rsidRPr="00B10ECF" w:rsidR="00E76DA8" w:rsidP="00E76DA8" w:rsidRDefault="00E76DA8" w14:paraId="3D15E159" w14:textId="77777777">
      <w:pPr>
        <w:pStyle w:val="ListParagraph"/>
        <w:rPr>
          <w:rFonts w:ascii="Arial" w:hAnsi="Arial"/>
          <w:sz w:val="24"/>
          <w:lang w:val="fr-CA"/>
        </w:rPr>
      </w:pPr>
    </w:p>
    <w:p w:rsidRPr="00502F9B" w:rsidR="00502F9B" w:rsidP="0087662A" w:rsidRDefault="00502F9B" w14:paraId="0B72E5AF" w14:textId="77777777">
      <w:pPr>
        <w:numPr>
          <w:ilvl w:val="1"/>
          <w:numId w:val="25"/>
        </w:numPr>
        <w:rPr>
          <w:rFonts w:ascii="Arial" w:hAnsi="Arial"/>
          <w:i/>
          <w:sz w:val="24"/>
          <w:lang w:val="fr-CA"/>
        </w:rPr>
      </w:pPr>
      <w:r w:rsidRPr="00CB041A">
        <w:rPr>
          <w:rFonts w:ascii="Arial" w:hAnsi="Arial" w:cs="Arial"/>
          <w:sz w:val="24"/>
          <w:szCs w:val="24"/>
        </w:rPr>
        <w:t xml:space="preserve">Callum JL, Pinkerton PH, Lima A, Lin Y, </w:t>
      </w:r>
      <w:proofErr w:type="spellStart"/>
      <w:r w:rsidRPr="00CB041A">
        <w:rPr>
          <w:rFonts w:ascii="Arial" w:hAnsi="Arial" w:cs="Arial"/>
          <w:sz w:val="24"/>
          <w:szCs w:val="24"/>
        </w:rPr>
        <w:t>Karkouti</w:t>
      </w:r>
      <w:proofErr w:type="spellEnd"/>
      <w:r w:rsidRPr="00CB041A">
        <w:rPr>
          <w:rFonts w:ascii="Arial" w:hAnsi="Arial" w:cs="Arial"/>
          <w:sz w:val="24"/>
          <w:szCs w:val="24"/>
        </w:rPr>
        <w:t xml:space="preserve"> K, Lieberman L </w:t>
      </w:r>
      <w:r>
        <w:rPr>
          <w:rFonts w:ascii="Arial" w:hAnsi="Arial" w:cs="Arial"/>
          <w:sz w:val="24"/>
          <w:szCs w:val="24"/>
        </w:rPr>
        <w:t xml:space="preserve">et coll. </w:t>
      </w:r>
      <w:proofErr w:type="spellStart"/>
      <w:r w:rsidRPr="00E76DA8" w:rsidR="00E76DA8">
        <w:rPr>
          <w:rFonts w:ascii="Arial" w:hAnsi="Arial"/>
          <w:i/>
          <w:sz w:val="24"/>
          <w:lang w:val="fr-CA"/>
        </w:rPr>
        <w:t>Sang</w:t>
      </w:r>
      <w:proofErr w:type="spellEnd"/>
      <w:r w:rsidRPr="00E76DA8" w:rsidR="00E76DA8">
        <w:rPr>
          <w:rFonts w:ascii="Arial" w:hAnsi="Arial"/>
          <w:i/>
          <w:sz w:val="24"/>
          <w:lang w:val="fr-CA"/>
        </w:rPr>
        <w:t xml:space="preserve"> difficulté</w:t>
      </w:r>
      <w:r w:rsidR="007E02DE">
        <w:rPr>
          <w:rFonts w:ascii="Arial" w:hAnsi="Arial"/>
          <w:i/>
          <w:sz w:val="24"/>
          <w:lang w:val="fr-CA"/>
        </w:rPr>
        <w:t> </w:t>
      </w:r>
      <w:r>
        <w:rPr>
          <w:rFonts w:ascii="Arial" w:hAnsi="Arial"/>
          <w:i/>
          <w:sz w:val="24"/>
          <w:lang w:val="fr-CA"/>
        </w:rPr>
        <w:t>4. Toronto</w:t>
      </w:r>
      <w:r w:rsidR="001822D2">
        <w:rPr>
          <w:rFonts w:ascii="Arial" w:hAnsi="Arial"/>
          <w:i/>
          <w:sz w:val="24"/>
          <w:lang w:val="fr-CA"/>
        </w:rPr>
        <w:t> </w:t>
      </w:r>
      <w:r>
        <w:rPr>
          <w:rFonts w:ascii="Arial" w:hAnsi="Arial"/>
          <w:i/>
          <w:sz w:val="24"/>
          <w:lang w:val="fr-CA"/>
        </w:rPr>
        <w:t>; RRoCS</w:t>
      </w:r>
      <w:r w:rsidR="00E76DA8">
        <w:rPr>
          <w:rFonts w:ascii="Arial" w:hAnsi="Arial"/>
          <w:i/>
          <w:sz w:val="24"/>
          <w:lang w:val="fr-CA"/>
        </w:rPr>
        <w:t xml:space="preserve"> </w:t>
      </w:r>
      <w:r w:rsidR="00E76DA8">
        <w:rPr>
          <w:rFonts w:ascii="Arial" w:hAnsi="Arial"/>
          <w:sz w:val="24"/>
          <w:lang w:val="fr-CA"/>
        </w:rPr>
        <w:t>(201</w:t>
      </w:r>
      <w:r>
        <w:rPr>
          <w:rFonts w:ascii="Arial" w:hAnsi="Arial"/>
          <w:sz w:val="24"/>
          <w:lang w:val="fr-CA"/>
        </w:rPr>
        <w:t>6</w:t>
      </w:r>
      <w:r w:rsidR="00E76DA8">
        <w:rPr>
          <w:rFonts w:ascii="Arial" w:hAnsi="Arial"/>
          <w:sz w:val="24"/>
          <w:lang w:val="fr-CA"/>
        </w:rPr>
        <w:t>)</w:t>
      </w:r>
      <w:r w:rsidR="001822D2">
        <w:rPr>
          <w:rFonts w:ascii="Arial" w:hAnsi="Arial"/>
          <w:sz w:val="24"/>
          <w:lang w:val="fr-CA"/>
        </w:rPr>
        <w:t> </w:t>
      </w:r>
      <w:r w:rsidR="00E76DA8">
        <w:rPr>
          <w:rFonts w:ascii="Arial" w:hAnsi="Arial"/>
          <w:sz w:val="24"/>
          <w:lang w:val="fr-CA"/>
        </w:rPr>
        <w:t>;</w:t>
      </w:r>
      <w:r>
        <w:rPr>
          <w:rFonts w:ascii="Arial" w:hAnsi="Arial"/>
          <w:sz w:val="24"/>
          <w:lang w:val="fr-CA"/>
        </w:rPr>
        <w:t xml:space="preserve"> </w:t>
      </w:r>
      <w:r w:rsidR="000B1BB2">
        <w:rPr>
          <w:rFonts w:ascii="Arial" w:hAnsi="Arial"/>
          <w:sz w:val="24"/>
          <w:lang w:val="fr-CA"/>
        </w:rPr>
        <w:t>2</w:t>
      </w:r>
      <w:r>
        <w:rPr>
          <w:rFonts w:ascii="Arial" w:hAnsi="Arial"/>
          <w:sz w:val="24"/>
          <w:lang w:val="fr-CA"/>
        </w:rPr>
        <w:t>9</w:t>
      </w:r>
      <w:r w:rsidR="000B1BB2">
        <w:rPr>
          <w:rFonts w:ascii="Arial" w:hAnsi="Arial"/>
          <w:sz w:val="24"/>
          <w:lang w:val="fr-CA"/>
        </w:rPr>
        <w:t>.</w:t>
      </w:r>
      <w:r w:rsidR="00E76DA8">
        <w:rPr>
          <w:rFonts w:ascii="Arial" w:hAnsi="Arial"/>
          <w:sz w:val="24"/>
          <w:lang w:val="fr-CA"/>
        </w:rPr>
        <w:t xml:space="preserve"> </w:t>
      </w:r>
      <w:r w:rsidR="003C0A52">
        <w:rPr>
          <w:rFonts w:ascii="Arial" w:hAnsi="Arial"/>
          <w:sz w:val="24"/>
          <w:lang w:val="fr-CA"/>
        </w:rPr>
        <w:br/>
      </w:r>
    </w:p>
    <w:p w:rsidR="00E76DA8" w:rsidP="0087662A" w:rsidRDefault="00502F9B" w14:paraId="51E20F97" w14:textId="77777777">
      <w:pPr>
        <w:numPr>
          <w:ilvl w:val="1"/>
          <w:numId w:val="25"/>
        </w:numPr>
        <w:rPr>
          <w:rFonts w:ascii="Arial" w:hAnsi="Arial"/>
          <w:i/>
          <w:sz w:val="24"/>
          <w:lang w:val="fr-CA"/>
        </w:rPr>
      </w:pPr>
      <w:r>
        <w:rPr>
          <w:rFonts w:ascii="Arial" w:hAnsi="Arial"/>
          <w:sz w:val="24"/>
          <w:lang w:val="fr-CA"/>
        </w:rPr>
        <w:t>Rh Program of Nova Scotia, Halifax, Nouvelle-Écosse, révision de janvier 2017</w:t>
      </w:r>
      <w:r w:rsidR="00E87E79">
        <w:rPr>
          <w:rFonts w:ascii="Arial" w:hAnsi="Arial"/>
          <w:sz w:val="24"/>
          <w:lang w:val="fr-CA"/>
        </w:rPr>
        <w:t>.</w:t>
      </w:r>
    </w:p>
    <w:p w:rsidRPr="00502F9B" w:rsidR="00502F9B" w:rsidP="00502F9B" w:rsidRDefault="000E7D50" w14:paraId="687CE35A" w14:textId="77777777">
      <w:pPr>
        <w:spacing w:line="228" w:lineRule="auto"/>
        <w:ind w:left="720"/>
        <w:rPr>
          <w:b/>
          <w:lang w:val="fr-CA"/>
        </w:rPr>
      </w:pPr>
      <w:r>
        <w:rPr>
          <w:b/>
          <w:lang w:val="fr-CA"/>
        </w:rPr>
        <w:br/>
      </w:r>
    </w:p>
    <w:p w:rsidRPr="00502F9B" w:rsidR="00061330" w:rsidP="00502F9B" w:rsidRDefault="00061330" w14:paraId="1A2AE92F" w14:textId="77777777">
      <w:pPr>
        <w:spacing w:line="228" w:lineRule="auto"/>
        <w:rPr>
          <w:b/>
          <w:lang w:val="fr-CA"/>
        </w:rPr>
      </w:pPr>
      <w:r w:rsidRPr="00502F9B">
        <w:rPr>
          <w:rFonts w:ascii="Arial" w:hAnsi="Arial" w:cs="Arial"/>
          <w:b/>
          <w:sz w:val="28"/>
          <w:lang w:val="fr-CA"/>
        </w:rPr>
        <w:t>1</w:t>
      </w:r>
      <w:r w:rsidR="000E7D50">
        <w:rPr>
          <w:rFonts w:ascii="Arial" w:hAnsi="Arial" w:cs="Arial"/>
          <w:b/>
          <w:sz w:val="28"/>
          <w:lang w:val="fr-CA"/>
        </w:rPr>
        <w:t>0</w:t>
      </w:r>
      <w:r w:rsidRPr="00502F9B">
        <w:rPr>
          <w:rFonts w:ascii="Arial" w:hAnsi="Arial" w:cs="Arial"/>
          <w:b/>
          <w:sz w:val="28"/>
          <w:lang w:val="fr-CA"/>
        </w:rPr>
        <w:t>.0</w:t>
      </w:r>
      <w:r w:rsidRPr="00502F9B">
        <w:rPr>
          <w:rFonts w:ascii="Arial" w:hAnsi="Arial" w:cs="Arial"/>
          <w:b/>
          <w:sz w:val="28"/>
          <w:lang w:val="fr-CA"/>
        </w:rPr>
        <w:tab/>
      </w:r>
      <w:r w:rsidRPr="00502F9B">
        <w:rPr>
          <w:rFonts w:ascii="Arial" w:hAnsi="Arial" w:cs="Arial"/>
          <w:b/>
          <w:sz w:val="28"/>
          <w:lang w:val="fr-CA"/>
        </w:rPr>
        <w:t>Suivi des révisions</w:t>
      </w:r>
    </w:p>
    <w:p w:rsidRPr="0076251F" w:rsidR="00061330" w:rsidP="00061330" w:rsidRDefault="00061330" w14:paraId="7B4082B8" w14:textId="77777777">
      <w:pPr>
        <w:ind w:left="720"/>
        <w:jc w:val="center"/>
        <w:rPr>
          <w:rFonts w:ascii="Arial" w:hAnsi="Arial" w:cs="Arial"/>
          <w:b/>
          <w:szCs w:val="24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8"/>
        <w:gridCol w:w="6595"/>
      </w:tblGrid>
      <w:tr w:rsidRPr="0076251F" w:rsidR="00061330" w:rsidTr="00FB54C0" w14:paraId="11746986" w14:textId="77777777">
        <w:tc>
          <w:tcPr>
            <w:tcW w:w="2235" w:type="dxa"/>
            <w:shd w:val="clear" w:color="auto" w:fill="F2F2F2"/>
          </w:tcPr>
          <w:p w:rsidRPr="0076251F" w:rsidR="00061330" w:rsidP="00FB54C0" w:rsidRDefault="00061330" w14:paraId="74E3B418" w14:textId="7777777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Date de la révision</w:t>
            </w:r>
          </w:p>
        </w:tc>
        <w:tc>
          <w:tcPr>
            <w:tcW w:w="6621" w:type="dxa"/>
            <w:shd w:val="clear" w:color="auto" w:fill="F2F2F2"/>
          </w:tcPr>
          <w:p w:rsidRPr="0076251F" w:rsidR="00061330" w:rsidP="00FB54C0" w:rsidRDefault="00061330" w14:paraId="5E80E23F" w14:textId="77777777">
            <w:pPr>
              <w:rPr>
                <w:rFonts w:ascii="Arial" w:hAnsi="Arial" w:cs="Arial"/>
                <w:b/>
                <w:szCs w:val="24"/>
                <w:lang w:val="fr-CA"/>
              </w:rPr>
            </w:pPr>
            <w:r w:rsidRPr="0076251F">
              <w:rPr>
                <w:rFonts w:ascii="Arial" w:hAnsi="Arial" w:cs="Arial"/>
                <w:b/>
                <w:szCs w:val="24"/>
                <w:lang w:val="fr-CA"/>
              </w:rPr>
              <w:t>Résumé des changements</w:t>
            </w:r>
          </w:p>
        </w:tc>
      </w:tr>
      <w:tr w:rsidRPr="0076251F" w:rsidR="00061330" w:rsidTr="000E7D50" w14:paraId="1E7D11BF" w14:textId="77777777">
        <w:trPr>
          <w:trHeight w:val="704"/>
        </w:trPr>
        <w:tc>
          <w:tcPr>
            <w:tcW w:w="2235" w:type="dxa"/>
            <w:shd w:val="clear" w:color="auto" w:fill="auto"/>
          </w:tcPr>
          <w:p w:rsidRPr="0076251F" w:rsidR="00061330" w:rsidP="00FB54C0" w:rsidRDefault="00061330" w14:paraId="3A00FCF7" w14:textId="7777777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8 août </w:t>
            </w:r>
            <w:r w:rsidRPr="0076251F">
              <w:rPr>
                <w:rFonts w:ascii="Arial" w:hAnsi="Arial" w:cs="Arial"/>
                <w:sz w:val="22"/>
                <w:szCs w:val="22"/>
                <w:lang w:val="fr-CA"/>
              </w:rPr>
              <w:t>2014</w:t>
            </w:r>
          </w:p>
        </w:tc>
        <w:tc>
          <w:tcPr>
            <w:tcW w:w="6621" w:type="dxa"/>
            <w:shd w:val="clear" w:color="auto" w:fill="auto"/>
          </w:tcPr>
          <w:p w:rsidR="00061330" w:rsidP="00061330" w:rsidRDefault="00061330" w14:paraId="52F56DEA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061330" w:rsidP="00061330" w:rsidRDefault="000B1BB2" w14:paraId="2C869036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et renumérotation des sections</w:t>
            </w:r>
            <w:r w:rsidR="007E02DE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2.0 et 8.0</w:t>
            </w:r>
          </w:p>
          <w:p w:rsidR="00061330" w:rsidP="00061330" w:rsidRDefault="00061330" w14:paraId="4157382A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</w:t>
            </w:r>
            <w:r w:rsidR="000B1BB2">
              <w:rPr>
                <w:rFonts w:ascii="Arial" w:hAnsi="Arial" w:cs="Arial"/>
                <w:sz w:val="22"/>
                <w:szCs w:val="22"/>
                <w:lang w:val="fr-CA"/>
              </w:rPr>
              <w:t>u tableau en 6.1</w:t>
            </w:r>
          </w:p>
          <w:p w:rsidR="000B1BB2" w:rsidP="00061330" w:rsidRDefault="000B1BB2" w14:paraId="4A128736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Modification du libellé en 6.2 pour inclure «</w:t>
            </w:r>
            <w:r w:rsidR="001822D2"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le nom du professionnel de la santé</w:t>
            </w:r>
            <w:r w:rsidR="001822D2">
              <w:rPr>
                <w:rFonts w:ascii="Arial" w:hAnsi="Arial" w:cs="Arial"/>
                <w:sz w:val="22"/>
                <w:szCs w:val="22"/>
                <w:lang w:val="fr-CA"/>
              </w:rPr>
              <w:t> 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»</w:t>
            </w:r>
          </w:p>
          <w:p w:rsidRPr="0076251F" w:rsidR="00061330" w:rsidP="00E87E79" w:rsidRDefault="00061330" w14:paraId="43DA084C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 xml:space="preserve">Mise à jour de </w:t>
            </w:r>
            <w:r w:rsidR="00E87E79">
              <w:rPr>
                <w:rFonts w:ascii="Arial" w:hAnsi="Arial" w:cs="Arial"/>
                <w:sz w:val="22"/>
                <w:szCs w:val="22"/>
                <w:lang w:val="fr-CA"/>
              </w:rPr>
              <w:t>la liste d</w:t>
            </w:r>
            <w:r w:rsidRPr="00CE366D">
              <w:rPr>
                <w:rFonts w:ascii="Arial" w:hAnsi="Arial" w:cs="Arial"/>
                <w:sz w:val="22"/>
                <w:szCs w:val="22"/>
                <w:lang w:val="fr-CA"/>
              </w:rPr>
              <w:t>es références</w:t>
            </w:r>
          </w:p>
        </w:tc>
      </w:tr>
      <w:tr w:rsidRPr="0076251F" w:rsidR="00E87E79" w:rsidTr="00FB54C0" w14:paraId="7AE6B7DA" w14:textId="77777777">
        <w:trPr>
          <w:trHeight w:val="1130"/>
        </w:trPr>
        <w:tc>
          <w:tcPr>
            <w:tcW w:w="2235" w:type="dxa"/>
            <w:shd w:val="clear" w:color="auto" w:fill="auto"/>
          </w:tcPr>
          <w:p w:rsidR="00E87E79" w:rsidP="00FB54C0" w:rsidRDefault="00E87E79" w14:paraId="3F1E8076" w14:textId="7777777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juillet 2021</w:t>
            </w:r>
          </w:p>
        </w:tc>
        <w:tc>
          <w:tcPr>
            <w:tcW w:w="6621" w:type="dxa"/>
            <w:shd w:val="clear" w:color="auto" w:fill="auto"/>
          </w:tcPr>
          <w:p w:rsidR="00E87E79" w:rsidP="00061330" w:rsidRDefault="00E87E79" w14:paraId="103311ED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et renumérotation des sections</w:t>
            </w:r>
          </w:p>
          <w:p w:rsidR="00E87E79" w:rsidP="00E87E79" w:rsidRDefault="00E87E79" w14:paraId="12436986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Ajout de la Raison d’être</w:t>
            </w:r>
          </w:p>
          <w:p w:rsidR="00E87E79" w:rsidP="00E87E79" w:rsidRDefault="00E87E79" w14:paraId="3F33E48A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du tableau dans la section 7.1</w:t>
            </w:r>
          </w:p>
          <w:p w:rsidRPr="00CE366D" w:rsidR="00E87E79" w:rsidP="00E87E79" w:rsidRDefault="00E87E79" w14:paraId="44D35813" w14:textId="77777777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Mise à jour de la liste des références</w:t>
            </w:r>
          </w:p>
        </w:tc>
      </w:tr>
    </w:tbl>
    <w:p w:rsidRPr="003C62BD" w:rsidR="0058239C" w:rsidP="000104A2" w:rsidRDefault="0058239C" w14:paraId="00281611" w14:textId="77777777">
      <w:pPr>
        <w:tabs>
          <w:tab w:val="left" w:pos="2691"/>
        </w:tabs>
        <w:rPr>
          <w:color w:val="000000"/>
          <w:lang w:val="fr-CA"/>
        </w:rPr>
      </w:pPr>
    </w:p>
    <w:sectPr w:rsidRPr="003C62BD" w:rsidR="0058239C" w:rsidSect="000E7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1264" w:right="1610" w:bottom="244" w:left="1797" w:header="720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33C" w:rsidRDefault="00C9133C" w14:paraId="7B742924" w14:textId="77777777">
      <w:r>
        <w:separator/>
      </w:r>
    </w:p>
  </w:endnote>
  <w:endnote w:type="continuationSeparator" w:id="0">
    <w:p w:rsidR="00C9133C" w:rsidRDefault="00C9133C" w14:paraId="742C13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CF" w:rsidRDefault="00B10ECF" w14:paraId="745C8A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Borders>
        <w:top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310DC" w14:paraId="0983CE39" w14:textId="7777777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310DC" w:rsidRDefault="00D310DC" w14:paraId="73988A25" w14:textId="77777777">
          <w:pPr>
            <w:pStyle w:val="Footer"/>
            <w:jc w:val="center"/>
            <w:rPr>
              <w:sz w:val="8"/>
            </w:rPr>
          </w:pPr>
        </w:p>
        <w:p w:rsidR="00D310DC" w:rsidRDefault="0071251A" w14:paraId="3DF8A22E" w14:textId="772F593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 wp14:anchorId="7B67AE9B" wp14:editId="35A0DC47">
                <wp:extent cx="7048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310DC" w:rsidRDefault="00D310DC" w14:paraId="0672988E" w14:textId="77777777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B140A" w:rsidP="008B140A" w:rsidRDefault="008B140A" w14:paraId="75532AE4" w14:textId="77777777">
          <w:pPr>
            <w:pStyle w:val="Footer"/>
            <w:jc w:val="center"/>
            <w:rPr>
              <w:rFonts w:ascii="Arial" w:hAnsi="Arial" w:cs="Arial"/>
              <w:bCs/>
              <w:sz w:val="22"/>
              <w:szCs w:val="28"/>
              <w:lang w:val="fr-CA"/>
            </w:rPr>
          </w:pPr>
        </w:p>
        <w:p w:rsidRPr="008B140A" w:rsidR="008B140A" w:rsidP="008B140A" w:rsidRDefault="008B140A" w14:paraId="12A16C95" w14:textId="77777777">
          <w:pPr>
            <w:pStyle w:val="Footer"/>
            <w:jc w:val="center"/>
            <w:rPr>
              <w:rFonts w:ascii="Arial" w:hAnsi="Arial"/>
              <w:sz w:val="22"/>
              <w:lang w:val="fr-CA"/>
            </w:rPr>
          </w:pPr>
          <w:r w:rsidRPr="008B140A">
            <w:rPr>
              <w:rFonts w:ascii="Arial" w:hAnsi="Arial" w:cs="Arial"/>
              <w:bCs/>
              <w:sz w:val="22"/>
              <w:szCs w:val="28"/>
              <w:lang w:val="fr-CA"/>
            </w:rPr>
            <w:t xml:space="preserve">Manuel de ressources techniques en transfusion </w:t>
          </w:r>
        </w:p>
        <w:p w:rsidRPr="00B10ECF" w:rsidR="00D310DC" w:rsidRDefault="00D310DC" w14:paraId="55CF5E6E" w14:textId="7777777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Pr="00B10ECF" w:rsidR="00D310DC" w:rsidRDefault="00D310DC" w14:paraId="0F6674AF" w14:textId="77777777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310DC" w:rsidP="00143260" w:rsidRDefault="00D310DC" w14:paraId="6897256E" w14:textId="7777777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GS.008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368DA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368DA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310DC" w:rsidRDefault="00D310DC" w14:paraId="208B0B5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Borders>
        <w:top w:val="single" w:color="auto" w:sz="4" w:space="0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310DC" w14:paraId="5305B413" w14:textId="7777777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310DC" w:rsidRDefault="00D310DC" w14:paraId="2649EEA2" w14:textId="77777777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310DC" w:rsidRDefault="0071251A" w14:paraId="7D5495A3" w14:textId="2002B57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 wp14:anchorId="53A2632C" wp14:editId="3AB3D517">
                <wp:extent cx="704850" cy="552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310DC" w:rsidRDefault="00D310DC" w14:paraId="30FD97C9" w14:textId="77777777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B140A" w:rsidP="00061330" w:rsidRDefault="008B140A" w14:paraId="0BB4C061" w14:textId="77777777">
          <w:pPr>
            <w:pStyle w:val="Footer"/>
            <w:jc w:val="center"/>
            <w:rPr>
              <w:rFonts w:ascii="Arial" w:hAnsi="Arial" w:cs="Arial"/>
              <w:bCs/>
              <w:sz w:val="22"/>
              <w:szCs w:val="28"/>
              <w:lang w:val="fr-CA"/>
            </w:rPr>
          </w:pPr>
        </w:p>
        <w:p w:rsidRPr="008B140A" w:rsidR="00D310DC" w:rsidP="00061330" w:rsidRDefault="00D310DC" w14:paraId="30451238" w14:textId="77777777">
          <w:pPr>
            <w:pStyle w:val="Footer"/>
            <w:jc w:val="center"/>
            <w:rPr>
              <w:rFonts w:ascii="Arial" w:hAnsi="Arial"/>
              <w:sz w:val="22"/>
              <w:lang w:val="fr-CA"/>
            </w:rPr>
          </w:pPr>
          <w:r w:rsidRPr="008B140A">
            <w:rPr>
              <w:rFonts w:ascii="Arial" w:hAnsi="Arial" w:cs="Arial"/>
              <w:bCs/>
              <w:sz w:val="22"/>
              <w:szCs w:val="28"/>
              <w:lang w:val="fr-CA"/>
            </w:rPr>
            <w:t xml:space="preserve">Manuel de ressources techniques en transfusion </w:t>
          </w:r>
        </w:p>
        <w:p w:rsidRPr="00B10ECF" w:rsidR="00D310DC" w:rsidRDefault="00D310DC" w14:paraId="64D8C509" w14:textId="7777777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Pr="00B10ECF" w:rsidR="00D310DC" w:rsidRDefault="00D310DC" w14:paraId="6B0BCA2D" w14:textId="77777777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310DC" w:rsidP="00061330" w:rsidRDefault="00D310DC" w14:paraId="3E580D5E" w14:textId="7777777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GS.008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368D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368DA">
            <w:rPr>
              <w:rFonts w:ascii="Arial" w:hAnsi="Arial"/>
              <w:noProof/>
              <w:snapToGrid w:val="0"/>
              <w:sz w:val="18"/>
            </w:rPr>
            <w:t>6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310DC" w:rsidRDefault="00D310DC" w14:paraId="1CDA30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33C" w:rsidRDefault="00C9133C" w14:paraId="06C2EFFA" w14:textId="77777777">
      <w:r>
        <w:separator/>
      </w:r>
    </w:p>
  </w:footnote>
  <w:footnote w:type="continuationSeparator" w:id="0">
    <w:p w:rsidR="00C9133C" w:rsidRDefault="00C9133C" w14:paraId="77E60B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CF" w:rsidRDefault="00B10ECF" w14:paraId="47ED77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D04D5" w:rsidR="00D310DC" w:rsidP="0057561E" w:rsidRDefault="00D310DC" w14:paraId="13025903" w14:textId="77777777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9D04D5">
      <w:rPr>
        <w:rFonts w:ascii="Arial" w:hAnsi="Arial"/>
        <w:b/>
        <w:color w:val="000000"/>
        <w:sz w:val="28"/>
        <w:lang w:val="fr-CA"/>
      </w:rPr>
      <w:t>Mise en circulation d’</w:t>
    </w:r>
    <w:r>
      <w:rPr>
        <w:rFonts w:ascii="Arial" w:hAnsi="Arial"/>
        <w:b/>
        <w:color w:val="000000"/>
        <w:sz w:val="28"/>
        <w:lang w:val="fr-CA"/>
      </w:rPr>
      <w:t>i</w:t>
    </w:r>
    <w:r w:rsidRPr="009D04D5">
      <w:rPr>
        <w:rFonts w:ascii="Arial" w:hAnsi="Arial"/>
        <w:b/>
        <w:color w:val="000000"/>
        <w:sz w:val="28"/>
        <w:lang w:val="fr-CA"/>
      </w:rPr>
      <w:t>mmunoglobuline Rh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7561E" w:rsidR="00D310DC" w:rsidRDefault="00D310DC" w14:paraId="368A49AE" w14:textId="77777777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  <w:lang w:val="fr-CA"/>
      </w:rPr>
    </w:pPr>
  </w:p>
  <w:tbl>
    <w:tblPr>
      <w:tblW w:w="960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4503"/>
      <w:gridCol w:w="2126"/>
      <w:gridCol w:w="2977"/>
    </w:tblGrid>
    <w:tr w:rsidRPr="00E8411E" w:rsidR="00D310DC" w:rsidTr="00B10ECF" w14:paraId="0EAB7E7C" w14:textId="77777777">
      <w:trPr>
        <w:trHeight w:val="271"/>
      </w:trPr>
      <w:tc>
        <w:tcPr>
          <w:tcW w:w="4503" w:type="dxa"/>
          <w:vMerge w:val="restart"/>
          <w:vAlign w:val="center"/>
        </w:tcPr>
        <w:p w:rsidRPr="00E8411E" w:rsidR="00D310DC" w:rsidP="008368DA" w:rsidRDefault="0071251A" w14:paraId="72396097" w14:textId="7CF3C400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 wp14:anchorId="70210FAE" wp14:editId="1E8F5D1C">
                <wp:extent cx="2371725" cy="8001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</w:tcPr>
        <w:p w:rsidRPr="008B140A" w:rsidR="00D310DC" w:rsidP="00A80DF5" w:rsidRDefault="00D310DC" w14:paraId="1E3B6C88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b/>
              <w:sz w:val="22"/>
              <w:szCs w:val="22"/>
              <w:lang w:val="fr-CA"/>
            </w:rPr>
            <w:t>N</w:t>
          </w:r>
          <w:r w:rsidRPr="008B140A">
            <w:rPr>
              <w:rFonts w:ascii="Calibri" w:hAnsi="Calibri"/>
              <w:b/>
              <w:sz w:val="22"/>
              <w:szCs w:val="22"/>
              <w:vertAlign w:val="superscript"/>
              <w:lang w:val="fr-CA"/>
            </w:rPr>
            <w:t>o</w:t>
          </w:r>
          <w:r w:rsidRPr="008B140A">
            <w:rPr>
              <w:rFonts w:ascii="Calibri" w:hAnsi="Calibri"/>
              <w:b/>
              <w:sz w:val="22"/>
              <w:szCs w:val="22"/>
              <w:lang w:val="fr-CA"/>
            </w:rPr>
            <w:t xml:space="preserve"> du document :</w:t>
          </w:r>
        </w:p>
      </w:tc>
      <w:tc>
        <w:tcPr>
          <w:tcW w:w="2977" w:type="dxa"/>
          <w:shd w:val="clear" w:color="auto" w:fill="auto"/>
        </w:tcPr>
        <w:p w:rsidRPr="008B140A" w:rsidR="00D310DC" w:rsidP="00A80DF5" w:rsidRDefault="00D310DC" w14:paraId="68BF51A1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sz w:val="22"/>
              <w:szCs w:val="22"/>
              <w:lang w:val="fr-CA"/>
            </w:rPr>
            <w:t>08</w:t>
          </w:r>
        </w:p>
      </w:tc>
    </w:tr>
    <w:tr w:rsidRPr="00E8411E" w:rsidR="00D310DC" w:rsidTr="00B10ECF" w14:paraId="057A6B4D" w14:textId="77777777">
      <w:trPr>
        <w:trHeight w:val="286"/>
      </w:trPr>
      <w:tc>
        <w:tcPr>
          <w:tcW w:w="4503" w:type="dxa"/>
          <w:vMerge/>
        </w:tcPr>
        <w:p w:rsidRPr="00E8411E" w:rsidR="00D310DC" w:rsidP="00A80DF5" w:rsidRDefault="00D310DC" w14:paraId="64200B39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Pr="008B140A" w:rsidR="00D310DC" w:rsidP="00A80DF5" w:rsidRDefault="00D310DC" w14:paraId="3C5B820B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b/>
              <w:sz w:val="22"/>
              <w:szCs w:val="22"/>
              <w:lang w:val="fr-CA"/>
            </w:rPr>
            <w:t>Version :</w:t>
          </w:r>
        </w:p>
      </w:tc>
      <w:tc>
        <w:tcPr>
          <w:tcW w:w="2977" w:type="dxa"/>
          <w:shd w:val="clear" w:color="auto" w:fill="auto"/>
        </w:tcPr>
        <w:p w:rsidRPr="008B140A" w:rsidR="00D310DC" w:rsidP="00A80DF5" w:rsidRDefault="00D310DC" w14:paraId="1D98AEE6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sz w:val="22"/>
              <w:szCs w:val="22"/>
              <w:lang w:val="fr-CA"/>
            </w:rPr>
            <w:t>4</w:t>
          </w:r>
        </w:p>
      </w:tc>
    </w:tr>
    <w:tr w:rsidRPr="00E8411E" w:rsidR="00D310DC" w:rsidTr="00B10ECF" w14:paraId="475AFFC8" w14:textId="77777777">
      <w:trPr>
        <w:trHeight w:val="271"/>
      </w:trPr>
      <w:tc>
        <w:tcPr>
          <w:tcW w:w="4503" w:type="dxa"/>
          <w:vMerge/>
        </w:tcPr>
        <w:p w:rsidRPr="00E8411E" w:rsidR="00D310DC" w:rsidP="00A80DF5" w:rsidRDefault="00D310DC" w14:paraId="44730FDC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Pr="008B140A" w:rsidR="00D310DC" w:rsidP="000E7D50" w:rsidRDefault="00D310DC" w14:paraId="0D344F2E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bCs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b/>
              <w:bCs/>
              <w:sz w:val="22"/>
              <w:szCs w:val="22"/>
              <w:lang w:val="fr-CA"/>
            </w:rPr>
            <w:t>Date</w:t>
          </w:r>
          <w:r w:rsidRPr="008B140A" w:rsidR="000E7D50">
            <w:rPr>
              <w:rFonts w:ascii="Calibri" w:hAnsi="Calibri"/>
              <w:b/>
              <w:bCs/>
              <w:sz w:val="22"/>
              <w:szCs w:val="22"/>
              <w:lang w:val="fr-CA"/>
            </w:rPr>
            <w:t>(</w:t>
          </w:r>
          <w:r w:rsidRPr="008B140A">
            <w:rPr>
              <w:rFonts w:ascii="Calibri" w:hAnsi="Calibri"/>
              <w:b/>
              <w:bCs/>
              <w:sz w:val="22"/>
              <w:szCs w:val="22"/>
              <w:lang w:val="fr-CA"/>
            </w:rPr>
            <w:t>s</w:t>
          </w:r>
          <w:r w:rsidRPr="008B140A" w:rsidR="000E7D50">
            <w:rPr>
              <w:rFonts w:ascii="Calibri" w:hAnsi="Calibri"/>
              <w:b/>
              <w:bCs/>
              <w:sz w:val="22"/>
              <w:szCs w:val="22"/>
              <w:lang w:val="fr-CA"/>
            </w:rPr>
            <w:t>)</w:t>
          </w:r>
          <w:r w:rsidRPr="008B140A">
            <w:rPr>
              <w:rFonts w:ascii="Calibri" w:hAnsi="Calibri"/>
              <w:b/>
              <w:bCs/>
              <w:sz w:val="22"/>
              <w:szCs w:val="22"/>
              <w:lang w:val="fr-CA"/>
            </w:rPr>
            <w:t xml:space="preserve"> de r</w:t>
          </w:r>
          <w:r w:rsidRPr="008B140A" w:rsidR="000E7D50">
            <w:rPr>
              <w:rFonts w:ascii="Calibri" w:hAnsi="Calibri"/>
              <w:b/>
              <w:bCs/>
              <w:sz w:val="22"/>
              <w:szCs w:val="22"/>
              <w:lang w:val="fr-CA"/>
            </w:rPr>
            <w:t>é</w:t>
          </w:r>
          <w:r w:rsidRPr="008B140A">
            <w:rPr>
              <w:rFonts w:ascii="Calibri" w:hAnsi="Calibri"/>
              <w:b/>
              <w:bCs/>
              <w:sz w:val="22"/>
              <w:szCs w:val="22"/>
              <w:lang w:val="fr-CA"/>
            </w:rPr>
            <w:t>vision :</w:t>
          </w:r>
        </w:p>
      </w:tc>
      <w:tc>
        <w:tcPr>
          <w:tcW w:w="2977" w:type="dxa"/>
          <w:shd w:val="clear" w:color="auto" w:fill="auto"/>
        </w:tcPr>
        <w:p w:rsidRPr="008B140A" w:rsidR="00D310DC" w:rsidP="00A80DF5" w:rsidRDefault="000E7D50" w14:paraId="2ACE4C89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sz w:val="22"/>
              <w:szCs w:val="22"/>
              <w:lang w:val="fr-CA"/>
            </w:rPr>
            <w:t>2009/09/01; 2014/08/08; 2021/07/15</w:t>
          </w:r>
        </w:p>
      </w:tc>
    </w:tr>
    <w:tr w:rsidRPr="00E8411E" w:rsidR="00D310DC" w:rsidTr="00B10ECF" w14:paraId="5F5F84C2" w14:textId="77777777">
      <w:trPr>
        <w:trHeight w:val="286"/>
      </w:trPr>
      <w:tc>
        <w:tcPr>
          <w:tcW w:w="4503" w:type="dxa"/>
          <w:vMerge/>
        </w:tcPr>
        <w:p w:rsidRPr="00E8411E" w:rsidR="00D310DC" w:rsidP="00A80DF5" w:rsidRDefault="00D310DC" w14:paraId="09137799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Pr="008B140A" w:rsidR="00D310DC" w:rsidP="00A80DF5" w:rsidRDefault="00D310DC" w14:paraId="4ADFD730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b/>
              <w:sz w:val="22"/>
              <w:szCs w:val="22"/>
              <w:lang w:val="fr-CA"/>
            </w:rPr>
            <w:t>Pages:</w:t>
          </w:r>
        </w:p>
      </w:tc>
      <w:tc>
        <w:tcPr>
          <w:tcW w:w="2977" w:type="dxa"/>
          <w:shd w:val="clear" w:color="auto" w:fill="auto"/>
        </w:tcPr>
        <w:p w:rsidRPr="008B140A" w:rsidR="00D310DC" w:rsidP="00A80DF5" w:rsidRDefault="00D310DC" w14:paraId="084F2588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  <w:lang w:val="fr-CA"/>
            </w:rPr>
          </w:pPr>
          <w:r w:rsidRPr="008B140A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8B140A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8B140A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8368DA">
            <w:rPr>
              <w:rFonts w:ascii="Arial" w:hAnsi="Arial" w:cs="Arial"/>
              <w:noProof/>
              <w:color w:val="000000"/>
              <w:lang w:val="fr-CA"/>
            </w:rPr>
            <w:t>6</w:t>
          </w:r>
          <w:r w:rsidRPr="008B140A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  <w:tr w:rsidRPr="00E8411E" w:rsidR="00D310DC" w:rsidTr="00B10ECF" w14:paraId="6607AB69" w14:textId="77777777">
      <w:trPr>
        <w:trHeight w:val="352"/>
      </w:trPr>
      <w:tc>
        <w:tcPr>
          <w:tcW w:w="4503" w:type="dxa"/>
          <w:vMerge/>
        </w:tcPr>
        <w:p w:rsidRPr="00E8411E" w:rsidR="00D310DC" w:rsidP="00A80DF5" w:rsidRDefault="00D310DC" w14:paraId="6E74E2B6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Pr="008B140A" w:rsidR="00D310DC" w:rsidP="00A80DF5" w:rsidRDefault="00D310DC" w14:paraId="152A50F6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sz w:val="22"/>
              <w:szCs w:val="22"/>
              <w:lang w:val="fr-CA"/>
            </w:rPr>
          </w:pPr>
          <w:r w:rsidRPr="008B140A">
            <w:rPr>
              <w:rFonts w:ascii="Calibri" w:hAnsi="Calibri"/>
              <w:b/>
              <w:sz w:val="22"/>
              <w:szCs w:val="22"/>
              <w:lang w:val="fr-CA"/>
            </w:rPr>
            <w:t>Autorisation :</w:t>
          </w:r>
        </w:p>
      </w:tc>
      <w:tc>
        <w:tcPr>
          <w:tcW w:w="2977" w:type="dxa"/>
          <w:shd w:val="clear" w:color="auto" w:fill="auto"/>
        </w:tcPr>
        <w:p w:rsidRPr="008B140A" w:rsidR="00D310DC" w:rsidP="00A80DF5" w:rsidRDefault="00D310DC" w14:paraId="1370B620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  <w:lang w:val="fr-CA"/>
            </w:rPr>
          </w:pPr>
          <w:r w:rsidRPr="008B140A">
            <w:rPr>
              <w:rStyle w:val="PlaceholderText"/>
              <w:lang w:val="fr-CA"/>
            </w:rPr>
            <w:t xml:space="preserve">Click or </w:t>
          </w:r>
          <w:proofErr w:type="spellStart"/>
          <w:r w:rsidRPr="008B140A">
            <w:rPr>
              <w:rStyle w:val="PlaceholderText"/>
              <w:lang w:val="fr-CA"/>
            </w:rPr>
            <w:t>tap</w:t>
          </w:r>
          <w:proofErr w:type="spellEnd"/>
          <w:r w:rsidRPr="008B140A">
            <w:rPr>
              <w:rStyle w:val="PlaceholderText"/>
              <w:lang w:val="fr-CA"/>
            </w:rPr>
            <w:t xml:space="preserve"> </w:t>
          </w:r>
          <w:proofErr w:type="spellStart"/>
          <w:r w:rsidRPr="008B140A">
            <w:rPr>
              <w:rStyle w:val="PlaceholderText"/>
              <w:lang w:val="fr-CA"/>
            </w:rPr>
            <w:t>here</w:t>
          </w:r>
          <w:proofErr w:type="spellEnd"/>
          <w:r w:rsidRPr="008B140A">
            <w:rPr>
              <w:rStyle w:val="PlaceholderText"/>
              <w:lang w:val="fr-CA"/>
            </w:rPr>
            <w:t xml:space="preserve"> to enter </w:t>
          </w:r>
          <w:proofErr w:type="spellStart"/>
          <w:r w:rsidRPr="008B140A">
            <w:rPr>
              <w:rStyle w:val="PlaceholderText"/>
              <w:lang w:val="fr-CA"/>
            </w:rPr>
            <w:t>text</w:t>
          </w:r>
          <w:proofErr w:type="spellEnd"/>
          <w:r w:rsidRPr="008B140A">
            <w:rPr>
              <w:rStyle w:val="PlaceholderText"/>
              <w:lang w:val="fr-CA"/>
            </w:rPr>
            <w:t>.</w:t>
          </w:r>
        </w:p>
      </w:tc>
    </w:tr>
    <w:tr w:rsidRPr="00E8411E" w:rsidR="00D310DC" w:rsidTr="00A80DF5" w14:paraId="0FBA1968" w14:textId="77777777">
      <w:trPr>
        <w:trHeight w:val="538"/>
      </w:trPr>
      <w:tc>
        <w:tcPr>
          <w:tcW w:w="9606" w:type="dxa"/>
          <w:gridSpan w:val="3"/>
          <w:shd w:val="clear" w:color="auto" w:fill="auto"/>
        </w:tcPr>
        <w:p w:rsidRPr="008B140A" w:rsidR="00D310DC" w:rsidP="000E7D50" w:rsidRDefault="0072352F" w14:paraId="4F47C76A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  <w:sz w:val="22"/>
              <w:szCs w:val="22"/>
              <w:lang w:val="fr-CA"/>
            </w:rPr>
          </w:pPr>
          <w:r w:rsidRPr="008B140A">
            <w:rPr>
              <w:rFonts w:ascii="Calibri" w:hAnsi="Calibri" w:cs="Arial"/>
              <w:bCs/>
              <w:szCs w:val="24"/>
              <w:lang w:val="fr-CA"/>
            </w:rPr>
            <w:t>Document contrôlé. Tout document en format papier ne doit serv</w:t>
          </w:r>
          <w:r w:rsidRPr="008B140A" w:rsidR="000E7D50">
            <w:rPr>
              <w:rFonts w:ascii="Calibri" w:hAnsi="Calibri" w:cs="Arial"/>
              <w:bCs/>
              <w:szCs w:val="24"/>
              <w:lang w:val="fr-CA"/>
            </w:rPr>
            <w:t>i</w:t>
          </w:r>
          <w:r w:rsidRPr="008B140A">
            <w:rPr>
              <w:rFonts w:ascii="Calibri" w:hAnsi="Calibri" w:cs="Arial"/>
              <w:bCs/>
              <w:szCs w:val="24"/>
              <w:lang w:val="fr-CA"/>
            </w:rPr>
            <w:t>r qu</w:t>
          </w:r>
          <w:r w:rsidRPr="008B140A" w:rsidR="000E7D50">
            <w:rPr>
              <w:rFonts w:ascii="Calibri" w:hAnsi="Calibri" w:cs="Arial"/>
              <w:bCs/>
              <w:szCs w:val="24"/>
              <w:lang w:val="fr-CA"/>
            </w:rPr>
            <w:t>’à des fins de consultation</w:t>
          </w:r>
          <w:r w:rsidRPr="008B140A">
            <w:rPr>
              <w:rFonts w:ascii="Calibri" w:hAnsi="Calibri" w:cs="Arial"/>
              <w:bCs/>
              <w:szCs w:val="24"/>
              <w:lang w:val="fr-CA"/>
            </w:rPr>
            <w:t xml:space="preserve">. La version en ligne sur le site Web </w:t>
          </w:r>
          <w:r w:rsidRPr="008B140A" w:rsidR="00D310DC">
            <w:rPr>
              <w:rFonts w:ascii="Calibri" w:hAnsi="Calibri" w:cs="Arial"/>
              <w:bCs/>
              <w:szCs w:val="24"/>
              <w:lang w:val="fr-CA"/>
            </w:rPr>
            <w:t xml:space="preserve">transfusionontario.org </w:t>
          </w:r>
          <w:r w:rsidRPr="008B140A">
            <w:rPr>
              <w:rFonts w:ascii="Calibri" w:hAnsi="Calibri" w:cs="Arial"/>
              <w:bCs/>
              <w:szCs w:val="24"/>
              <w:lang w:val="fr-CA"/>
            </w:rPr>
            <w:t xml:space="preserve">est le seul document </w:t>
          </w:r>
          <w:r w:rsidRPr="008B140A" w:rsidR="000E7D50">
            <w:rPr>
              <w:rFonts w:ascii="Calibri" w:hAnsi="Calibri" w:cs="Arial"/>
              <w:bCs/>
              <w:szCs w:val="24"/>
              <w:lang w:val="fr-CA"/>
            </w:rPr>
            <w:t xml:space="preserve">de référence </w:t>
          </w:r>
          <w:r w:rsidRPr="008B140A">
            <w:rPr>
              <w:rFonts w:ascii="Calibri" w:hAnsi="Calibri" w:cs="Arial"/>
              <w:bCs/>
              <w:szCs w:val="24"/>
              <w:lang w:val="fr-CA"/>
            </w:rPr>
            <w:t xml:space="preserve">courant. </w:t>
          </w:r>
        </w:p>
      </w:tc>
    </w:tr>
  </w:tbl>
  <w:p w:rsidRPr="0057561E" w:rsidR="00D310DC" w:rsidRDefault="00D310DC" w14:paraId="716D73D5" w14:textId="77777777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Pr="0057561E" w:rsidR="00D310DC" w:rsidP="0057561E" w:rsidRDefault="00D310DC" w14:paraId="0F01B668" w14:textId="77777777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57561E">
      <w:rPr>
        <w:rFonts w:ascii="Arial" w:hAnsi="Arial"/>
        <w:b/>
        <w:color w:val="000000"/>
        <w:sz w:val="28"/>
        <w:lang w:val="fr-CA"/>
      </w:rPr>
      <w:t>Mise en circulation d’</w:t>
    </w:r>
    <w:r>
      <w:rPr>
        <w:rFonts w:ascii="Arial" w:hAnsi="Arial"/>
        <w:b/>
        <w:color w:val="000000"/>
        <w:sz w:val="28"/>
        <w:lang w:val="fr-CA"/>
      </w:rPr>
      <w:t>i</w:t>
    </w:r>
    <w:r w:rsidRPr="0057561E">
      <w:rPr>
        <w:rFonts w:ascii="Arial" w:hAnsi="Arial"/>
        <w:b/>
        <w:color w:val="000000"/>
        <w:sz w:val="28"/>
        <w:lang w:val="fr-CA"/>
      </w:rPr>
      <w:t>mmunoglobuline Rh</w:t>
    </w:r>
    <w:r>
      <w:rPr>
        <w:rFonts w:ascii="Arial" w:hAnsi="Arial"/>
        <w:b/>
        <w:color w:val="000000"/>
        <w:sz w:val="28"/>
        <w:lang w:val="fr-CA"/>
      </w:rPr>
      <w:t xml:space="preserve"> (</w:t>
    </w:r>
    <w:proofErr w:type="spellStart"/>
    <w:r>
      <w:rPr>
        <w:rFonts w:ascii="Arial" w:hAnsi="Arial"/>
        <w:b/>
        <w:color w:val="000000"/>
        <w:sz w:val="28"/>
        <w:lang w:val="fr-CA"/>
      </w:rPr>
      <w:t>IgRh</w:t>
    </w:r>
    <w:proofErr w:type="spellEnd"/>
    <w:r w:rsidRPr="0057561E">
      <w:rPr>
        <w:rFonts w:ascii="Arial" w:hAnsi="Arial"/>
        <w:b/>
        <w:color w:val="000000"/>
        <w:sz w:val="28"/>
        <w:lang w:val="fr-CA"/>
      </w:rPr>
      <w:t>)</w:t>
    </w:r>
  </w:p>
  <w:p w:rsidRPr="0057561E" w:rsidR="00D310DC" w:rsidRDefault="00D310DC" w14:paraId="4FBF695B" w14:textId="77777777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BDF"/>
    <w:multiLevelType w:val="multilevel"/>
    <w:tmpl w:val="FBF6B63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3211AB8"/>
    <w:multiLevelType w:val="multilevel"/>
    <w:tmpl w:val="1A906B92"/>
    <w:lvl w:ilvl="0">
      <w:numFmt w:val="decimal"/>
      <w:lvlText w:val="10.%1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1571"/>
        </w:tabs>
        <w:ind w:left="1571" w:hanging="720"/>
      </w:pPr>
      <w:rPr>
        <w:rFonts w:hint="default" w:ascii="Arial" w:hAnsi="Arial" w:cs="Arial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7B26B4"/>
    <w:multiLevelType w:val="multilevel"/>
    <w:tmpl w:val="054A2104"/>
    <w:lvl w:ilvl="0">
      <w:numFmt w:val="decimal"/>
      <w:lvlText w:val="7.%1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 w:ascii="Arial" w:hAnsi="Arial" w:cs="Arial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4"/>
        </w:tabs>
        <w:ind w:left="7844" w:hanging="1800"/>
      </w:pPr>
      <w:rPr>
        <w:rFonts w:hint="default"/>
      </w:rPr>
    </w:lvl>
  </w:abstractNum>
  <w:abstractNum w:abstractNumId="4" w15:restartNumberingAfterBreak="0">
    <w:nsid w:val="2D7D40B7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F8E2B4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882C99"/>
    <w:multiLevelType w:val="hybridMultilevel"/>
    <w:tmpl w:val="541637A6"/>
    <w:lvl w:ilvl="0" w:tplc="5BF8CB08">
      <w:start w:val="1"/>
      <w:numFmt w:val="decimal"/>
      <w:lvlText w:val="7.%1."/>
      <w:lvlJc w:val="left"/>
      <w:pPr>
        <w:ind w:left="720" w:hanging="360"/>
      </w:pPr>
      <w:rPr>
        <w:rFonts w:hint="default" w:ascii="Arial" w:hAnsi="Arial" w:cs="Arial"/>
        <w:b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BFB"/>
    <w:multiLevelType w:val="hybridMultilevel"/>
    <w:tmpl w:val="53960958"/>
    <w:lvl w:ilvl="0" w:tplc="C21C3D5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C9119AC"/>
    <w:multiLevelType w:val="hybridMultilevel"/>
    <w:tmpl w:val="2834D60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7E5FB6"/>
    <w:multiLevelType w:val="hybridMultilevel"/>
    <w:tmpl w:val="07C6904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B01729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9F6050C"/>
    <w:multiLevelType w:val="singleLevel"/>
    <w:tmpl w:val="AF7E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EC45140"/>
    <w:multiLevelType w:val="multilevel"/>
    <w:tmpl w:val="FBF6B63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24"/>
      </w:rPr>
    </w:lvl>
  </w:abstractNum>
  <w:abstractNum w:abstractNumId="16" w15:restartNumberingAfterBreak="0">
    <w:nsid w:val="64C938A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AD67BD"/>
    <w:multiLevelType w:val="hybridMultilevel"/>
    <w:tmpl w:val="FBEEA39E"/>
    <w:lvl w:ilvl="0" w:tplc="0C0C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EA5E12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42B604A"/>
    <w:multiLevelType w:val="hybridMultilevel"/>
    <w:tmpl w:val="6292D2A0"/>
    <w:lvl w:ilvl="0" w:tplc="34749C6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74D606">
      <w:start w:val="1"/>
      <w:numFmt w:val="decimal"/>
      <w:lvlText w:val="7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3768AA"/>
    <w:multiLevelType w:val="multilevel"/>
    <w:tmpl w:val="49B864B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B4F5851"/>
    <w:multiLevelType w:val="hybridMultilevel"/>
    <w:tmpl w:val="9D58A4A6"/>
    <w:lvl w:ilvl="0" w:tplc="D9D44028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7460"/>
    <w:multiLevelType w:val="hybridMultilevel"/>
    <w:tmpl w:val="6B7E555A"/>
    <w:lvl w:ilvl="0" w:tplc="E532736C">
      <w:start w:val="1"/>
      <w:numFmt w:val="decimal"/>
      <w:lvlText w:val="7.3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3D3C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5"/>
  </w:num>
  <w:num w:numId="5">
    <w:abstractNumId w:val="23"/>
  </w:num>
  <w:num w:numId="6">
    <w:abstractNumId w:val="22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13"/>
  </w:num>
  <w:num w:numId="12">
    <w:abstractNumId w:val="7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21"/>
  </w:num>
  <w:num w:numId="19">
    <w:abstractNumId w:val="8"/>
  </w:num>
  <w:num w:numId="20">
    <w:abstractNumId w:val="26"/>
  </w:num>
  <w:num w:numId="21">
    <w:abstractNumId w:val="25"/>
  </w:num>
  <w:num w:numId="22">
    <w:abstractNumId w:val="3"/>
  </w:num>
  <w:num w:numId="23">
    <w:abstractNumId w:val="1"/>
  </w:num>
  <w:num w:numId="24">
    <w:abstractNumId w:val="24"/>
  </w:num>
  <w:num w:numId="25">
    <w:abstractNumId w:val="14"/>
  </w:num>
  <w:num w:numId="26">
    <w:abstractNumId w:val="11"/>
  </w:num>
  <w:num w:numId="27">
    <w:abstractNumId w:val="10"/>
  </w:num>
  <w:num w:numId="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1E"/>
    <w:rsid w:val="000104A2"/>
    <w:rsid w:val="0002618B"/>
    <w:rsid w:val="00030405"/>
    <w:rsid w:val="00061330"/>
    <w:rsid w:val="000B18A5"/>
    <w:rsid w:val="000B1BB2"/>
    <w:rsid w:val="000D3206"/>
    <w:rsid w:val="000E7D50"/>
    <w:rsid w:val="000F5C2A"/>
    <w:rsid w:val="001207EE"/>
    <w:rsid w:val="00143260"/>
    <w:rsid w:val="001822D2"/>
    <w:rsid w:val="001C5F4F"/>
    <w:rsid w:val="001E1DDA"/>
    <w:rsid w:val="00221CDA"/>
    <w:rsid w:val="002248DF"/>
    <w:rsid w:val="00227D4C"/>
    <w:rsid w:val="0028029C"/>
    <w:rsid w:val="00304224"/>
    <w:rsid w:val="0034430E"/>
    <w:rsid w:val="00347F1E"/>
    <w:rsid w:val="00365079"/>
    <w:rsid w:val="003C0A52"/>
    <w:rsid w:val="003C62BD"/>
    <w:rsid w:val="00404FB3"/>
    <w:rsid w:val="0040733D"/>
    <w:rsid w:val="004571C2"/>
    <w:rsid w:val="00493289"/>
    <w:rsid w:val="004D256B"/>
    <w:rsid w:val="004E05AD"/>
    <w:rsid w:val="004E7068"/>
    <w:rsid w:val="004F69E3"/>
    <w:rsid w:val="00502F9B"/>
    <w:rsid w:val="00507F50"/>
    <w:rsid w:val="00561410"/>
    <w:rsid w:val="0057561E"/>
    <w:rsid w:val="0058239C"/>
    <w:rsid w:val="005F6114"/>
    <w:rsid w:val="006040BA"/>
    <w:rsid w:val="0061279A"/>
    <w:rsid w:val="00663DE0"/>
    <w:rsid w:val="0068543F"/>
    <w:rsid w:val="0069522C"/>
    <w:rsid w:val="006F01B2"/>
    <w:rsid w:val="0070490E"/>
    <w:rsid w:val="0071251A"/>
    <w:rsid w:val="00721A10"/>
    <w:rsid w:val="0072352F"/>
    <w:rsid w:val="00745249"/>
    <w:rsid w:val="00794340"/>
    <w:rsid w:val="007C6199"/>
    <w:rsid w:val="007E02DE"/>
    <w:rsid w:val="008368DA"/>
    <w:rsid w:val="008606F9"/>
    <w:rsid w:val="0087662A"/>
    <w:rsid w:val="008B140A"/>
    <w:rsid w:val="00904E29"/>
    <w:rsid w:val="00930D9F"/>
    <w:rsid w:val="00932212"/>
    <w:rsid w:val="0094277B"/>
    <w:rsid w:val="00957DC7"/>
    <w:rsid w:val="00965354"/>
    <w:rsid w:val="00970E54"/>
    <w:rsid w:val="00983F92"/>
    <w:rsid w:val="009D04D5"/>
    <w:rsid w:val="00A161AE"/>
    <w:rsid w:val="00A34F30"/>
    <w:rsid w:val="00A80DF5"/>
    <w:rsid w:val="00A84A5D"/>
    <w:rsid w:val="00AC5E0C"/>
    <w:rsid w:val="00AD2BE9"/>
    <w:rsid w:val="00AE36AE"/>
    <w:rsid w:val="00B10ECF"/>
    <w:rsid w:val="00B57EC1"/>
    <w:rsid w:val="00B605BE"/>
    <w:rsid w:val="00B916B6"/>
    <w:rsid w:val="00BC4297"/>
    <w:rsid w:val="00C140FF"/>
    <w:rsid w:val="00C55FB8"/>
    <w:rsid w:val="00C9133C"/>
    <w:rsid w:val="00D310DC"/>
    <w:rsid w:val="00D76910"/>
    <w:rsid w:val="00D9158D"/>
    <w:rsid w:val="00DB3CE8"/>
    <w:rsid w:val="00E12A52"/>
    <w:rsid w:val="00E17979"/>
    <w:rsid w:val="00E27401"/>
    <w:rsid w:val="00E76DA8"/>
    <w:rsid w:val="00E87E79"/>
    <w:rsid w:val="00EC241A"/>
    <w:rsid w:val="00F207AF"/>
    <w:rsid w:val="00FB54C0"/>
    <w:rsid w:val="117073F7"/>
    <w:rsid w:val="22039E4D"/>
    <w:rsid w:val="4C1A2E3B"/>
    <w:rsid w:val="68C85A7B"/>
    <w:rsid w:val="6FB0A3B9"/>
    <w:rsid w:val="6FEAEA22"/>
    <w:rsid w:val="77B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C7E174"/>
  <w15:chartTrackingRefBased/>
  <w15:docId w15:val="{252153FC-CF2C-4B91-BFFB-18F50D855B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A1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289"/>
    <w:pPr>
      <w:ind w:left="708"/>
    </w:pPr>
  </w:style>
  <w:style w:type="character" w:styleId="HeaderChar" w:customStyle="1">
    <w:name w:val="Header Char"/>
    <w:link w:val="Header"/>
    <w:uiPriority w:val="99"/>
    <w:rsid w:val="00061330"/>
    <w:rPr>
      <w:lang w:val="en-US" w:eastAsia="en-US"/>
    </w:rPr>
  </w:style>
  <w:style w:type="character" w:styleId="CommentReference">
    <w:name w:val="annotation reference"/>
    <w:rsid w:val="00407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33D"/>
  </w:style>
  <w:style w:type="character" w:styleId="CommentTextChar" w:customStyle="1">
    <w:name w:val="Comment Text Char"/>
    <w:link w:val="CommentText"/>
    <w:rsid w:val="004073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733D"/>
    <w:rPr>
      <w:b/>
      <w:bCs/>
    </w:rPr>
  </w:style>
  <w:style w:type="character" w:styleId="CommentSubjectChar" w:customStyle="1">
    <w:name w:val="Comment Subject Char"/>
    <w:link w:val="CommentSubject"/>
    <w:rsid w:val="0040733D"/>
    <w:rPr>
      <w:b/>
      <w:bCs/>
      <w:lang w:val="en-US" w:eastAsia="en-US"/>
    </w:rPr>
  </w:style>
  <w:style w:type="table" w:styleId="TableGrid">
    <w:name w:val="Table Grid"/>
    <w:basedOn w:val="TableNormal"/>
    <w:rsid w:val="00F207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A80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Props1.xml><?xml version="1.0" encoding="utf-8"?>
<ds:datastoreItem xmlns:ds="http://schemas.openxmlformats.org/officeDocument/2006/customXml" ds:itemID="{96559ECD-F256-4436-B050-622DB7A6F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AA552-94CD-48F3-B6F1-8E77893865CF}"/>
</file>

<file path=customXml/itemProps3.xml><?xml version="1.0" encoding="utf-8"?>
<ds:datastoreItem xmlns:ds="http://schemas.openxmlformats.org/officeDocument/2006/customXml" ds:itemID="{FFEAF6CF-0D55-4955-A122-FCB74C8DDE37}"/>
</file>

<file path=customXml/itemProps4.xml><?xml version="1.0" encoding="utf-8"?>
<ds:datastoreItem xmlns:ds="http://schemas.openxmlformats.org/officeDocument/2006/customXml" ds:itemID="{7340EB84-6514-4A01-BF47-03431D06E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IM.008 - Issuing Anti-D (RhIg)</dc:title>
  <dc:subject/>
  <dc:creator>TOPO</dc:creator>
  <cp:keywords/>
  <dc:description/>
  <cp:lastModifiedBy>Valerie</cp:lastModifiedBy>
  <cp:revision>4</cp:revision>
  <cp:lastPrinted>2011-03-26T21:38:00Z</cp:lastPrinted>
  <dcterms:created xsi:type="dcterms:W3CDTF">2022-03-04T15:09:00Z</dcterms:created>
  <dcterms:modified xsi:type="dcterms:W3CDTF">2022-09-02T13:16:36Z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