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BB" w:rsidRPr="00D433BB" w:rsidRDefault="00D433BB" w:rsidP="00D16283">
      <w:pPr>
        <w:pStyle w:val="Heading5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Fonts w:ascii="Calibri" w:hAnsi="Calibri"/>
          <w:color w:val="00467D"/>
          <w:sz w:val="24"/>
          <w:szCs w:val="24"/>
        </w:rPr>
      </w:pPr>
      <w:bookmarkStart w:id="0" w:name="_GoBack"/>
      <w:bookmarkEnd w:id="0"/>
    </w:p>
    <w:p w:rsidR="00955834" w:rsidRPr="00CF1D3C" w:rsidRDefault="00273A4A" w:rsidP="00D16283">
      <w:pPr>
        <w:pStyle w:val="Heading5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Fonts w:ascii="Calibri" w:hAnsi="Calibri"/>
          <w:color w:val="00467D"/>
          <w:sz w:val="32"/>
          <w:szCs w:val="32"/>
        </w:rPr>
      </w:pPr>
      <w:r>
        <w:rPr>
          <w:rFonts w:ascii="Calibri" w:hAnsi="Calibri"/>
          <w:color w:val="00467D"/>
          <w:sz w:val="32"/>
          <w:szCs w:val="32"/>
        </w:rPr>
        <w:t>Resource List for Dispensary and Administration Facilities</w:t>
      </w:r>
    </w:p>
    <w:p w:rsidR="00955834" w:rsidRPr="00CF1D3C" w:rsidRDefault="00955834" w:rsidP="00A91588">
      <w:pPr>
        <w:pStyle w:val="Heading5"/>
        <w:shd w:val="clear" w:color="auto" w:fill="FFFFFF"/>
        <w:spacing w:before="0" w:beforeAutospacing="0" w:after="0" w:afterAutospacing="0" w:line="270" w:lineRule="atLeast"/>
        <w:ind w:left="-567"/>
        <w:rPr>
          <w:rFonts w:ascii="Verdana" w:hAnsi="Verdana"/>
          <w:color w:val="00467D"/>
          <w:sz w:val="21"/>
          <w:szCs w:val="21"/>
        </w:rPr>
      </w:pPr>
    </w:p>
    <w:p w:rsidR="00273A4A" w:rsidRPr="00273A4A" w:rsidRDefault="00273A4A" w:rsidP="00273A4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Calibri" w:hAnsi="Calibri"/>
          <w:b/>
          <w:color w:val="00467D"/>
          <w:sz w:val="28"/>
          <w:szCs w:val="28"/>
        </w:rPr>
      </w:pPr>
      <w:bookmarkStart w:id="1" w:name="allogeneic"/>
      <w:bookmarkStart w:id="2" w:name="bloodadmin"/>
      <w:bookmarkEnd w:id="1"/>
      <w:bookmarkEnd w:id="2"/>
      <w:r w:rsidRPr="00273A4A">
        <w:rPr>
          <w:rFonts w:ascii="Calibri" w:hAnsi="Calibri" w:cs="Tahoma"/>
          <w:b/>
          <w:color w:val="00467D"/>
          <w:sz w:val="28"/>
          <w:szCs w:val="28"/>
        </w:rPr>
        <w:t>National Standards:</w:t>
      </w:r>
    </w:p>
    <w:p w:rsidR="00273A4A" w:rsidRPr="00273A4A" w:rsidRDefault="00273A4A" w:rsidP="00BE0D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Canadian Society for Transfusion Medicine Standards for Hospital Transfusion Services v</w:t>
      </w:r>
      <w:r w:rsidR="00BE0D3B">
        <w:rPr>
          <w:rFonts w:ascii="Calibri" w:hAnsi="Calibri"/>
        </w:rPr>
        <w:t>4</w:t>
      </w:r>
      <w:r w:rsidRPr="00273A4A">
        <w:rPr>
          <w:rFonts w:ascii="Calibri" w:hAnsi="Calibri"/>
        </w:rPr>
        <w:t xml:space="preserve"> 201</w:t>
      </w:r>
      <w:r w:rsidR="00BE0D3B">
        <w:rPr>
          <w:rFonts w:ascii="Calibri" w:hAnsi="Calibri"/>
        </w:rPr>
        <w:t>7</w:t>
      </w:r>
      <w:r w:rsidRPr="00273A4A">
        <w:rPr>
          <w:rFonts w:ascii="Calibri" w:hAnsi="Calibri"/>
        </w:rPr>
        <w:t xml:space="preserve"> </w:t>
      </w:r>
      <w:hyperlink r:id="rId10" w:history="1">
        <w:r w:rsidR="00BE0D3B" w:rsidRPr="0077441D">
          <w:rPr>
            <w:rStyle w:val="Hyperlink"/>
            <w:rFonts w:ascii="Calibri" w:hAnsi="Calibri"/>
          </w:rPr>
          <w:t>http://www.transfusio</w:t>
        </w:r>
        <w:r w:rsidR="00BE0D3B" w:rsidRPr="0077441D">
          <w:rPr>
            <w:rStyle w:val="Hyperlink"/>
            <w:rFonts w:ascii="Calibri" w:hAnsi="Calibri"/>
          </w:rPr>
          <w:t>n</w:t>
        </w:r>
        <w:r w:rsidR="00BE0D3B" w:rsidRPr="0077441D">
          <w:rPr>
            <w:rStyle w:val="Hyperlink"/>
            <w:rFonts w:ascii="Calibri" w:hAnsi="Calibri"/>
          </w:rPr>
          <w:t>.ca/Resources/Standa</w:t>
        </w:r>
        <w:r w:rsidR="00BE0D3B" w:rsidRPr="0077441D">
          <w:rPr>
            <w:rStyle w:val="Hyperlink"/>
            <w:rFonts w:ascii="Calibri" w:hAnsi="Calibri"/>
          </w:rPr>
          <w:t>r</w:t>
        </w:r>
        <w:r w:rsidR="00BE0D3B" w:rsidRPr="0077441D">
          <w:rPr>
            <w:rStyle w:val="Hyperlink"/>
            <w:rFonts w:ascii="Calibri" w:hAnsi="Calibri"/>
          </w:rPr>
          <w:t>ds</w:t>
        </w:r>
      </w:hyperlink>
    </w:p>
    <w:p w:rsidR="00273A4A" w:rsidRDefault="00273A4A" w:rsidP="00BE0D3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Canadian Standards Association Standards for Blood and Blood Components Z902-1</w:t>
      </w:r>
      <w:r w:rsidR="00BE0D3B">
        <w:rPr>
          <w:rFonts w:ascii="Calibri" w:hAnsi="Calibri"/>
        </w:rPr>
        <w:t>5</w:t>
      </w:r>
      <w:r w:rsidRPr="00273A4A">
        <w:rPr>
          <w:rFonts w:ascii="Calibri" w:hAnsi="Calibri"/>
        </w:rPr>
        <w:t xml:space="preserve"> </w:t>
      </w:r>
      <w:hyperlink r:id="rId11" w:history="1">
        <w:r w:rsidR="00BE0D3B" w:rsidRPr="0077441D">
          <w:rPr>
            <w:rStyle w:val="Hyperlink"/>
            <w:rFonts w:ascii="Calibri" w:hAnsi="Calibri"/>
          </w:rPr>
          <w:t>http://</w:t>
        </w:r>
        <w:r w:rsidR="00BE0D3B" w:rsidRPr="0077441D">
          <w:rPr>
            <w:rStyle w:val="Hyperlink"/>
            <w:rFonts w:ascii="Calibri" w:hAnsi="Calibri"/>
          </w:rPr>
          <w:t>shop.csa.ca/se</w:t>
        </w:r>
        <w:r w:rsidR="00BE0D3B" w:rsidRPr="0077441D">
          <w:rPr>
            <w:rStyle w:val="Hyperlink"/>
            <w:rFonts w:ascii="Calibri" w:hAnsi="Calibri"/>
          </w:rPr>
          <w:t>a</w:t>
        </w:r>
        <w:r w:rsidR="00BE0D3B" w:rsidRPr="0077441D">
          <w:rPr>
            <w:rStyle w:val="Hyperlink"/>
            <w:rFonts w:ascii="Calibri" w:hAnsi="Calibri"/>
          </w:rPr>
          <w:t>rch?q=Z902-15&amp;categories=shop</w:t>
        </w:r>
      </w:hyperlink>
    </w:p>
    <w:p w:rsidR="00731302" w:rsidRPr="00731302" w:rsidRDefault="00731302" w:rsidP="0073130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731302">
        <w:rPr>
          <w:rFonts w:ascii="Calibri" w:hAnsi="Calibri"/>
        </w:rPr>
        <w:t>Accreditation Canada, Standards Transfusion Services, Vers</w:t>
      </w:r>
      <w:r>
        <w:rPr>
          <w:rFonts w:ascii="Calibri" w:hAnsi="Calibri"/>
        </w:rPr>
        <w:t xml:space="preserve">ion 12, Ottawa ON, January 2018 </w:t>
      </w:r>
      <w:hyperlink r:id="rId12" w:history="1">
        <w:r w:rsidRPr="00AC50A6">
          <w:rPr>
            <w:rStyle w:val="Hyperlink"/>
            <w:rFonts w:ascii="Calibri" w:hAnsi="Calibri"/>
          </w:rPr>
          <w:t>https://accreditation.ca/</w:t>
        </w:r>
      </w:hyperlink>
      <w:r>
        <w:rPr>
          <w:rFonts w:ascii="Calibri" w:hAnsi="Calibri"/>
        </w:rPr>
        <w:t xml:space="preserve"> </w:t>
      </w:r>
    </w:p>
    <w:p w:rsidR="00731302" w:rsidRPr="00273A4A" w:rsidRDefault="00731302" w:rsidP="00731302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>
        <w:rPr>
          <w:rFonts w:ascii="Calibri" w:hAnsi="Calibri" w:cs="Tahoma"/>
          <w:color w:val="00467D"/>
          <w:sz w:val="28"/>
          <w:szCs w:val="28"/>
        </w:rPr>
        <w:t>National Regulations</w:t>
      </w:r>
      <w:r w:rsidRPr="00273A4A">
        <w:rPr>
          <w:rFonts w:ascii="Calibri" w:hAnsi="Calibri" w:cs="Tahoma"/>
          <w:color w:val="00467D"/>
          <w:sz w:val="28"/>
          <w:szCs w:val="28"/>
        </w:rPr>
        <w:t>:</w:t>
      </w:r>
    </w:p>
    <w:p w:rsidR="00731302" w:rsidRDefault="00731302" w:rsidP="00731302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/>
        </w:rPr>
      </w:pPr>
      <w:r w:rsidRPr="00731302">
        <w:rPr>
          <w:rFonts w:ascii="Calibri" w:hAnsi="Calibri"/>
        </w:rPr>
        <w:t>Health Canada Guidance Document: Blood Regulations, Ottawa ON, March 2016</w:t>
      </w:r>
      <w:r>
        <w:rPr>
          <w:rFonts w:ascii="Calibri" w:hAnsi="Calibri"/>
        </w:rPr>
        <w:t xml:space="preserve"> </w:t>
      </w:r>
      <w:hyperlink r:id="rId13" w:history="1">
        <w:r w:rsidRPr="00AC50A6">
          <w:rPr>
            <w:rStyle w:val="Hyperlink"/>
            <w:rFonts w:ascii="Calibri" w:hAnsi="Calibri"/>
          </w:rPr>
          <w:t>https://www.canada.ca/en/health-canada/services/drugs-health-products/biologics-radiopharmaceuticals-genetic-therapies/applications-submissions/guidance-documents/blood-regulations/guidance-document-blood-regulations-1.html</w:t>
        </w:r>
      </w:hyperlink>
      <w:r>
        <w:rPr>
          <w:rFonts w:ascii="Calibri" w:hAnsi="Calibri"/>
        </w:rPr>
        <w:t xml:space="preserve"> </w:t>
      </w:r>
    </w:p>
    <w:p w:rsidR="00731302" w:rsidRPr="00273A4A" w:rsidRDefault="00731302" w:rsidP="00731302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>
        <w:rPr>
          <w:rFonts w:ascii="Calibri" w:hAnsi="Calibri" w:cs="Tahoma"/>
          <w:color w:val="00467D"/>
          <w:sz w:val="28"/>
          <w:szCs w:val="28"/>
        </w:rPr>
        <w:t>Ontario Standards</w:t>
      </w:r>
      <w:r w:rsidRPr="00273A4A">
        <w:rPr>
          <w:rFonts w:ascii="Calibri" w:hAnsi="Calibri" w:cs="Tahoma"/>
          <w:color w:val="00467D"/>
          <w:sz w:val="28"/>
          <w:szCs w:val="28"/>
        </w:rPr>
        <w:t>:</w:t>
      </w:r>
    </w:p>
    <w:p w:rsidR="00731302" w:rsidRPr="00731302" w:rsidRDefault="00731302" w:rsidP="00731302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 w:rsidRPr="00731302">
        <w:rPr>
          <w:rFonts w:ascii="Calibri" w:hAnsi="Calibri"/>
        </w:rPr>
        <w:t>Institute for Quality Management in Healthcare (IQMH) Laboratory Accreditation Requirements, Version 7.1, Toronto ON, April 2017</w:t>
      </w:r>
      <w:r>
        <w:rPr>
          <w:rFonts w:ascii="Calibri" w:hAnsi="Calibri"/>
        </w:rPr>
        <w:t xml:space="preserve"> </w:t>
      </w:r>
      <w:hyperlink r:id="rId14" w:history="1">
        <w:r w:rsidRPr="00AC50A6">
          <w:rPr>
            <w:rStyle w:val="Hyperlink"/>
            <w:rFonts w:ascii="Calibri" w:hAnsi="Calibri"/>
          </w:rPr>
          <w:t>https://iqmh.org/</w:t>
        </w:r>
      </w:hyperlink>
      <w:r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Transporting, Receiving and Storing Blood:</w:t>
      </w:r>
    </w:p>
    <w:p w:rsidR="00273A4A" w:rsidRPr="00273A4A" w:rsidRDefault="00273A4A" w:rsidP="00BE0D3B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Canadian Blood Services Circular of Information </w:t>
      </w:r>
      <w:hyperlink r:id="rId15" w:history="1">
        <w:r w:rsidR="00BE0D3B" w:rsidRPr="0077441D">
          <w:rPr>
            <w:rStyle w:val="Hyperlink"/>
            <w:rFonts w:ascii="Calibri" w:hAnsi="Calibri"/>
          </w:rPr>
          <w:t>https://blo</w:t>
        </w:r>
        <w:r w:rsidR="00BE0D3B" w:rsidRPr="0077441D">
          <w:rPr>
            <w:rStyle w:val="Hyperlink"/>
            <w:rFonts w:ascii="Calibri" w:hAnsi="Calibri"/>
          </w:rPr>
          <w:t>o</w:t>
        </w:r>
        <w:r w:rsidR="00BE0D3B" w:rsidRPr="0077441D">
          <w:rPr>
            <w:rStyle w:val="Hyperlink"/>
            <w:rFonts w:ascii="Calibri" w:hAnsi="Calibri"/>
          </w:rPr>
          <w:t>d.ca/en/hospita</w:t>
        </w:r>
        <w:r w:rsidR="00BE0D3B" w:rsidRPr="0077441D">
          <w:rPr>
            <w:rStyle w:val="Hyperlink"/>
            <w:rFonts w:ascii="Calibri" w:hAnsi="Calibri"/>
          </w:rPr>
          <w:t>ls/circular-information</w:t>
        </w:r>
      </w:hyperlink>
    </w:p>
    <w:p w:rsidR="00273A4A" w:rsidRPr="00273A4A" w:rsidRDefault="00273A4A" w:rsidP="00BE0D3B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Canadian Blood Services Visual </w:t>
      </w:r>
      <w:r w:rsidR="00BE0D3B">
        <w:rPr>
          <w:rFonts w:ascii="Calibri" w:hAnsi="Calibri"/>
        </w:rPr>
        <w:t>Assessment</w:t>
      </w:r>
      <w:r w:rsidRPr="00273A4A">
        <w:rPr>
          <w:rFonts w:ascii="Calibri" w:hAnsi="Calibri"/>
        </w:rPr>
        <w:t xml:space="preserve"> Guide </w:t>
      </w:r>
      <w:hyperlink r:id="rId16" w:history="1">
        <w:r w:rsidR="00E65450" w:rsidRPr="00AC50A6">
          <w:rPr>
            <w:rStyle w:val="Hyperlink"/>
            <w:rFonts w:ascii="Calibri" w:hAnsi="Calibri"/>
          </w:rPr>
          <w:t>https://professionaleducati</w:t>
        </w:r>
        <w:r w:rsidR="00E65450" w:rsidRPr="00AC50A6">
          <w:rPr>
            <w:rStyle w:val="Hyperlink"/>
            <w:rFonts w:ascii="Calibri" w:hAnsi="Calibri"/>
          </w:rPr>
          <w:t>o</w:t>
        </w:r>
        <w:r w:rsidR="00E65450" w:rsidRPr="00AC50A6">
          <w:rPr>
            <w:rStyle w:val="Hyperlink"/>
            <w:rFonts w:ascii="Calibri" w:hAnsi="Calibri"/>
          </w:rPr>
          <w:t>n.blood.ca/en/transfusion/best-practices/visual-assessment-guide?_ga=2.215148948.2069738952.1523641771-1453064797.1523641771</w:t>
        </w:r>
      </w:hyperlink>
      <w:r w:rsidR="00E65450">
        <w:rPr>
          <w:rFonts w:ascii="Calibri" w:hAnsi="Calibri"/>
        </w:rPr>
        <w:t xml:space="preserve"> </w:t>
      </w:r>
    </w:p>
    <w:p w:rsidR="00BE0D3B" w:rsidRDefault="0077441D" w:rsidP="00BE0D3B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ORBCoN Transfusion Technical Resource Manual (OTTRM) </w:t>
      </w:r>
      <w:r w:rsidR="00273A4A" w:rsidRPr="00273A4A">
        <w:rPr>
          <w:rFonts w:ascii="Calibri" w:hAnsi="Calibri"/>
        </w:rPr>
        <w:t xml:space="preserve"> Standard Procedure for packing and shipping blood (IM.006 and IM.011)</w:t>
      </w:r>
      <w:r>
        <w:rPr>
          <w:rFonts w:ascii="Calibri" w:hAnsi="Calibri"/>
        </w:rPr>
        <w:t xml:space="preserve"> and for transporting blood with a patient (IM.007)</w:t>
      </w:r>
    </w:p>
    <w:p w:rsidR="00273A4A" w:rsidRPr="00273A4A" w:rsidRDefault="00E65450" w:rsidP="00E65450">
      <w:pPr>
        <w:pStyle w:val="ListParagraph"/>
        <w:spacing w:after="200" w:line="276" w:lineRule="auto"/>
        <w:rPr>
          <w:rFonts w:ascii="Calibri" w:hAnsi="Calibri"/>
        </w:rPr>
      </w:pPr>
      <w:hyperlink r:id="rId17" w:history="1">
        <w:r w:rsidRPr="00AC50A6">
          <w:rPr>
            <w:rStyle w:val="Hyperlink"/>
            <w:rFonts w:ascii="Calibri" w:hAnsi="Calibri"/>
          </w:rPr>
          <w:t>http://transfusionontario.org/en/do</w:t>
        </w:r>
        <w:r w:rsidRPr="00AC50A6">
          <w:rPr>
            <w:rStyle w:val="Hyperlink"/>
            <w:rFonts w:ascii="Calibri" w:hAnsi="Calibri"/>
          </w:rPr>
          <w:t>c</w:t>
        </w:r>
        <w:r w:rsidRPr="00AC50A6">
          <w:rPr>
            <w:rStyle w:val="Hyperlink"/>
            <w:rFonts w:ascii="Calibri" w:hAnsi="Calibri"/>
          </w:rPr>
          <w:t>uments/?cat=inventory-management</w:t>
        </w:r>
      </w:hyperlink>
      <w:r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Patient Sampling for Transfusion Testing:</w:t>
      </w:r>
    </w:p>
    <w:p w:rsidR="00273A4A" w:rsidRPr="00273A4A" w:rsidRDefault="00273A4A" w:rsidP="0077441D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Bloody Easy Blood Administration</w:t>
      </w:r>
      <w:r w:rsidR="0077441D">
        <w:rPr>
          <w:rFonts w:ascii="Calibri" w:hAnsi="Calibri"/>
        </w:rPr>
        <w:t xml:space="preserve"> Handbook</w:t>
      </w:r>
      <w:r w:rsidRPr="00273A4A">
        <w:rPr>
          <w:rFonts w:ascii="Calibri" w:hAnsi="Calibri"/>
        </w:rPr>
        <w:br/>
      </w:r>
      <w:hyperlink r:id="rId18" w:history="1">
        <w:r w:rsidR="00E65450" w:rsidRPr="00AC50A6">
          <w:rPr>
            <w:rStyle w:val="Hyperlink"/>
            <w:rFonts w:ascii="Calibri" w:hAnsi="Calibri"/>
          </w:rPr>
          <w:t>http://transfusionont</w:t>
        </w:r>
        <w:r w:rsidR="00E65450" w:rsidRPr="00AC50A6">
          <w:rPr>
            <w:rStyle w:val="Hyperlink"/>
            <w:rFonts w:ascii="Calibri" w:hAnsi="Calibri"/>
          </w:rPr>
          <w:t>a</w:t>
        </w:r>
        <w:r w:rsidR="00E65450" w:rsidRPr="00AC50A6">
          <w:rPr>
            <w:rStyle w:val="Hyperlink"/>
            <w:rFonts w:ascii="Calibri" w:hAnsi="Calibri"/>
          </w:rPr>
          <w:t>rio.org/en/documents/?cat=bloody-bloody</w:t>
        </w:r>
      </w:hyperlink>
      <w:r w:rsidR="00E65450">
        <w:rPr>
          <w:rFonts w:ascii="Calibri" w:hAnsi="Calibri"/>
        </w:rPr>
        <w:t xml:space="preserve"> </w:t>
      </w:r>
    </w:p>
    <w:p w:rsidR="00273A4A" w:rsidRPr="00273A4A" w:rsidRDefault="00273A4A" w:rsidP="003D71B8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Online course – Bloody Easy for Nurses</w:t>
      </w:r>
    </w:p>
    <w:p w:rsidR="003942E5" w:rsidRPr="003942E5" w:rsidRDefault="003942E5" w:rsidP="00273A4A">
      <w:pPr>
        <w:pStyle w:val="Heading1"/>
        <w:rPr>
          <w:rFonts w:ascii="Calibri" w:hAnsi="Calibri"/>
          <w:sz w:val="24"/>
          <w:szCs w:val="24"/>
        </w:rPr>
      </w:pPr>
      <w:hyperlink r:id="rId19" w:history="1">
        <w:r w:rsidRPr="003942E5">
          <w:rPr>
            <w:rStyle w:val="Hyperlink"/>
            <w:rFonts w:ascii="Calibri" w:hAnsi="Calibri"/>
            <w:sz w:val="24"/>
            <w:szCs w:val="24"/>
          </w:rPr>
          <w:t>http://transfusionontario.org/en/documents/?cat=bloody-bloody</w:t>
        </w:r>
      </w:hyperlink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Blood Administration:</w:t>
      </w:r>
    </w:p>
    <w:p w:rsidR="00273A4A" w:rsidRPr="00273A4A" w:rsidRDefault="00273A4A" w:rsidP="003D71B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Bloody Easy Blood Administration (see above link)</w:t>
      </w:r>
    </w:p>
    <w:p w:rsidR="00273A4A" w:rsidRPr="00273A4A" w:rsidRDefault="00273A4A" w:rsidP="003D71B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Online course – Bloody Easy for Nurses (see above link)</w:t>
      </w:r>
    </w:p>
    <w:p w:rsidR="00273A4A" w:rsidRPr="00273A4A" w:rsidRDefault="00E65450" w:rsidP="0069606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‘8</w:t>
      </w:r>
      <w:r w:rsidR="00273A4A" w:rsidRPr="00273A4A">
        <w:rPr>
          <w:rFonts w:ascii="Calibri" w:hAnsi="Calibri"/>
        </w:rPr>
        <w:t xml:space="preserve"> Rights of Transfusion’ cards and posters </w:t>
      </w:r>
      <w:hyperlink r:id="rId20" w:history="1">
        <w:r w:rsidR="0069606C" w:rsidRPr="00AC50A6">
          <w:rPr>
            <w:rStyle w:val="Hyperlink"/>
            <w:rFonts w:ascii="Calibri" w:hAnsi="Calibri"/>
          </w:rPr>
          <w:t>http://transfusionontari</w:t>
        </w:r>
        <w:r w:rsidR="0069606C" w:rsidRPr="00AC50A6">
          <w:rPr>
            <w:rStyle w:val="Hyperlink"/>
            <w:rFonts w:ascii="Calibri" w:hAnsi="Calibri"/>
          </w:rPr>
          <w:t>o</w:t>
        </w:r>
        <w:r w:rsidR="0069606C" w:rsidRPr="00AC50A6">
          <w:rPr>
            <w:rStyle w:val="Hyperlink"/>
            <w:rFonts w:ascii="Calibri" w:hAnsi="Calibri"/>
          </w:rPr>
          <w:t>.org/en/documents/?cat=bedside_audit</w:t>
        </w:r>
      </w:hyperlink>
      <w:r w:rsidR="0069606C">
        <w:rPr>
          <w:rFonts w:ascii="Calibri" w:hAnsi="Calibri"/>
        </w:rPr>
        <w:t xml:space="preserve"> </w:t>
      </w:r>
      <w:r w:rsidR="00273A4A" w:rsidRPr="00273A4A">
        <w:rPr>
          <w:rFonts w:ascii="Calibri" w:hAnsi="Calibri"/>
        </w:rPr>
        <w:t xml:space="preserve"> </w:t>
      </w:r>
    </w:p>
    <w:p w:rsidR="00273A4A" w:rsidRPr="00273A4A" w:rsidRDefault="00273A4A" w:rsidP="003D71B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Bedside Audit Toolkit (see above link)</w:t>
      </w:r>
    </w:p>
    <w:p w:rsidR="00273A4A" w:rsidRPr="00273A4A" w:rsidRDefault="003942E5" w:rsidP="003D71B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RhIG – Ontario Transfusion Technical Resource Manual:</w:t>
      </w:r>
      <w:r w:rsidR="00273A4A" w:rsidRPr="00273A4A">
        <w:rPr>
          <w:rFonts w:ascii="Calibri" w:hAnsi="Calibri"/>
        </w:rPr>
        <w:t xml:space="preserve"> Standard Procedure for Issuing Rh Immune Globulin (RhIG)</w:t>
      </w:r>
      <w:r w:rsidR="00273A4A" w:rsidRPr="00273A4A">
        <w:rPr>
          <w:rFonts w:ascii="Calibri" w:hAnsi="Calibri"/>
        </w:rPr>
        <w:br/>
      </w:r>
      <w:hyperlink r:id="rId21" w:history="1">
        <w:r w:rsidRPr="003942E5">
          <w:rPr>
            <w:rStyle w:val="Hyperlink"/>
            <w:rFonts w:ascii="Calibri" w:hAnsi="Calibri"/>
          </w:rPr>
          <w:t>http://transfusionontario.org/en/documents/?cat=inventory-management</w:t>
        </w:r>
      </w:hyperlink>
      <w:r w:rsidR="00273A4A" w:rsidRPr="00273A4A">
        <w:rPr>
          <w:rFonts w:ascii="Calibri" w:hAnsi="Calibri"/>
        </w:rPr>
        <w:t xml:space="preserve"> </w:t>
      </w:r>
      <w:r w:rsidRPr="003942E5">
        <w:rPr>
          <w:rFonts w:ascii="Calibri" w:hAnsi="Calibri"/>
        </w:rPr>
        <w:t>(IM.008)</w:t>
      </w:r>
    </w:p>
    <w:p w:rsidR="00273A4A" w:rsidRPr="00273A4A" w:rsidRDefault="00273A4A" w:rsidP="0069606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Emergency situations – </w:t>
      </w:r>
      <w:r w:rsidR="003942E5">
        <w:rPr>
          <w:rFonts w:ascii="Calibri" w:hAnsi="Calibri"/>
        </w:rPr>
        <w:t>Ontario Transfusion Technical Resource Manual:</w:t>
      </w:r>
      <w:r w:rsidRPr="00273A4A">
        <w:rPr>
          <w:rFonts w:ascii="Calibri" w:hAnsi="Calibri"/>
        </w:rPr>
        <w:t xml:space="preserve"> Manual Issuing of Blood, Blood Components and Other Related Products Using the Issue/Transfusion Record </w:t>
      </w:r>
      <w:r w:rsidRPr="00273A4A">
        <w:rPr>
          <w:rFonts w:ascii="Calibri" w:hAnsi="Calibri"/>
        </w:rPr>
        <w:br/>
      </w:r>
      <w:hyperlink r:id="rId22" w:history="1">
        <w:r w:rsidR="0069606C" w:rsidRPr="00AC50A6">
          <w:rPr>
            <w:rStyle w:val="Hyperlink"/>
            <w:rFonts w:ascii="Calibri" w:hAnsi="Calibri"/>
          </w:rPr>
          <w:t>http://transfusionontario.org</w:t>
        </w:r>
        <w:r w:rsidR="0069606C" w:rsidRPr="00AC50A6">
          <w:rPr>
            <w:rStyle w:val="Hyperlink"/>
            <w:rFonts w:ascii="Calibri" w:hAnsi="Calibri"/>
          </w:rPr>
          <w:t>/</w:t>
        </w:r>
        <w:r w:rsidR="0069606C" w:rsidRPr="00AC50A6">
          <w:rPr>
            <w:rStyle w:val="Hyperlink"/>
            <w:rFonts w:ascii="Calibri" w:hAnsi="Calibri"/>
          </w:rPr>
          <w:t>en/documents/?cat=inventory-management</w:t>
        </w:r>
      </w:hyperlink>
      <w:r w:rsidR="0069606C">
        <w:rPr>
          <w:rFonts w:ascii="Calibri" w:hAnsi="Calibri"/>
        </w:rPr>
        <w:t xml:space="preserve"> </w:t>
      </w:r>
      <w:r w:rsidR="003942E5">
        <w:rPr>
          <w:rFonts w:ascii="Calibri" w:hAnsi="Calibri"/>
        </w:rPr>
        <w:t>(IM.004)</w:t>
      </w:r>
    </w:p>
    <w:p w:rsidR="00273A4A" w:rsidRPr="00273A4A" w:rsidRDefault="0069606C" w:rsidP="0069606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IG</w:t>
      </w:r>
      <w:r w:rsidR="00273A4A" w:rsidRPr="00273A4A">
        <w:rPr>
          <w:rFonts w:ascii="Calibri" w:hAnsi="Calibri"/>
        </w:rPr>
        <w:t xml:space="preserve"> Infusion Guidelines - </w:t>
      </w:r>
      <w:hyperlink r:id="rId23" w:history="1">
        <w:r w:rsidRPr="00AC50A6">
          <w:rPr>
            <w:rStyle w:val="Hyperlink"/>
            <w:rFonts w:ascii="Calibri" w:hAnsi="Calibri"/>
          </w:rPr>
          <w:t>http://transfusio</w:t>
        </w:r>
        <w:r w:rsidRPr="00AC50A6">
          <w:rPr>
            <w:rStyle w:val="Hyperlink"/>
            <w:rFonts w:ascii="Calibri" w:hAnsi="Calibri"/>
          </w:rPr>
          <w:t>n</w:t>
        </w:r>
        <w:r w:rsidRPr="00AC50A6">
          <w:rPr>
            <w:rStyle w:val="Hyperlink"/>
            <w:rFonts w:ascii="Calibri" w:hAnsi="Calibri"/>
          </w:rPr>
          <w:t>ontario.org/en/documents/?cat=utilization-management-guidelines</w:t>
        </w:r>
      </w:hyperlink>
      <w:r>
        <w:rPr>
          <w:rFonts w:ascii="Calibri" w:hAnsi="Calibri"/>
        </w:rPr>
        <w:t xml:space="preserve"> </w:t>
      </w:r>
      <w:r w:rsidR="00273A4A" w:rsidRPr="00273A4A"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Informed Consent for Blood Transfusion:</w:t>
      </w:r>
    </w:p>
    <w:p w:rsidR="00273A4A" w:rsidRPr="00273A4A" w:rsidRDefault="00273A4A" w:rsidP="00264A73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Lanyard card available at </w:t>
      </w:r>
      <w:hyperlink r:id="rId24" w:history="1">
        <w:r w:rsidR="00264A73" w:rsidRPr="00AC50A6">
          <w:rPr>
            <w:rStyle w:val="Hyperlink"/>
            <w:rFonts w:ascii="Calibri" w:hAnsi="Calibri"/>
          </w:rPr>
          <w:t>http://transfusionon</w:t>
        </w:r>
        <w:r w:rsidR="00264A73" w:rsidRPr="00AC50A6">
          <w:rPr>
            <w:rStyle w:val="Hyperlink"/>
            <w:rFonts w:ascii="Calibri" w:hAnsi="Calibri"/>
          </w:rPr>
          <w:t>t</w:t>
        </w:r>
        <w:r w:rsidR="00264A73" w:rsidRPr="00AC50A6">
          <w:rPr>
            <w:rStyle w:val="Hyperlink"/>
            <w:rFonts w:ascii="Calibri" w:hAnsi="Calibri"/>
          </w:rPr>
          <w:t>ario.org/en/featured/download-tag/Nurses/?orderby=download_count</w:t>
        </w:r>
      </w:hyperlink>
      <w:r w:rsidR="00264A73">
        <w:rPr>
          <w:rFonts w:ascii="Calibri" w:hAnsi="Calibri"/>
        </w:rPr>
        <w:t xml:space="preserve"> </w:t>
      </w:r>
      <w:r w:rsidRPr="00273A4A">
        <w:rPr>
          <w:rFonts w:ascii="Calibri" w:hAnsi="Calibri"/>
        </w:rPr>
        <w:t xml:space="preserve"> </w:t>
      </w:r>
    </w:p>
    <w:p w:rsidR="00273A4A" w:rsidRPr="00273A4A" w:rsidRDefault="00273A4A" w:rsidP="00264A73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ORBCoN Transfusion Committee Toolkit and Member Handbook available at </w:t>
      </w:r>
      <w:hyperlink r:id="rId25" w:history="1">
        <w:r w:rsidR="00264A73" w:rsidRPr="00AC50A6">
          <w:rPr>
            <w:rStyle w:val="Hyperlink"/>
            <w:rFonts w:ascii="Calibri" w:hAnsi="Calibri"/>
          </w:rPr>
          <w:t>http://transfusiono</w:t>
        </w:r>
        <w:r w:rsidR="00264A73" w:rsidRPr="00AC50A6">
          <w:rPr>
            <w:rStyle w:val="Hyperlink"/>
            <w:rFonts w:ascii="Calibri" w:hAnsi="Calibri"/>
          </w:rPr>
          <w:t>n</w:t>
        </w:r>
        <w:r w:rsidR="00264A73" w:rsidRPr="00AC50A6">
          <w:rPr>
            <w:rStyle w:val="Hyperlink"/>
            <w:rFonts w:ascii="Calibri" w:hAnsi="Calibri"/>
          </w:rPr>
          <w:t>tario.org/en/documents/?cat=transfusion</w:t>
        </w:r>
      </w:hyperlink>
      <w:r w:rsidR="00264A73">
        <w:rPr>
          <w:rFonts w:ascii="Calibri" w:hAnsi="Calibri"/>
        </w:rPr>
        <w:t xml:space="preserve"> </w:t>
      </w:r>
      <w:r w:rsidRPr="00273A4A">
        <w:rPr>
          <w:rFonts w:ascii="Calibri" w:hAnsi="Calibri"/>
        </w:rPr>
        <w:t xml:space="preserve"> </w:t>
      </w:r>
    </w:p>
    <w:p w:rsidR="00273A4A" w:rsidRPr="00273A4A" w:rsidRDefault="00273A4A" w:rsidP="00264A73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AABB </w:t>
      </w:r>
      <w:r w:rsidR="00264A73">
        <w:rPr>
          <w:rFonts w:ascii="Calibri" w:hAnsi="Calibri"/>
        </w:rPr>
        <w:t>resources</w:t>
      </w:r>
      <w:r w:rsidRPr="00273A4A">
        <w:rPr>
          <w:rFonts w:ascii="Calibri" w:hAnsi="Calibri"/>
        </w:rPr>
        <w:t xml:space="preserve"> on informed consent </w:t>
      </w:r>
      <w:hyperlink r:id="rId26" w:history="1">
        <w:r w:rsidR="00264A73" w:rsidRPr="00AC50A6">
          <w:rPr>
            <w:rStyle w:val="Hyperlink"/>
            <w:rFonts w:ascii="Calibri" w:hAnsi="Calibri"/>
          </w:rPr>
          <w:t>https://marketplace.aabb.org/e</w:t>
        </w:r>
        <w:r w:rsidR="00264A73" w:rsidRPr="00AC50A6">
          <w:rPr>
            <w:rStyle w:val="Hyperlink"/>
            <w:rFonts w:ascii="Calibri" w:hAnsi="Calibri"/>
          </w:rPr>
          <w:t>b</w:t>
        </w:r>
        <w:r w:rsidR="00264A73" w:rsidRPr="00AC50A6">
          <w:rPr>
            <w:rStyle w:val="Hyperlink"/>
            <w:rFonts w:ascii="Calibri" w:hAnsi="Calibri"/>
          </w:rPr>
          <w:t>usiness/Default.aspx?TabID=54#filter=%7B%22Facet%22%3Anull,%22SubFacet%22%3Anull,%22Category%22%3Anull,%22SubCategory%22%3Anull%7D&amp;searchTerm=informed+consent&amp;searchItemNameTerm=&amp;searchDescriptionTerm=&amp;productClass</w:t>
        </w:r>
      </w:hyperlink>
      <w:r w:rsidR="00264A73" w:rsidRPr="00264A73">
        <w:rPr>
          <w:rFonts w:ascii="Calibri" w:hAnsi="Calibri"/>
        </w:rPr>
        <w:t>=</w:t>
      </w:r>
      <w:r w:rsidR="00264A73"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Adverse Reaction Reporting and Recalls:</w:t>
      </w:r>
    </w:p>
    <w:p w:rsidR="00273A4A" w:rsidRPr="00273A4A" w:rsidRDefault="00273A4A" w:rsidP="00264A7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Recalls – Canadian Blood Services Clinical Guide to Transfusion </w:t>
      </w:r>
      <w:hyperlink r:id="rId27" w:history="1">
        <w:r w:rsidR="007A6D28" w:rsidRPr="007A6D28">
          <w:rPr>
            <w:rStyle w:val="Hyperlink"/>
            <w:rFonts w:ascii="Calibri" w:hAnsi="Calibri"/>
          </w:rPr>
          <w:t>https://professionaleducation.blood.ca/en/transfusion/guide-clinique/donor-selection-transmissible-disease-testing-and-pathogen-reduction</w:t>
        </w:r>
      </w:hyperlink>
    </w:p>
    <w:p w:rsidR="00273A4A" w:rsidRPr="00273A4A" w:rsidRDefault="00273A4A" w:rsidP="00264A7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Recalls – National Advisory Committee on Blood and Blood Products </w:t>
      </w:r>
      <w:r w:rsidR="00447DFA">
        <w:rPr>
          <w:rFonts w:ascii="Calibri" w:hAnsi="Calibri"/>
        </w:rPr>
        <w:t>Recommendations for the Notification of Recipient of a Blood Component Recall</w:t>
      </w:r>
      <w:r w:rsidRPr="00273A4A">
        <w:rPr>
          <w:rFonts w:ascii="Calibri" w:hAnsi="Calibri"/>
        </w:rPr>
        <w:t xml:space="preserve"> </w:t>
      </w:r>
      <w:hyperlink r:id="rId28" w:history="1">
        <w:r w:rsidR="00264A73" w:rsidRPr="00AC50A6">
          <w:rPr>
            <w:rStyle w:val="Hyperlink"/>
            <w:rFonts w:ascii="Calibri" w:hAnsi="Calibri"/>
          </w:rPr>
          <w:t>http://www.nacblood.ca</w:t>
        </w:r>
        <w:r w:rsidR="00264A73" w:rsidRPr="00AC50A6">
          <w:rPr>
            <w:rStyle w:val="Hyperlink"/>
            <w:rFonts w:ascii="Calibri" w:hAnsi="Calibri"/>
          </w:rPr>
          <w:t>/</w:t>
        </w:r>
        <w:r w:rsidR="00264A73" w:rsidRPr="00AC50A6">
          <w:rPr>
            <w:rStyle w:val="Hyperlink"/>
            <w:rFonts w:ascii="Calibri" w:hAnsi="Calibri"/>
          </w:rPr>
          <w:t>resources/g</w:t>
        </w:r>
        <w:r w:rsidR="00264A73" w:rsidRPr="00AC50A6">
          <w:rPr>
            <w:rStyle w:val="Hyperlink"/>
            <w:rFonts w:ascii="Calibri" w:hAnsi="Calibri"/>
          </w:rPr>
          <w:t>u</w:t>
        </w:r>
        <w:r w:rsidR="00264A73" w:rsidRPr="00AC50A6">
          <w:rPr>
            <w:rStyle w:val="Hyperlink"/>
            <w:rFonts w:ascii="Calibri" w:hAnsi="Calibri"/>
          </w:rPr>
          <w:t>idelines/recall-recipient-notification.html</w:t>
        </w:r>
      </w:hyperlink>
      <w:r w:rsidR="00264A73">
        <w:rPr>
          <w:rFonts w:ascii="Calibri" w:hAnsi="Calibri"/>
        </w:rPr>
        <w:t xml:space="preserve"> </w:t>
      </w:r>
    </w:p>
    <w:p w:rsidR="00273A4A" w:rsidRPr="00273A4A" w:rsidRDefault="00273A4A" w:rsidP="00447DFA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lastRenderedPageBreak/>
        <w:t xml:space="preserve">Transfusion Transmitted Injury Surveillance System (TTISS) </w:t>
      </w:r>
      <w:r w:rsidR="00447DFA">
        <w:rPr>
          <w:rFonts w:ascii="Calibri" w:hAnsi="Calibri"/>
        </w:rPr>
        <w:t>Transfusion</w:t>
      </w:r>
      <w:r w:rsidRPr="00273A4A">
        <w:rPr>
          <w:rFonts w:ascii="Calibri" w:hAnsi="Calibri"/>
        </w:rPr>
        <w:t xml:space="preserve"> Reaction </w:t>
      </w:r>
      <w:r w:rsidR="00447DFA">
        <w:rPr>
          <w:rFonts w:ascii="Calibri" w:hAnsi="Calibri"/>
        </w:rPr>
        <w:t>Resources</w:t>
      </w:r>
      <w:r w:rsidRPr="00273A4A">
        <w:rPr>
          <w:rFonts w:ascii="Calibri" w:hAnsi="Calibri"/>
        </w:rPr>
        <w:br/>
      </w:r>
      <w:hyperlink r:id="rId29" w:history="1">
        <w:r w:rsidR="00447DFA" w:rsidRPr="00AC50A6">
          <w:rPr>
            <w:rStyle w:val="Hyperlink"/>
            <w:rFonts w:ascii="Calibri" w:hAnsi="Calibri"/>
          </w:rPr>
          <w:t>https://ttiss.mcma</w:t>
        </w:r>
        <w:r w:rsidR="00447DFA" w:rsidRPr="00AC50A6">
          <w:rPr>
            <w:rStyle w:val="Hyperlink"/>
            <w:rFonts w:ascii="Calibri" w:hAnsi="Calibri"/>
          </w:rPr>
          <w:t>s</w:t>
        </w:r>
        <w:r w:rsidR="00447DFA" w:rsidRPr="00AC50A6">
          <w:rPr>
            <w:rStyle w:val="Hyperlink"/>
            <w:rFonts w:ascii="Calibri" w:hAnsi="Calibri"/>
          </w:rPr>
          <w:t>ter.ca/?page_id=506</w:t>
        </w:r>
      </w:hyperlink>
      <w:r w:rsidR="00447DFA">
        <w:rPr>
          <w:rFonts w:ascii="Calibri" w:hAnsi="Calibri"/>
        </w:rPr>
        <w:t xml:space="preserve"> </w:t>
      </w:r>
      <w:r w:rsidRPr="00273A4A"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Training and Competency:</w:t>
      </w:r>
    </w:p>
    <w:p w:rsidR="00273A4A" w:rsidRPr="00273A4A" w:rsidRDefault="00273A4A" w:rsidP="003D71B8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>Bloody Easy Blood Administration (See link above)</w:t>
      </w:r>
    </w:p>
    <w:p w:rsidR="00273A4A" w:rsidRPr="00273A4A" w:rsidRDefault="00273A4A" w:rsidP="00447DFA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Bloody Easy for Healthcare Professionals </w:t>
      </w:r>
      <w:hyperlink r:id="rId30" w:history="1">
        <w:r w:rsidR="00447DFA" w:rsidRPr="00AC50A6">
          <w:rPr>
            <w:rStyle w:val="Hyperlink"/>
            <w:rFonts w:ascii="Calibri" w:hAnsi="Calibri"/>
          </w:rPr>
          <w:t>http://transfusionontario.or</w:t>
        </w:r>
        <w:r w:rsidR="00447DFA" w:rsidRPr="00AC50A6">
          <w:rPr>
            <w:rStyle w:val="Hyperlink"/>
            <w:rFonts w:ascii="Calibri" w:hAnsi="Calibri"/>
          </w:rPr>
          <w:t>g</w:t>
        </w:r>
        <w:r w:rsidR="00447DFA" w:rsidRPr="00AC50A6">
          <w:rPr>
            <w:rStyle w:val="Hyperlink"/>
            <w:rFonts w:ascii="Calibri" w:hAnsi="Calibri"/>
          </w:rPr>
          <w:t>/en/documents/?cat=bloody_easy</w:t>
        </w:r>
      </w:hyperlink>
      <w:r w:rsidR="00447DFA">
        <w:rPr>
          <w:rFonts w:ascii="Calibri" w:hAnsi="Calibri"/>
        </w:rPr>
        <w:t xml:space="preserve">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Records and Documents Management:</w:t>
      </w:r>
    </w:p>
    <w:p w:rsidR="00273A4A" w:rsidRPr="00273A4A" w:rsidRDefault="00273A4A" w:rsidP="00447DFA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Tahoma"/>
        </w:rPr>
      </w:pPr>
      <w:r w:rsidRPr="00273A4A">
        <w:rPr>
          <w:rFonts w:ascii="Calibri" w:hAnsi="Calibri" w:cs="Calibri"/>
        </w:rPr>
        <w:t xml:space="preserve">Patient Notification - </w:t>
      </w:r>
      <w:r w:rsidRPr="00273A4A">
        <w:rPr>
          <w:rFonts w:ascii="Calibri" w:hAnsi="Calibri"/>
        </w:rPr>
        <w:t>A</w:t>
      </w:r>
      <w:r w:rsidR="00447DFA">
        <w:rPr>
          <w:rFonts w:ascii="Calibri" w:hAnsi="Calibri"/>
        </w:rPr>
        <w:t>DM</w:t>
      </w:r>
      <w:r w:rsidRPr="00273A4A">
        <w:rPr>
          <w:rFonts w:ascii="Calibri" w:hAnsi="Calibri"/>
        </w:rPr>
        <w:t>.002 No</w:t>
      </w:r>
      <w:r w:rsidR="00447DFA">
        <w:rPr>
          <w:rFonts w:ascii="Calibri" w:hAnsi="Calibri"/>
        </w:rPr>
        <w:t>tification to</w:t>
      </w:r>
      <w:r w:rsidRPr="00273A4A">
        <w:rPr>
          <w:rFonts w:ascii="Calibri" w:hAnsi="Calibri"/>
        </w:rPr>
        <w:t xml:space="preserve"> Patie</w:t>
      </w:r>
      <w:r w:rsidR="00447DFA">
        <w:rPr>
          <w:rFonts w:ascii="Calibri" w:hAnsi="Calibri"/>
        </w:rPr>
        <w:t xml:space="preserve">nts of Transfusion of Blood </w:t>
      </w:r>
      <w:r w:rsidRPr="00273A4A">
        <w:rPr>
          <w:rFonts w:ascii="Calibri" w:hAnsi="Calibri"/>
        </w:rPr>
        <w:t>or Blood Products</w:t>
      </w:r>
      <w:r w:rsidRPr="00273A4A">
        <w:rPr>
          <w:rFonts w:ascii="Calibri" w:hAnsi="Calibri" w:cs="Calibri"/>
        </w:rPr>
        <w:br/>
      </w:r>
      <w:hyperlink r:id="rId31" w:history="1">
        <w:r w:rsidR="00447DFA" w:rsidRPr="00AC50A6">
          <w:rPr>
            <w:rStyle w:val="Hyperlink"/>
            <w:rFonts w:ascii="Calibri" w:hAnsi="Calibri"/>
          </w:rPr>
          <w:t>http://transfusionontario</w:t>
        </w:r>
        <w:r w:rsidR="00447DFA" w:rsidRPr="00AC50A6">
          <w:rPr>
            <w:rStyle w:val="Hyperlink"/>
            <w:rFonts w:ascii="Calibri" w:hAnsi="Calibri"/>
          </w:rPr>
          <w:t>.</w:t>
        </w:r>
        <w:r w:rsidR="00447DFA" w:rsidRPr="00AC50A6">
          <w:rPr>
            <w:rStyle w:val="Hyperlink"/>
            <w:rFonts w:ascii="Calibri" w:hAnsi="Calibri"/>
          </w:rPr>
          <w:t>org/en/documents/?cat=administration</w:t>
        </w:r>
      </w:hyperlink>
      <w:r w:rsidR="00447DFA">
        <w:rPr>
          <w:rFonts w:ascii="Calibri" w:hAnsi="Calibri"/>
        </w:rPr>
        <w:t xml:space="preserve"> </w:t>
      </w:r>
      <w:r w:rsidRPr="00273A4A">
        <w:rPr>
          <w:rFonts w:ascii="Calibri" w:hAnsi="Calibri" w:cs="Tahoma"/>
        </w:rPr>
        <w:t xml:space="preserve"> </w:t>
      </w:r>
    </w:p>
    <w:p w:rsidR="00273A4A" w:rsidRDefault="00273A4A" w:rsidP="00447DFA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Tahoma"/>
        </w:rPr>
      </w:pPr>
      <w:r w:rsidRPr="00273A4A">
        <w:rPr>
          <w:rFonts w:ascii="Calibri" w:hAnsi="Calibri" w:cs="Tahoma"/>
        </w:rPr>
        <w:t>Special Needs – letters and templates for patients with special requirements</w:t>
      </w:r>
      <w:r w:rsidR="00447DFA">
        <w:rPr>
          <w:rFonts w:ascii="Calibri" w:hAnsi="Calibri" w:cs="Tahoma"/>
        </w:rPr>
        <w:t xml:space="preserve"> </w:t>
      </w:r>
      <w:hyperlink r:id="rId32" w:history="1">
        <w:r w:rsidR="00447DFA" w:rsidRPr="00AC50A6">
          <w:rPr>
            <w:rStyle w:val="Hyperlink"/>
            <w:rFonts w:ascii="Calibri" w:hAnsi="Calibri" w:cs="Tahoma"/>
          </w:rPr>
          <w:t>http://transfusionontario.org/en/d</w:t>
        </w:r>
        <w:r w:rsidR="00447DFA" w:rsidRPr="00AC50A6">
          <w:rPr>
            <w:rStyle w:val="Hyperlink"/>
            <w:rFonts w:ascii="Calibri" w:hAnsi="Calibri" w:cs="Tahoma"/>
          </w:rPr>
          <w:t>o</w:t>
        </w:r>
        <w:r w:rsidR="00447DFA" w:rsidRPr="00AC50A6">
          <w:rPr>
            <w:rStyle w:val="Hyperlink"/>
            <w:rFonts w:ascii="Calibri" w:hAnsi="Calibri" w:cs="Tahoma"/>
          </w:rPr>
          <w:t>cuments/?cat=special_blood_requirements</w:t>
        </w:r>
      </w:hyperlink>
      <w:r w:rsidR="00447DFA">
        <w:rPr>
          <w:rFonts w:ascii="Calibri" w:hAnsi="Calibri" w:cs="Tahoma"/>
        </w:rPr>
        <w:t xml:space="preserve"> </w:t>
      </w:r>
    </w:p>
    <w:p w:rsidR="00447DFA" w:rsidRPr="00273A4A" w:rsidRDefault="00447DFA" w:rsidP="00447DFA">
      <w:pPr>
        <w:pStyle w:val="ListParagraph"/>
        <w:spacing w:after="200" w:line="276" w:lineRule="auto"/>
        <w:ind w:left="1080"/>
        <w:rPr>
          <w:rFonts w:ascii="Calibri" w:hAnsi="Calibri" w:cs="Tahoma"/>
        </w:rPr>
      </w:pPr>
    </w:p>
    <w:p w:rsidR="00273A4A" w:rsidRPr="00273A4A" w:rsidRDefault="00273A4A" w:rsidP="003D71B8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Tahoma"/>
        </w:rPr>
      </w:pPr>
      <w:r w:rsidRPr="00273A4A">
        <w:rPr>
          <w:rFonts w:ascii="Calibri" w:hAnsi="Calibri" w:cs="Tahoma"/>
        </w:rPr>
        <w:t xml:space="preserve">Record Retention – refer to CSA and provincial regulations for record retention requirements. </w:t>
      </w:r>
    </w:p>
    <w:p w:rsidR="00273A4A" w:rsidRPr="00273A4A" w:rsidRDefault="00273A4A" w:rsidP="00273A4A">
      <w:pPr>
        <w:pStyle w:val="Heading1"/>
        <w:rPr>
          <w:rFonts w:ascii="Calibri" w:hAnsi="Calibri" w:cs="Tahoma"/>
          <w:color w:val="00467D"/>
          <w:sz w:val="28"/>
          <w:szCs w:val="28"/>
        </w:rPr>
      </w:pPr>
      <w:r w:rsidRPr="00273A4A">
        <w:rPr>
          <w:rFonts w:ascii="Calibri" w:hAnsi="Calibri" w:cs="Tahoma"/>
          <w:color w:val="00467D"/>
          <w:sz w:val="28"/>
          <w:szCs w:val="28"/>
        </w:rPr>
        <w:t>Other:</w:t>
      </w:r>
      <w:r w:rsidRPr="00273A4A">
        <w:rPr>
          <w:rFonts w:ascii="Calibri" w:hAnsi="Calibri"/>
          <w:color w:val="00467D"/>
          <w:sz w:val="28"/>
          <w:szCs w:val="28"/>
        </w:rPr>
        <w:t xml:space="preserve"> </w:t>
      </w:r>
    </w:p>
    <w:p w:rsidR="00273A4A" w:rsidRDefault="00273A4A" w:rsidP="003D71B8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273A4A">
        <w:rPr>
          <w:rFonts w:ascii="Calibri" w:hAnsi="Calibri"/>
        </w:rPr>
        <w:t xml:space="preserve">Transfusion Committees – ORBCoN Transfusion Committee Toolkit and Member Handbook available at </w:t>
      </w:r>
      <w:hyperlink r:id="rId33" w:history="1">
        <w:r w:rsidR="00447DFA" w:rsidRPr="00AC50A6">
          <w:rPr>
            <w:rStyle w:val="Hyperlink"/>
            <w:rFonts w:ascii="Calibri" w:hAnsi="Calibri"/>
          </w:rPr>
          <w:t>http://transfusionontario.org/en/documents/?cat=transfusion</w:t>
        </w:r>
      </w:hyperlink>
      <w:r w:rsidR="00447DFA">
        <w:rPr>
          <w:rFonts w:ascii="Calibri" w:hAnsi="Calibri"/>
        </w:rPr>
        <w:t xml:space="preserve"> </w:t>
      </w:r>
      <w:r w:rsidR="00447DFA" w:rsidRPr="00273A4A">
        <w:rPr>
          <w:rFonts w:ascii="Calibri" w:hAnsi="Calibri"/>
        </w:rPr>
        <w:t xml:space="preserve"> </w:t>
      </w:r>
    </w:p>
    <w:p w:rsidR="00273A4A" w:rsidRPr="005051FF" w:rsidRDefault="00273A4A" w:rsidP="005051FF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5051FF">
        <w:rPr>
          <w:rFonts w:ascii="Calibri" w:hAnsi="Calibri"/>
        </w:rPr>
        <w:t xml:space="preserve">Blood Shortages – Ontario Contingency Plan for Management of Blood Shortages </w:t>
      </w:r>
      <w:hyperlink r:id="rId34" w:history="1">
        <w:r w:rsidR="00447DFA" w:rsidRPr="005051FF">
          <w:rPr>
            <w:rStyle w:val="Hyperlink"/>
            <w:rFonts w:ascii="Calibri" w:hAnsi="Calibri"/>
          </w:rPr>
          <w:t>http://transfusionontario.org/en/documents/?cat=emergency_blood</w:t>
        </w:r>
      </w:hyperlink>
      <w:r w:rsidRPr="005051FF">
        <w:rPr>
          <w:rFonts w:ascii="Calibri" w:hAnsi="Calibri"/>
        </w:rPr>
        <w:t xml:space="preserve"> </w:t>
      </w:r>
    </w:p>
    <w:sectPr w:rsidR="00273A4A" w:rsidRPr="005051FF" w:rsidSect="00CC2E10">
      <w:headerReference w:type="default" r:id="rId35"/>
      <w:footerReference w:type="default" r:id="rId36"/>
      <w:pgSz w:w="12240" w:h="15840"/>
      <w:pgMar w:top="2155" w:right="1325" w:bottom="1560" w:left="126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89" w:rsidRDefault="00F24789" w:rsidP="004262CF">
      <w:r>
        <w:separator/>
      </w:r>
    </w:p>
  </w:endnote>
  <w:endnote w:type="continuationSeparator" w:id="0">
    <w:p w:rsidR="00F24789" w:rsidRDefault="00F24789" w:rsidP="004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40" w:rsidRDefault="00C0083B" w:rsidP="00933019">
    <w:pPr>
      <w:pStyle w:val="Footer"/>
      <w:ind w:left="-450"/>
      <w:rPr>
        <w:rFonts w:ascii="Verdana" w:hAnsi="Verdana"/>
        <w:color w:val="FFFFFF"/>
        <w:sz w:val="16"/>
        <w:szCs w:val="16"/>
      </w:rPr>
    </w:pPr>
    <w:r>
      <w:rPr>
        <w:rFonts w:ascii="Verdana" w:hAnsi="Verdana"/>
        <w:noProof/>
        <w:color w:val="FFFFFF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17780</wp:posOffset>
          </wp:positionV>
          <wp:extent cx="7962265" cy="661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C40" w:rsidRDefault="00F55C40" w:rsidP="00933019">
    <w:pPr>
      <w:pStyle w:val="Footer"/>
      <w:ind w:left="-450"/>
      <w:rPr>
        <w:rFonts w:ascii="Verdana" w:hAnsi="Verdana"/>
        <w:color w:val="FFFFFF"/>
        <w:sz w:val="16"/>
        <w:szCs w:val="16"/>
      </w:rPr>
    </w:pPr>
    <w:r>
      <w:rPr>
        <w:rFonts w:ascii="Verdana" w:hAnsi="Verdana"/>
        <w:color w:val="FFFFFF"/>
        <w:sz w:val="16"/>
        <w:szCs w:val="16"/>
      </w:rPr>
      <w:t xml:space="preserve">Page </w:t>
    </w:r>
    <w:r w:rsidRPr="00F55C40">
      <w:rPr>
        <w:rFonts w:ascii="Verdana" w:hAnsi="Verdana"/>
        <w:color w:val="FFFFFF"/>
        <w:sz w:val="16"/>
        <w:szCs w:val="16"/>
      </w:rPr>
      <w:fldChar w:fldCharType="begin"/>
    </w:r>
    <w:r w:rsidRPr="00F55C40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F55C40">
      <w:rPr>
        <w:rFonts w:ascii="Verdana" w:hAnsi="Verdana"/>
        <w:color w:val="FFFFFF"/>
        <w:sz w:val="16"/>
        <w:szCs w:val="16"/>
      </w:rPr>
      <w:fldChar w:fldCharType="separate"/>
    </w:r>
    <w:r w:rsidR="00EB396F">
      <w:rPr>
        <w:rFonts w:ascii="Verdana" w:hAnsi="Verdana"/>
        <w:noProof/>
        <w:color w:val="FFFFFF"/>
        <w:sz w:val="16"/>
        <w:szCs w:val="16"/>
      </w:rPr>
      <w:t>1</w:t>
    </w:r>
    <w:r w:rsidRPr="00F55C40">
      <w:rPr>
        <w:rFonts w:ascii="Verdana" w:hAnsi="Verdana"/>
        <w:color w:val="FFFFFF"/>
        <w:sz w:val="16"/>
        <w:szCs w:val="16"/>
      </w:rPr>
      <w:fldChar w:fldCharType="end"/>
    </w:r>
  </w:p>
  <w:p w:rsidR="00955834" w:rsidRPr="00F55C40" w:rsidRDefault="00EB396F" w:rsidP="00933019">
    <w:pPr>
      <w:pStyle w:val="Footer"/>
      <w:ind w:left="-450"/>
      <w:rPr>
        <w:rFonts w:ascii="Verdana" w:hAnsi="Verdana"/>
        <w:color w:val="FFFFFF"/>
        <w:sz w:val="16"/>
        <w:szCs w:val="16"/>
      </w:rPr>
    </w:pPr>
    <w:r>
      <w:rPr>
        <w:rFonts w:ascii="Verdana" w:hAnsi="Verdana"/>
        <w:color w:val="FFFFFF"/>
        <w:sz w:val="16"/>
        <w:szCs w:val="16"/>
      </w:rPr>
      <w:t>Version 2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89" w:rsidRDefault="00F24789" w:rsidP="004262CF">
      <w:r>
        <w:separator/>
      </w:r>
    </w:p>
  </w:footnote>
  <w:footnote w:type="continuationSeparator" w:id="0">
    <w:p w:rsidR="00F24789" w:rsidRDefault="00F24789" w:rsidP="0042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834" w:rsidRDefault="00C0083B" w:rsidP="00D433BB">
    <w:pPr>
      <w:pStyle w:val="Header"/>
      <w:ind w:left="-1260"/>
    </w:pPr>
    <w:r>
      <w:rPr>
        <w:noProof/>
      </w:rPr>
      <w:drawing>
        <wp:inline distT="0" distB="0" distL="0" distR="0">
          <wp:extent cx="7772400" cy="1217930"/>
          <wp:effectExtent l="0" t="0" r="0" b="0"/>
          <wp:docPr id="4" name="Picture 4" descr="report_cover2012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_cover2012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79F"/>
    <w:multiLevelType w:val="hybridMultilevel"/>
    <w:tmpl w:val="A2008B4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81193"/>
    <w:multiLevelType w:val="hybridMultilevel"/>
    <w:tmpl w:val="3108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148"/>
    <w:multiLevelType w:val="hybridMultilevel"/>
    <w:tmpl w:val="C14A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77DB7"/>
    <w:multiLevelType w:val="hybridMultilevel"/>
    <w:tmpl w:val="175464A6"/>
    <w:lvl w:ilvl="0" w:tplc="9086F36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1CD3AAF"/>
    <w:multiLevelType w:val="hybridMultilevel"/>
    <w:tmpl w:val="B2EA72BC"/>
    <w:lvl w:ilvl="0" w:tplc="57B04E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0172DF"/>
    <w:multiLevelType w:val="hybridMultilevel"/>
    <w:tmpl w:val="6754625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5E5006"/>
    <w:multiLevelType w:val="hybridMultilevel"/>
    <w:tmpl w:val="7CD46640"/>
    <w:lvl w:ilvl="0" w:tplc="049C13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847FC"/>
    <w:multiLevelType w:val="hybridMultilevel"/>
    <w:tmpl w:val="6A8630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021414"/>
    <w:multiLevelType w:val="hybridMultilevel"/>
    <w:tmpl w:val="08A2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904"/>
    <w:multiLevelType w:val="hybridMultilevel"/>
    <w:tmpl w:val="2F5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A259BC"/>
    <w:multiLevelType w:val="hybridMultilevel"/>
    <w:tmpl w:val="8024857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CF"/>
    <w:rsid w:val="0002760D"/>
    <w:rsid w:val="00094561"/>
    <w:rsid w:val="000C769A"/>
    <w:rsid w:val="000F2090"/>
    <w:rsid w:val="00151570"/>
    <w:rsid w:val="001C0BF0"/>
    <w:rsid w:val="002258CF"/>
    <w:rsid w:val="00264A73"/>
    <w:rsid w:val="00273A4A"/>
    <w:rsid w:val="003157D8"/>
    <w:rsid w:val="00334766"/>
    <w:rsid w:val="00336A2A"/>
    <w:rsid w:val="0036485B"/>
    <w:rsid w:val="003942E5"/>
    <w:rsid w:val="003B20D3"/>
    <w:rsid w:val="003C23AC"/>
    <w:rsid w:val="003D71B8"/>
    <w:rsid w:val="003F2371"/>
    <w:rsid w:val="004262CF"/>
    <w:rsid w:val="00447DFA"/>
    <w:rsid w:val="005051FF"/>
    <w:rsid w:val="00525219"/>
    <w:rsid w:val="00536CC3"/>
    <w:rsid w:val="006362E5"/>
    <w:rsid w:val="00652A2E"/>
    <w:rsid w:val="0069606C"/>
    <w:rsid w:val="00731302"/>
    <w:rsid w:val="0077441D"/>
    <w:rsid w:val="007A6D28"/>
    <w:rsid w:val="0084743B"/>
    <w:rsid w:val="00895325"/>
    <w:rsid w:val="00914D0D"/>
    <w:rsid w:val="00933019"/>
    <w:rsid w:val="00955834"/>
    <w:rsid w:val="0099710B"/>
    <w:rsid w:val="009B4230"/>
    <w:rsid w:val="009E604E"/>
    <w:rsid w:val="00A46A37"/>
    <w:rsid w:val="00A91588"/>
    <w:rsid w:val="00AF446F"/>
    <w:rsid w:val="00AF785D"/>
    <w:rsid w:val="00B03937"/>
    <w:rsid w:val="00BD2F74"/>
    <w:rsid w:val="00BE0D3B"/>
    <w:rsid w:val="00C0083B"/>
    <w:rsid w:val="00CC2E10"/>
    <w:rsid w:val="00CD49F5"/>
    <w:rsid w:val="00CF1D3C"/>
    <w:rsid w:val="00D16283"/>
    <w:rsid w:val="00D433BB"/>
    <w:rsid w:val="00D542F7"/>
    <w:rsid w:val="00E65450"/>
    <w:rsid w:val="00EB396F"/>
    <w:rsid w:val="00F24789"/>
    <w:rsid w:val="00F409D6"/>
    <w:rsid w:val="00F45FC5"/>
    <w:rsid w:val="00F55C40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5A632-B4FB-4D39-AAB8-00FBB69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37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55C4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qFormat/>
    <w:rsid w:val="00A9158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262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4262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62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262C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26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4262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A46A37"/>
    <w:pPr>
      <w:ind w:left="720"/>
      <w:contextualSpacing/>
    </w:pPr>
  </w:style>
  <w:style w:type="character" w:styleId="Hyperlink">
    <w:name w:val="Hyperlink"/>
    <w:uiPriority w:val="99"/>
    <w:rsid w:val="00A46A37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locked/>
    <w:rsid w:val="00A91588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rsid w:val="00A915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qFormat/>
    <w:rsid w:val="00A91588"/>
    <w:rPr>
      <w:rFonts w:cs="Times New Roman"/>
      <w:b/>
      <w:bCs/>
    </w:rPr>
  </w:style>
  <w:style w:type="character" w:customStyle="1" w:styleId="apple-converted-space">
    <w:name w:val="apple-converted-space"/>
    <w:rsid w:val="00A91588"/>
    <w:rPr>
      <w:rFonts w:cs="Times New Roman"/>
    </w:rPr>
  </w:style>
  <w:style w:type="character" w:styleId="Emphasis">
    <w:name w:val="Emphasis"/>
    <w:qFormat/>
    <w:rsid w:val="00A91588"/>
    <w:rPr>
      <w:rFonts w:cs="Times New Roman"/>
      <w:i/>
      <w:iCs/>
    </w:rPr>
  </w:style>
  <w:style w:type="character" w:styleId="FollowedHyperlink">
    <w:name w:val="FollowedHyperlink"/>
    <w:semiHidden/>
    <w:rsid w:val="00CD49F5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F5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F55C40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55C40"/>
    <w:rPr>
      <w:rFonts w:ascii="Calibri" w:eastAsia="Times New Roman" w:hAnsi="Calibri"/>
    </w:rPr>
  </w:style>
  <w:style w:type="character" w:styleId="FootnoteReference">
    <w:name w:val="footnote reference"/>
    <w:uiPriority w:val="99"/>
    <w:rsid w:val="00F55C40"/>
    <w:rPr>
      <w:rFonts w:cs="Times New Roman"/>
      <w:vertAlign w:val="superscript"/>
    </w:rPr>
  </w:style>
  <w:style w:type="paragraph" w:styleId="NoSpacing">
    <w:name w:val="No Spacing"/>
    <w:uiPriority w:val="1"/>
    <w:qFormat/>
    <w:rsid w:val="009B4230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77441D"/>
    <w:rPr>
      <w:color w:val="808080"/>
      <w:shd w:val="clear" w:color="auto" w:fill="E6E6E6"/>
    </w:rPr>
  </w:style>
  <w:style w:type="character" w:styleId="CommentReference">
    <w:name w:val="annotation reference"/>
    <w:rsid w:val="00264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4A73"/>
  </w:style>
  <w:style w:type="paragraph" w:styleId="CommentSubject">
    <w:name w:val="annotation subject"/>
    <w:basedOn w:val="CommentText"/>
    <w:next w:val="CommentText"/>
    <w:link w:val="CommentSubjectChar"/>
    <w:rsid w:val="00264A73"/>
    <w:rPr>
      <w:b/>
      <w:bCs/>
    </w:rPr>
  </w:style>
  <w:style w:type="character" w:customStyle="1" w:styleId="CommentSubjectChar">
    <w:name w:val="Comment Subject Char"/>
    <w:link w:val="CommentSubject"/>
    <w:rsid w:val="0026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health-canada/services/drugs-health-products/biologics-radiopharmaceuticals-genetic-therapies/applications-submissions/guidance-documents/blood-regulations/guidance-document-blood-regulations-1.html" TargetMode="External"/><Relationship Id="rId18" Type="http://schemas.openxmlformats.org/officeDocument/2006/relationships/hyperlink" Target="http://transfusionontario.org/en/documents/?cat=bloody-bloody" TargetMode="External"/><Relationship Id="rId26" Type="http://schemas.openxmlformats.org/officeDocument/2006/relationships/hyperlink" Target="https://marketplace.aabb.org/ebusiness/Default.aspx?TabID=54#filter=%7B%22Facet%22%3Anull,%22SubFacet%22%3Anull,%22Category%22%3Anull,%22SubCategory%22%3Anull%7D&amp;searchTerm=informed+consent&amp;searchItemNameTerm=&amp;searchDescriptionTerm=&amp;productCla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ransfusionontario.org/en/documents/?cat=inventory-management" TargetMode="External"/><Relationship Id="rId34" Type="http://schemas.openxmlformats.org/officeDocument/2006/relationships/hyperlink" Target="http://transfusionontario.org/en/documents/?cat=emergency_bloo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reditation.ca/" TargetMode="External"/><Relationship Id="rId17" Type="http://schemas.openxmlformats.org/officeDocument/2006/relationships/hyperlink" Target="http://transfusionontario.org/en/documents/?cat=inventory-management" TargetMode="External"/><Relationship Id="rId25" Type="http://schemas.openxmlformats.org/officeDocument/2006/relationships/hyperlink" Target="http://transfusionontario.org/en/documents/?cat=transfusion" TargetMode="External"/><Relationship Id="rId33" Type="http://schemas.openxmlformats.org/officeDocument/2006/relationships/hyperlink" Target="http://transfusionontario.org/en/documents/?cat=transfusio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ofessionaleducation.blood.ca/en/transfusion/best-practices/visual-assessment-guide?_ga=2.215148948.2069738952.1523641771-1453064797.1523641771" TargetMode="External"/><Relationship Id="rId20" Type="http://schemas.openxmlformats.org/officeDocument/2006/relationships/hyperlink" Target="http://transfusionontario.org/en/documents/?cat=bedside_audit" TargetMode="External"/><Relationship Id="rId29" Type="http://schemas.openxmlformats.org/officeDocument/2006/relationships/hyperlink" Target="https://ttiss.mcmaster.ca/?page_id=5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csa.ca/search?q=Z902-15&amp;categories=shop" TargetMode="External"/><Relationship Id="rId24" Type="http://schemas.openxmlformats.org/officeDocument/2006/relationships/hyperlink" Target="http://transfusionontario.org/en/featured/download-tag/Nurses/?orderby=download_count" TargetMode="External"/><Relationship Id="rId32" Type="http://schemas.openxmlformats.org/officeDocument/2006/relationships/hyperlink" Target="http://transfusionontario.org/en/documents/?cat=special_blood_requirement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lood.ca/en/hospitals/circular-information" TargetMode="External"/><Relationship Id="rId23" Type="http://schemas.openxmlformats.org/officeDocument/2006/relationships/hyperlink" Target="http://transfusionontario.org/en/documents/?cat=utilization-management-guidelines" TargetMode="External"/><Relationship Id="rId28" Type="http://schemas.openxmlformats.org/officeDocument/2006/relationships/hyperlink" Target="http://www.nacblood.ca/resources/guidelines/recall-recipient-notification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transfusion.ca/Resources/Standards" TargetMode="External"/><Relationship Id="rId19" Type="http://schemas.openxmlformats.org/officeDocument/2006/relationships/hyperlink" Target="http://transfusionontario.org/en/documents/?cat=bloody-bloody" TargetMode="External"/><Relationship Id="rId31" Type="http://schemas.openxmlformats.org/officeDocument/2006/relationships/hyperlink" Target="http://transfusionontario.org/en/documents/?cat=administ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qmh.org/" TargetMode="External"/><Relationship Id="rId22" Type="http://schemas.openxmlformats.org/officeDocument/2006/relationships/hyperlink" Target="http://transfusionontario.org/en/documents/?cat=inventory-management" TargetMode="External"/><Relationship Id="rId27" Type="http://schemas.openxmlformats.org/officeDocument/2006/relationships/hyperlink" Target="https://professionaleducation.blood.ca/en/transfusion/guide-clinique/donor-selection-transmissible-disease-testing-and-pathogen-reduction" TargetMode="External"/><Relationship Id="rId30" Type="http://schemas.openxmlformats.org/officeDocument/2006/relationships/hyperlink" Target="http://transfusionontario.org/en/documents/?cat=bloody_easy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11" ma:contentTypeDescription="Create a new document." ma:contentTypeScope="" ma:versionID="77849bcc1414e4941dc983161418bbbc">
  <xsd:schema xmlns:xsd="http://www.w3.org/2001/XMLSchema" xmlns:xs="http://www.w3.org/2001/XMLSchema" xmlns:p="http://schemas.microsoft.com/office/2006/metadata/properties" xmlns:ns2="7f6c3347-daca-45e1-99d9-520b81d19cb5" xmlns:ns3="64023cec-41a1-461f-a361-ceb3cad28dfa" targetNamespace="http://schemas.microsoft.com/office/2006/metadata/properties" ma:root="true" ma:fieldsID="6e9476352c9e2ccf428ac31064691b81" ns2:_="" ns3:_="">
    <xsd:import namespace="7f6c3347-daca-45e1-99d9-520b81d19cb5"/>
    <xsd:import namespace="64023cec-41a1-461f-a361-ceb3cad28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23cec-41a1-461f-a361-ceb3cad28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86578-14B3-4C90-A1F1-101F42F4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64023cec-41a1-461f-a361-ceb3cad28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F4D24-7A01-4CC5-91DD-6BF9382BF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F1CC5-3524-4CBC-B15F-7FE37316E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7121</CharactersWithSpaces>
  <SharedDoc>false</SharedDoc>
  <HLinks>
    <vt:vector size="150" baseType="variant">
      <vt:variant>
        <vt:i4>1376357</vt:i4>
      </vt:variant>
      <vt:variant>
        <vt:i4>72</vt:i4>
      </vt:variant>
      <vt:variant>
        <vt:i4>0</vt:i4>
      </vt:variant>
      <vt:variant>
        <vt:i4>5</vt:i4>
      </vt:variant>
      <vt:variant>
        <vt:lpwstr>http://transfusionontario.org/en/documents/?cat=emergency_blood</vt:lpwstr>
      </vt:variant>
      <vt:variant>
        <vt:lpwstr/>
      </vt:variant>
      <vt:variant>
        <vt:i4>3539042</vt:i4>
      </vt:variant>
      <vt:variant>
        <vt:i4>69</vt:i4>
      </vt:variant>
      <vt:variant>
        <vt:i4>0</vt:i4>
      </vt:variant>
      <vt:variant>
        <vt:i4>5</vt:i4>
      </vt:variant>
      <vt:variant>
        <vt:lpwstr>http://transfusionontario.org/en/documents/?cat=transfusion</vt:lpwstr>
      </vt:variant>
      <vt:variant>
        <vt:lpwstr/>
      </vt:variant>
      <vt:variant>
        <vt:i4>3342460</vt:i4>
      </vt:variant>
      <vt:variant>
        <vt:i4>66</vt:i4>
      </vt:variant>
      <vt:variant>
        <vt:i4>0</vt:i4>
      </vt:variant>
      <vt:variant>
        <vt:i4>5</vt:i4>
      </vt:variant>
      <vt:variant>
        <vt:lpwstr>http://transfusionontario.org/en/documents/?cat=special_blood_requirements</vt:lpwstr>
      </vt:variant>
      <vt:variant>
        <vt:lpwstr/>
      </vt:variant>
      <vt:variant>
        <vt:i4>2490464</vt:i4>
      </vt:variant>
      <vt:variant>
        <vt:i4>63</vt:i4>
      </vt:variant>
      <vt:variant>
        <vt:i4>0</vt:i4>
      </vt:variant>
      <vt:variant>
        <vt:i4>5</vt:i4>
      </vt:variant>
      <vt:variant>
        <vt:lpwstr>http://transfusionontario.org/en/documents/?cat=administration</vt:lpwstr>
      </vt:variant>
      <vt:variant>
        <vt:lpwstr/>
      </vt:variant>
      <vt:variant>
        <vt:i4>3932239</vt:i4>
      </vt:variant>
      <vt:variant>
        <vt:i4>60</vt:i4>
      </vt:variant>
      <vt:variant>
        <vt:i4>0</vt:i4>
      </vt:variant>
      <vt:variant>
        <vt:i4>5</vt:i4>
      </vt:variant>
      <vt:variant>
        <vt:lpwstr>http://transfusionontario.org/en/documents/?cat=bloody_easy</vt:lpwstr>
      </vt:variant>
      <vt:variant>
        <vt:lpwstr/>
      </vt:variant>
      <vt:variant>
        <vt:i4>6225960</vt:i4>
      </vt:variant>
      <vt:variant>
        <vt:i4>57</vt:i4>
      </vt:variant>
      <vt:variant>
        <vt:i4>0</vt:i4>
      </vt:variant>
      <vt:variant>
        <vt:i4>5</vt:i4>
      </vt:variant>
      <vt:variant>
        <vt:lpwstr>https://ttiss.mcmaster.ca/?page_id=506</vt:lpwstr>
      </vt:variant>
      <vt:variant>
        <vt:lpwstr/>
      </vt:variant>
      <vt:variant>
        <vt:i4>7077948</vt:i4>
      </vt:variant>
      <vt:variant>
        <vt:i4>54</vt:i4>
      </vt:variant>
      <vt:variant>
        <vt:i4>0</vt:i4>
      </vt:variant>
      <vt:variant>
        <vt:i4>5</vt:i4>
      </vt:variant>
      <vt:variant>
        <vt:lpwstr>http://www.nacblood.ca/resources/guidelines/recall-recipient-notification.html</vt:lpwstr>
      </vt:variant>
      <vt:variant>
        <vt:lpwstr/>
      </vt:variant>
      <vt:variant>
        <vt:i4>327762</vt:i4>
      </vt:variant>
      <vt:variant>
        <vt:i4>51</vt:i4>
      </vt:variant>
      <vt:variant>
        <vt:i4>0</vt:i4>
      </vt:variant>
      <vt:variant>
        <vt:i4>5</vt:i4>
      </vt:variant>
      <vt:variant>
        <vt:lpwstr>https://professionaleducation.blood.ca/en/transfusion/guide-clinique/donor-selection-transmissible-disease-testing-and-pathogen-reduction</vt:lpwstr>
      </vt:variant>
      <vt:variant>
        <vt:lpwstr/>
      </vt:variant>
      <vt:variant>
        <vt:i4>4259934</vt:i4>
      </vt:variant>
      <vt:variant>
        <vt:i4>48</vt:i4>
      </vt:variant>
      <vt:variant>
        <vt:i4>0</vt:i4>
      </vt:variant>
      <vt:variant>
        <vt:i4>5</vt:i4>
      </vt:variant>
      <vt:variant>
        <vt:lpwstr>https://marketplace.aabb.org/ebusiness/Default.aspx?TabID=54</vt:lpwstr>
      </vt:variant>
      <vt:variant>
        <vt:lpwstr>filter=%7B%22Facet%22%3Anull,%22SubFacet%22%3Anull,%22Category%22%3Anull,%22SubCategory%22%3Anull%7D&amp;searchTerm=informed+consent&amp;searchItemNameTerm=&amp;searchDescriptionTerm=&amp;productClass</vt:lpwstr>
      </vt:variant>
      <vt:variant>
        <vt:i4>3539042</vt:i4>
      </vt:variant>
      <vt:variant>
        <vt:i4>45</vt:i4>
      </vt:variant>
      <vt:variant>
        <vt:i4>0</vt:i4>
      </vt:variant>
      <vt:variant>
        <vt:i4>5</vt:i4>
      </vt:variant>
      <vt:variant>
        <vt:lpwstr>http://transfusionontario.org/en/documents/?cat=transfusion</vt:lpwstr>
      </vt:variant>
      <vt:variant>
        <vt:lpwstr/>
      </vt:variant>
      <vt:variant>
        <vt:i4>7536719</vt:i4>
      </vt:variant>
      <vt:variant>
        <vt:i4>42</vt:i4>
      </vt:variant>
      <vt:variant>
        <vt:i4>0</vt:i4>
      </vt:variant>
      <vt:variant>
        <vt:i4>5</vt:i4>
      </vt:variant>
      <vt:variant>
        <vt:lpwstr>http://transfusionontario.org/en/featured/download-tag/Nurses/?orderby=download_count</vt:lpwstr>
      </vt:variant>
      <vt:variant>
        <vt:lpwstr/>
      </vt:variant>
      <vt:variant>
        <vt:i4>1507410</vt:i4>
      </vt:variant>
      <vt:variant>
        <vt:i4>39</vt:i4>
      </vt:variant>
      <vt:variant>
        <vt:i4>0</vt:i4>
      </vt:variant>
      <vt:variant>
        <vt:i4>5</vt:i4>
      </vt:variant>
      <vt:variant>
        <vt:lpwstr>http://transfusionontario.org/en/documents/?cat=utilization-management-guidelines</vt:lpwstr>
      </vt:variant>
      <vt:variant>
        <vt:lpwstr/>
      </vt:variant>
      <vt:variant>
        <vt:i4>262168</vt:i4>
      </vt:variant>
      <vt:variant>
        <vt:i4>36</vt:i4>
      </vt:variant>
      <vt:variant>
        <vt:i4>0</vt:i4>
      </vt:variant>
      <vt:variant>
        <vt:i4>5</vt:i4>
      </vt:variant>
      <vt:variant>
        <vt:lpwstr>http://transfusionontario.org/en/documents/?cat=inventory-management</vt:lpwstr>
      </vt:variant>
      <vt:variant>
        <vt:lpwstr/>
      </vt:variant>
      <vt:variant>
        <vt:i4>262168</vt:i4>
      </vt:variant>
      <vt:variant>
        <vt:i4>33</vt:i4>
      </vt:variant>
      <vt:variant>
        <vt:i4>0</vt:i4>
      </vt:variant>
      <vt:variant>
        <vt:i4>5</vt:i4>
      </vt:variant>
      <vt:variant>
        <vt:lpwstr>http://transfusionontario.org/en/documents/?cat=inventory-management</vt:lpwstr>
      </vt:variant>
      <vt:variant>
        <vt:lpwstr/>
      </vt:variant>
      <vt:variant>
        <vt:i4>6357015</vt:i4>
      </vt:variant>
      <vt:variant>
        <vt:i4>30</vt:i4>
      </vt:variant>
      <vt:variant>
        <vt:i4>0</vt:i4>
      </vt:variant>
      <vt:variant>
        <vt:i4>5</vt:i4>
      </vt:variant>
      <vt:variant>
        <vt:lpwstr>http://transfusionontario.org/en/documents/?cat=bedside_audit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http://transfusionontario.org/en/documents/?cat=bloody-bloody</vt:lpwstr>
      </vt:variant>
      <vt:variant>
        <vt:lpwstr/>
      </vt:variant>
      <vt:variant>
        <vt:i4>4391007</vt:i4>
      </vt:variant>
      <vt:variant>
        <vt:i4>24</vt:i4>
      </vt:variant>
      <vt:variant>
        <vt:i4>0</vt:i4>
      </vt:variant>
      <vt:variant>
        <vt:i4>5</vt:i4>
      </vt:variant>
      <vt:variant>
        <vt:lpwstr>http://transfusionontario.org/en/documents/?cat=bloody-bloody</vt:lpwstr>
      </vt:variant>
      <vt:variant>
        <vt:lpwstr/>
      </vt:variant>
      <vt:variant>
        <vt:i4>262168</vt:i4>
      </vt:variant>
      <vt:variant>
        <vt:i4>21</vt:i4>
      </vt:variant>
      <vt:variant>
        <vt:i4>0</vt:i4>
      </vt:variant>
      <vt:variant>
        <vt:i4>5</vt:i4>
      </vt:variant>
      <vt:variant>
        <vt:lpwstr>http://transfusionontario.org/en/documents/?cat=inventory-management</vt:lpwstr>
      </vt:variant>
      <vt:variant>
        <vt:lpwstr/>
      </vt:variant>
      <vt:variant>
        <vt:i4>7012362</vt:i4>
      </vt:variant>
      <vt:variant>
        <vt:i4>18</vt:i4>
      </vt:variant>
      <vt:variant>
        <vt:i4>0</vt:i4>
      </vt:variant>
      <vt:variant>
        <vt:i4>5</vt:i4>
      </vt:variant>
      <vt:variant>
        <vt:lpwstr>https://professionaleducation.blood.ca/en/transfusion/best-practices/visual-assessment-guide?_ga=2.215148948.2069738952.1523641771-1453064797.1523641771</vt:lpwstr>
      </vt:variant>
      <vt:variant>
        <vt:lpwstr/>
      </vt:variant>
      <vt:variant>
        <vt:i4>3145780</vt:i4>
      </vt:variant>
      <vt:variant>
        <vt:i4>15</vt:i4>
      </vt:variant>
      <vt:variant>
        <vt:i4>0</vt:i4>
      </vt:variant>
      <vt:variant>
        <vt:i4>5</vt:i4>
      </vt:variant>
      <vt:variant>
        <vt:lpwstr>https://blood.ca/en/hospitals/circular-information</vt:lpwstr>
      </vt:variant>
      <vt:variant>
        <vt:lpwstr/>
      </vt:variant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https://iqmh.org/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https://www.canada.ca/en/health-canada/services/drugs-health-products/biologics-radiopharmaceuticals-genetic-therapies/applications-submissions/guidance-documents/blood-regulations/guidance-document-blood-regulations-1.html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https://accreditation.ca/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http://shop.csa.ca/search?q=Z902-15&amp;categories=shop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http://www.transfusion.ca/Resources/Standards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Leanne</dc:creator>
  <cp:keywords/>
  <cp:lastModifiedBy>Nesrallah, Heather</cp:lastModifiedBy>
  <cp:revision>2</cp:revision>
  <dcterms:created xsi:type="dcterms:W3CDTF">2019-05-31T00:54:00Z</dcterms:created>
  <dcterms:modified xsi:type="dcterms:W3CDTF">2019-05-31T00:54:00Z</dcterms:modified>
</cp:coreProperties>
</file>