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CBD" w:rsidRDefault="00F92CBD" w:rsidP="00127D8E">
      <w:pPr>
        <w:pStyle w:val="Heading1"/>
      </w:pPr>
      <w:bookmarkStart w:id="0" w:name="_GoBack"/>
      <w:bookmarkEnd w:id="0"/>
      <w:r w:rsidRPr="00F92CBD">
        <w:t>Principle</w:t>
      </w:r>
    </w:p>
    <w:p w:rsidR="00F92CBD" w:rsidRDefault="00F92CBD" w:rsidP="00F92CBD">
      <w:pPr>
        <w:ind w:left="720"/>
        <w:rPr>
          <w:rFonts w:ascii="Arial" w:hAnsi="Arial" w:cs="Arial"/>
        </w:rPr>
      </w:pPr>
      <w:r w:rsidRPr="00F92CBD">
        <w:rPr>
          <w:rFonts w:ascii="Arial" w:hAnsi="Arial" w:cs="Arial"/>
        </w:rPr>
        <w:t>To list situations, requests and procedures that require medical input or decision making with a qualified physician who has overall responsibility for the hospital transfusion service.</w:t>
      </w:r>
    </w:p>
    <w:p w:rsidR="00F92CBD" w:rsidRDefault="00F92CBD" w:rsidP="00F92CBD">
      <w:pPr>
        <w:ind w:left="720"/>
        <w:rPr>
          <w:rFonts w:ascii="Arial" w:hAnsi="Arial" w:cs="Arial"/>
        </w:rPr>
      </w:pPr>
    </w:p>
    <w:p w:rsidR="00F92CBD" w:rsidRPr="00F92CBD" w:rsidRDefault="00F92CBD" w:rsidP="00F92CBD">
      <w:pPr>
        <w:ind w:left="720"/>
        <w:rPr>
          <w:rFonts w:ascii="Arial" w:hAnsi="Arial" w:cs="Arial"/>
        </w:rPr>
      </w:pPr>
      <w:r w:rsidRPr="00F92CBD">
        <w:rPr>
          <w:rFonts w:ascii="Arial" w:hAnsi="Arial"/>
        </w:rPr>
        <w:t>Recognition of the areas requiring medical intervention should be an integral part of a transfusion medicine consulting and education system.</w:t>
      </w:r>
    </w:p>
    <w:p w:rsidR="00F92CBD" w:rsidRPr="00F92CBD" w:rsidRDefault="00F92CBD" w:rsidP="00F92CBD">
      <w:pPr>
        <w:rPr>
          <w:rFonts w:ascii="Arial" w:hAnsi="Arial"/>
        </w:rPr>
      </w:pPr>
    </w:p>
    <w:p w:rsidR="00F92CBD" w:rsidRDefault="00F92CBD" w:rsidP="00127D8E">
      <w:pPr>
        <w:pStyle w:val="Heading1"/>
      </w:pPr>
      <w:r w:rsidRPr="00F92CBD">
        <w:t>Scope and Related Policies</w:t>
      </w:r>
    </w:p>
    <w:p w:rsidR="00F92CBD" w:rsidRPr="00F92CBD" w:rsidRDefault="00F92CBD" w:rsidP="00F92CBD">
      <w:pPr>
        <w:pStyle w:val="Heading2"/>
        <w:tabs>
          <w:tab w:val="clear" w:pos="792"/>
          <w:tab w:val="num" w:pos="1440"/>
        </w:tabs>
        <w:ind w:left="1440" w:hanging="720"/>
        <w:rPr>
          <w:rFonts w:ascii="Arial" w:hAnsi="Arial" w:cs="Arial"/>
        </w:rPr>
      </w:pPr>
      <w:r w:rsidRPr="00F92CBD">
        <w:rPr>
          <w:rFonts w:ascii="Arial" w:hAnsi="Arial" w:cs="Arial"/>
        </w:rPr>
        <w:t>All TML policies and procedures shall be established under the jurisdiction of a licensed physician trained and experienced in the practice of transfusion medicine.</w:t>
      </w:r>
      <w:r w:rsidRPr="00F92CBD">
        <w:rPr>
          <w:rFonts w:ascii="Arial" w:hAnsi="Arial" w:cs="Arial"/>
          <w:vertAlign w:val="superscript"/>
        </w:rPr>
        <w:t>9.1</w:t>
      </w:r>
    </w:p>
    <w:p w:rsidR="00F92CBD" w:rsidRPr="00F92CBD" w:rsidRDefault="00F92CBD" w:rsidP="00F92CBD">
      <w:pPr>
        <w:pStyle w:val="Heading2"/>
        <w:tabs>
          <w:tab w:val="clear" w:pos="792"/>
          <w:tab w:val="num" w:pos="1440"/>
        </w:tabs>
        <w:ind w:left="1440" w:hanging="720"/>
        <w:rPr>
          <w:rFonts w:ascii="Arial" w:hAnsi="Arial" w:cs="Arial"/>
        </w:rPr>
      </w:pPr>
      <w:r w:rsidRPr="00F92CBD">
        <w:rPr>
          <w:rFonts w:ascii="Arial" w:hAnsi="Arial" w:cs="Arial"/>
        </w:rPr>
        <w:t>The Medical Director or designate shall oversee the development of and approve any policies or procedures, either technical or clinical, which relate to the care and safety of the transfusion recipient.</w:t>
      </w:r>
      <w:r w:rsidRPr="00F92CBD">
        <w:rPr>
          <w:rFonts w:ascii="Arial" w:hAnsi="Arial" w:cs="Arial"/>
          <w:vertAlign w:val="superscript"/>
        </w:rPr>
        <w:t>9.1</w:t>
      </w:r>
    </w:p>
    <w:p w:rsidR="00F92CBD" w:rsidRPr="00F92CBD" w:rsidRDefault="00F92CBD" w:rsidP="00F92CBD">
      <w:pPr>
        <w:pStyle w:val="Heading2"/>
        <w:tabs>
          <w:tab w:val="clear" w:pos="792"/>
          <w:tab w:val="num" w:pos="1440"/>
        </w:tabs>
        <w:ind w:left="1440" w:hanging="720"/>
        <w:rPr>
          <w:rFonts w:ascii="Arial" w:hAnsi="Arial" w:cs="Arial"/>
        </w:rPr>
      </w:pPr>
      <w:r w:rsidRPr="00F92CBD">
        <w:rPr>
          <w:rFonts w:ascii="Arial" w:hAnsi="Arial" w:cs="Arial"/>
        </w:rPr>
        <w:t xml:space="preserve">The scope of procedures or services offered in the facility dictate the areas requiring consultation with the </w:t>
      </w:r>
      <w:r>
        <w:rPr>
          <w:rFonts w:ascii="Arial" w:hAnsi="Arial" w:cs="Arial"/>
        </w:rPr>
        <w:t xml:space="preserve">Medical Director or designate. </w:t>
      </w:r>
      <w:r w:rsidRPr="00F92CBD">
        <w:rPr>
          <w:rFonts w:ascii="Arial" w:hAnsi="Arial" w:cs="Arial"/>
        </w:rPr>
        <w:t xml:space="preserve">This protocol serves only as a guideline and a tool for consistency, not as an attempt to establish a standard. Additional circumstances may be appended. </w:t>
      </w:r>
    </w:p>
    <w:p w:rsidR="00F92CBD" w:rsidRPr="00F92CBD" w:rsidRDefault="00F92CBD" w:rsidP="00F92CBD">
      <w:pPr>
        <w:pStyle w:val="Heading2"/>
        <w:tabs>
          <w:tab w:val="clear" w:pos="792"/>
          <w:tab w:val="num" w:pos="1440"/>
        </w:tabs>
        <w:ind w:left="1440" w:hanging="720"/>
        <w:rPr>
          <w:rFonts w:ascii="Arial" w:hAnsi="Arial" w:cs="Arial"/>
        </w:rPr>
      </w:pPr>
      <w:r w:rsidRPr="00F92CBD">
        <w:rPr>
          <w:rFonts w:ascii="Arial" w:hAnsi="Arial" w:cs="Arial"/>
        </w:rPr>
        <w:t>Various circumstances in the practice of transfusion medicine require clinical and laboratory collaboration for decision-making. In these cases, a laboratory physician would provide guidance and should be notified and/or consulted.</w:t>
      </w:r>
    </w:p>
    <w:p w:rsidR="00F92CBD" w:rsidRPr="00F92CBD" w:rsidRDefault="00F92CBD" w:rsidP="00F92CBD">
      <w:pPr>
        <w:pStyle w:val="Heading2"/>
        <w:tabs>
          <w:tab w:val="clear" w:pos="792"/>
          <w:tab w:val="num" w:pos="1440"/>
        </w:tabs>
        <w:ind w:left="1440" w:hanging="720"/>
        <w:rPr>
          <w:rFonts w:ascii="Arial" w:hAnsi="Arial" w:cs="Arial"/>
        </w:rPr>
      </w:pPr>
      <w:r w:rsidRPr="00F92CBD">
        <w:rPr>
          <w:rFonts w:ascii="Arial" w:hAnsi="Arial" w:cs="Arial"/>
        </w:rPr>
        <w:t xml:space="preserve">If the Medical Director or designate cannot be contacted and transfusion is required urgently, products should be prepared and released as requested. The Medical Director or designate should </w:t>
      </w:r>
      <w:r w:rsidRPr="00F92CBD">
        <w:rPr>
          <w:rFonts w:ascii="Arial" w:hAnsi="Arial" w:cs="Arial"/>
        </w:rPr>
        <w:lastRenderedPageBreak/>
        <w:t>be consulted as soon as possible. If compatible blood cannot be found, the patient’s physician should be contacted immediately.</w:t>
      </w:r>
    </w:p>
    <w:p w:rsidR="00F92CBD" w:rsidRPr="00F92CBD" w:rsidRDefault="00F92CBD" w:rsidP="00F92CBD">
      <w:pPr>
        <w:pStyle w:val="Heading2"/>
        <w:tabs>
          <w:tab w:val="clear" w:pos="792"/>
          <w:tab w:val="num" w:pos="1440"/>
        </w:tabs>
        <w:ind w:left="1440" w:hanging="720"/>
        <w:rPr>
          <w:rFonts w:ascii="Arial" w:hAnsi="Arial" w:cs="Arial"/>
        </w:rPr>
      </w:pPr>
      <w:r w:rsidRPr="00F92CBD">
        <w:rPr>
          <w:rFonts w:ascii="Arial" w:hAnsi="Arial" w:cs="Arial"/>
        </w:rPr>
        <w:t>All errors and incidents should be reviewed by the responsible Medical Director or designate for the transfusion service in the facility. Error management should be included in quality assurance reporting of the laboratory.</w:t>
      </w:r>
      <w:r w:rsidR="00E86432">
        <w:rPr>
          <w:rFonts w:ascii="Arial" w:hAnsi="Arial" w:cs="Arial"/>
          <w:vertAlign w:val="superscript"/>
        </w:rPr>
        <w:t>9.2</w:t>
      </w:r>
    </w:p>
    <w:p w:rsidR="00F92CBD" w:rsidRPr="00F92CBD" w:rsidRDefault="00F92CBD" w:rsidP="00F92CBD">
      <w:pPr>
        <w:pStyle w:val="Heading3"/>
        <w:tabs>
          <w:tab w:val="clear" w:pos="1224"/>
        </w:tabs>
        <w:ind w:left="2160" w:hanging="684"/>
        <w:rPr>
          <w:rFonts w:ascii="Arial" w:hAnsi="Arial" w:cs="Arial"/>
        </w:rPr>
      </w:pPr>
      <w:r w:rsidRPr="00F92CBD">
        <w:rPr>
          <w:rFonts w:ascii="Arial" w:hAnsi="Arial" w:cs="Arial"/>
        </w:rPr>
        <w:t>A system should be in place to review processes where an incident is reported to ensure that root causes of errors are identified and, where applicable, that procedures and processes are revised to prevent recurrence.</w:t>
      </w:r>
      <w:r w:rsidR="00E86432">
        <w:rPr>
          <w:rFonts w:ascii="Arial" w:hAnsi="Arial" w:cs="Arial"/>
          <w:vertAlign w:val="superscript"/>
        </w:rPr>
        <w:t>9.2</w:t>
      </w:r>
    </w:p>
    <w:p w:rsidR="00F92CBD" w:rsidRPr="00F92CBD" w:rsidRDefault="00F92CBD" w:rsidP="00F92CBD">
      <w:pPr>
        <w:pStyle w:val="Heading2"/>
        <w:tabs>
          <w:tab w:val="clear" w:pos="792"/>
          <w:tab w:val="num" w:pos="1440"/>
        </w:tabs>
        <w:ind w:left="1440" w:hanging="720"/>
        <w:rPr>
          <w:rFonts w:ascii="Arial" w:hAnsi="Arial" w:cs="Arial"/>
        </w:rPr>
      </w:pPr>
      <w:r w:rsidRPr="00F92CBD">
        <w:rPr>
          <w:rFonts w:ascii="Arial" w:hAnsi="Arial" w:cs="Arial"/>
        </w:rPr>
        <w:t>Where there is no access to a laboratory physician on site, the patient’s physician should be notified promptly when medical intervention may be required.</w:t>
      </w:r>
    </w:p>
    <w:p w:rsidR="00127D8E" w:rsidRDefault="00F92CBD" w:rsidP="00F92CBD">
      <w:pPr>
        <w:pStyle w:val="Heading3"/>
        <w:tabs>
          <w:tab w:val="clear" w:pos="1224"/>
          <w:tab w:val="num" w:pos="2160"/>
        </w:tabs>
        <w:ind w:left="2160" w:hanging="720"/>
        <w:rPr>
          <w:rFonts w:ascii="Arial" w:hAnsi="Arial" w:cs="Arial"/>
        </w:rPr>
      </w:pPr>
      <w:r w:rsidRPr="00F92CBD">
        <w:rPr>
          <w:rFonts w:ascii="Arial" w:hAnsi="Arial" w:cs="Arial"/>
        </w:rPr>
        <w:t xml:space="preserve">In a medical emergency where the patient </w:t>
      </w:r>
      <w:r w:rsidR="00E86432">
        <w:rPr>
          <w:rFonts w:ascii="Arial" w:hAnsi="Arial" w:cs="Arial"/>
        </w:rPr>
        <w:t>may be</w:t>
      </w:r>
      <w:r w:rsidRPr="00F92CBD">
        <w:rPr>
          <w:rFonts w:ascii="Arial" w:hAnsi="Arial" w:cs="Arial"/>
        </w:rPr>
        <w:t xml:space="preserve"> at risk of an immediate hemolytic transfusion reaction or in other danger from the transfusion, the medical technologist may resort to direct contact with the patient care area.  This contact will be made to notify them to stop the transfusion.</w:t>
      </w:r>
    </w:p>
    <w:p w:rsidR="00127D8E" w:rsidRDefault="00F92CBD" w:rsidP="00127D8E">
      <w:pPr>
        <w:pStyle w:val="Heading1"/>
      </w:pPr>
      <w:r w:rsidRPr="00127D8E">
        <w:t>Specimens – N/A</w:t>
      </w:r>
    </w:p>
    <w:p w:rsidR="00127D8E" w:rsidRDefault="00F92CBD" w:rsidP="00127D8E">
      <w:pPr>
        <w:pStyle w:val="Heading1"/>
      </w:pPr>
      <w:r w:rsidRPr="00127D8E">
        <w:t>Materials – N/A</w:t>
      </w:r>
    </w:p>
    <w:p w:rsidR="00127D8E" w:rsidRDefault="00F92CBD" w:rsidP="00127D8E">
      <w:pPr>
        <w:pStyle w:val="Heading1"/>
      </w:pPr>
      <w:r w:rsidRPr="00127D8E">
        <w:t>Quality Control – N/A</w:t>
      </w:r>
    </w:p>
    <w:p w:rsidR="00F92CBD" w:rsidRDefault="00F92CBD" w:rsidP="00127D8E">
      <w:pPr>
        <w:pStyle w:val="Heading1"/>
      </w:pPr>
      <w:r w:rsidRPr="00127D8E">
        <w:t>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27D8E" w:rsidTr="00660C78">
        <w:tc>
          <w:tcPr>
            <w:tcW w:w="8856" w:type="dxa"/>
            <w:shd w:val="clear" w:color="auto" w:fill="auto"/>
          </w:tcPr>
          <w:p w:rsidR="00127D8E" w:rsidRPr="00660C78" w:rsidRDefault="00127D8E" w:rsidP="00660C78">
            <w:pPr>
              <w:pStyle w:val="Heading2"/>
              <w:rPr>
                <w:rFonts w:ascii="Arial" w:hAnsi="Arial" w:cs="Arial"/>
              </w:rPr>
            </w:pPr>
            <w:r w:rsidRPr="00660C78">
              <w:rPr>
                <w:rFonts w:ascii="Arial" w:hAnsi="Arial" w:cs="Arial"/>
              </w:rPr>
              <w:t>The Medical Director or designate should be contacted immediately in the following circumstances:</w:t>
            </w:r>
          </w:p>
          <w:p w:rsidR="00127D8E" w:rsidRPr="00660C78" w:rsidRDefault="00127D8E" w:rsidP="00660C78">
            <w:pPr>
              <w:numPr>
                <w:ilvl w:val="0"/>
                <w:numId w:val="21"/>
              </w:numPr>
              <w:rPr>
                <w:rFonts w:ascii="Arial" w:hAnsi="Arial"/>
              </w:rPr>
            </w:pPr>
            <w:r w:rsidRPr="00660C78">
              <w:rPr>
                <w:rFonts w:ascii="Arial" w:hAnsi="Arial"/>
              </w:rPr>
              <w:t>Incompatible blood transfused inadvertently</w:t>
            </w:r>
          </w:p>
          <w:p w:rsidR="00127D8E" w:rsidRPr="00660C78" w:rsidRDefault="00127D8E" w:rsidP="00127D8E">
            <w:pPr>
              <w:rPr>
                <w:rFonts w:ascii="Arial" w:hAnsi="Arial"/>
              </w:rPr>
            </w:pPr>
          </w:p>
          <w:p w:rsidR="00127D8E" w:rsidRPr="00660C78" w:rsidRDefault="00127D8E" w:rsidP="00660C78">
            <w:pPr>
              <w:numPr>
                <w:ilvl w:val="0"/>
                <w:numId w:val="21"/>
              </w:numPr>
              <w:rPr>
                <w:rFonts w:ascii="Arial" w:hAnsi="Arial"/>
              </w:rPr>
            </w:pPr>
            <w:r w:rsidRPr="00660C78">
              <w:rPr>
                <w:rFonts w:ascii="Arial" w:hAnsi="Arial"/>
              </w:rPr>
              <w:t>Incorrect product transfused to a patient</w:t>
            </w:r>
          </w:p>
          <w:p w:rsidR="00127D8E" w:rsidRPr="00660C78" w:rsidRDefault="00127D8E" w:rsidP="00127D8E">
            <w:pPr>
              <w:rPr>
                <w:rFonts w:ascii="Arial" w:hAnsi="Arial"/>
              </w:rPr>
            </w:pPr>
          </w:p>
          <w:p w:rsidR="00127D8E" w:rsidRPr="00660C78" w:rsidRDefault="00127D8E" w:rsidP="00660C78">
            <w:pPr>
              <w:numPr>
                <w:ilvl w:val="0"/>
                <w:numId w:val="21"/>
              </w:numPr>
              <w:rPr>
                <w:rFonts w:ascii="Arial" w:hAnsi="Arial"/>
              </w:rPr>
            </w:pPr>
            <w:r w:rsidRPr="00660C78">
              <w:rPr>
                <w:rFonts w:ascii="Arial" w:hAnsi="Arial"/>
              </w:rPr>
              <w:t>STAT crossmatch where no compatible donor units are found</w:t>
            </w:r>
          </w:p>
          <w:p w:rsidR="00127D8E" w:rsidRPr="00660C78" w:rsidRDefault="00127D8E" w:rsidP="00127D8E">
            <w:pPr>
              <w:rPr>
                <w:rFonts w:ascii="Arial" w:hAnsi="Arial"/>
              </w:rPr>
            </w:pPr>
          </w:p>
          <w:p w:rsidR="00127D8E" w:rsidRPr="00660C78" w:rsidRDefault="00127D8E" w:rsidP="00660C78">
            <w:pPr>
              <w:numPr>
                <w:ilvl w:val="0"/>
                <w:numId w:val="21"/>
              </w:numPr>
              <w:rPr>
                <w:rFonts w:ascii="Arial" w:hAnsi="Arial"/>
              </w:rPr>
            </w:pPr>
            <w:r w:rsidRPr="00660C78">
              <w:rPr>
                <w:rFonts w:ascii="Arial" w:hAnsi="Arial"/>
              </w:rPr>
              <w:t>Transfusion reaction due to clerical error</w:t>
            </w:r>
          </w:p>
          <w:p w:rsidR="00127D8E" w:rsidRPr="00660C78" w:rsidRDefault="00127D8E" w:rsidP="00127D8E">
            <w:pPr>
              <w:rPr>
                <w:rFonts w:ascii="Arial" w:hAnsi="Arial"/>
              </w:rPr>
            </w:pPr>
          </w:p>
          <w:p w:rsidR="00127D8E" w:rsidRPr="00660C78" w:rsidRDefault="00127D8E" w:rsidP="00660C78">
            <w:pPr>
              <w:numPr>
                <w:ilvl w:val="0"/>
                <w:numId w:val="21"/>
              </w:numPr>
              <w:rPr>
                <w:rFonts w:ascii="Arial" w:hAnsi="Arial"/>
              </w:rPr>
            </w:pPr>
            <w:r w:rsidRPr="00660C78">
              <w:rPr>
                <w:rFonts w:ascii="Arial" w:hAnsi="Arial"/>
              </w:rPr>
              <w:t>Transfusion reaction investigation where the direct antiglobulin test (DAT) is negative pre-transfusion and positive post-transfusion and transfusion is required</w:t>
            </w:r>
          </w:p>
          <w:p w:rsidR="00127D8E" w:rsidRPr="00660C78" w:rsidRDefault="00127D8E" w:rsidP="00127D8E">
            <w:pPr>
              <w:rPr>
                <w:rFonts w:ascii="Arial" w:hAnsi="Arial"/>
              </w:rPr>
            </w:pPr>
          </w:p>
          <w:p w:rsidR="00127D8E" w:rsidRDefault="00127D8E" w:rsidP="00660C78">
            <w:pPr>
              <w:numPr>
                <w:ilvl w:val="0"/>
                <w:numId w:val="21"/>
              </w:numPr>
              <w:rPr>
                <w:rFonts w:ascii="Arial" w:hAnsi="Arial"/>
              </w:rPr>
            </w:pPr>
            <w:r w:rsidRPr="00660C78">
              <w:rPr>
                <w:rFonts w:ascii="Arial" w:hAnsi="Arial"/>
              </w:rPr>
              <w:t>Anaphylactic transfusion reaction</w:t>
            </w:r>
          </w:p>
          <w:p w:rsidR="00D83BE6" w:rsidRDefault="00D83BE6" w:rsidP="00660C78">
            <w:pPr>
              <w:numPr>
                <w:ilvl w:val="0"/>
                <w:numId w:val="21"/>
              </w:numPr>
              <w:rPr>
                <w:rFonts w:ascii="Arial" w:hAnsi="Arial"/>
              </w:rPr>
            </w:pPr>
            <w:r>
              <w:rPr>
                <w:rFonts w:ascii="Arial" w:hAnsi="Arial"/>
              </w:rPr>
              <w:lastRenderedPageBreak/>
              <w:t>Suspected transfusion reaction due to bacterial contamination of blood component</w:t>
            </w:r>
          </w:p>
          <w:p w:rsidR="00575B81" w:rsidRDefault="00575B81" w:rsidP="00065426">
            <w:pPr>
              <w:pStyle w:val="ListParagraph"/>
              <w:rPr>
                <w:rFonts w:ascii="Arial" w:hAnsi="Arial"/>
              </w:rPr>
            </w:pPr>
          </w:p>
          <w:p w:rsidR="00575B81" w:rsidRPr="00660C78" w:rsidRDefault="00575B81" w:rsidP="00660C78">
            <w:pPr>
              <w:numPr>
                <w:ilvl w:val="0"/>
                <w:numId w:val="21"/>
              </w:numPr>
              <w:rPr>
                <w:rFonts w:ascii="Arial" w:hAnsi="Arial"/>
              </w:rPr>
            </w:pPr>
            <w:r>
              <w:rPr>
                <w:rFonts w:ascii="Arial" w:hAnsi="Arial"/>
              </w:rPr>
              <w:t>Delayed transfusion reaction</w:t>
            </w:r>
          </w:p>
          <w:p w:rsidR="00127D8E" w:rsidRPr="00660C78" w:rsidRDefault="00127D8E" w:rsidP="00127D8E">
            <w:pPr>
              <w:rPr>
                <w:rFonts w:ascii="Arial" w:hAnsi="Arial"/>
              </w:rPr>
            </w:pPr>
          </w:p>
          <w:p w:rsidR="00127D8E" w:rsidRPr="00660C78" w:rsidRDefault="00127D8E" w:rsidP="00660C78">
            <w:pPr>
              <w:numPr>
                <w:ilvl w:val="0"/>
                <w:numId w:val="21"/>
              </w:numPr>
              <w:rPr>
                <w:rFonts w:ascii="Arial" w:hAnsi="Arial"/>
              </w:rPr>
            </w:pPr>
            <w:r w:rsidRPr="00660C78">
              <w:rPr>
                <w:rFonts w:ascii="Arial" w:hAnsi="Arial"/>
              </w:rPr>
              <w:t>Transfusion reaction investigation where the post-transfusion specimen is hemolyzed and the hemolysis is not due to a difficult collection</w:t>
            </w:r>
          </w:p>
          <w:p w:rsidR="00127D8E" w:rsidRPr="00660C78" w:rsidRDefault="00127D8E" w:rsidP="00127D8E">
            <w:pPr>
              <w:rPr>
                <w:rFonts w:ascii="Arial" w:hAnsi="Arial"/>
              </w:rPr>
            </w:pPr>
          </w:p>
          <w:p w:rsidR="00127D8E" w:rsidRPr="00660C78" w:rsidRDefault="00127D8E" w:rsidP="00660C78">
            <w:pPr>
              <w:numPr>
                <w:ilvl w:val="0"/>
                <w:numId w:val="21"/>
              </w:numPr>
              <w:rPr>
                <w:rFonts w:ascii="Arial" w:hAnsi="Arial"/>
              </w:rPr>
            </w:pPr>
            <w:r w:rsidRPr="00660C78">
              <w:rPr>
                <w:rFonts w:ascii="Arial" w:hAnsi="Arial"/>
              </w:rPr>
              <w:t xml:space="preserve">Requests for additional blood products before a </w:t>
            </w:r>
            <w:r w:rsidRPr="00065426">
              <w:rPr>
                <w:rFonts w:ascii="Arial" w:hAnsi="Arial"/>
                <w:u w:val="single"/>
              </w:rPr>
              <w:t>transfusion reaction</w:t>
            </w:r>
            <w:r w:rsidRPr="00660C78">
              <w:rPr>
                <w:rFonts w:ascii="Arial" w:hAnsi="Arial"/>
              </w:rPr>
              <w:t xml:space="preserve"> investigation is complete</w:t>
            </w:r>
          </w:p>
          <w:p w:rsidR="00127D8E" w:rsidRPr="00660C78" w:rsidRDefault="00127D8E" w:rsidP="00127D8E">
            <w:pPr>
              <w:rPr>
                <w:rFonts w:ascii="Arial" w:hAnsi="Arial"/>
              </w:rPr>
            </w:pPr>
          </w:p>
          <w:p w:rsidR="00127D8E" w:rsidRPr="00660C78" w:rsidRDefault="00127D8E" w:rsidP="00660C78">
            <w:pPr>
              <w:numPr>
                <w:ilvl w:val="0"/>
                <w:numId w:val="21"/>
              </w:numPr>
              <w:rPr>
                <w:rFonts w:ascii="Arial" w:hAnsi="Arial"/>
              </w:rPr>
            </w:pPr>
            <w:r w:rsidRPr="00660C78">
              <w:rPr>
                <w:rFonts w:ascii="Arial" w:hAnsi="Arial"/>
              </w:rPr>
              <w:t xml:space="preserve">Requests for additional blood products for transfusion before an </w:t>
            </w:r>
            <w:r w:rsidRPr="00065426">
              <w:rPr>
                <w:rFonts w:ascii="Arial" w:hAnsi="Arial"/>
                <w:u w:val="single"/>
              </w:rPr>
              <w:t>antibody investigation</w:t>
            </w:r>
            <w:r w:rsidRPr="00660C78">
              <w:rPr>
                <w:rFonts w:ascii="Arial" w:hAnsi="Arial"/>
              </w:rPr>
              <w:t xml:space="preserve"> is complete</w:t>
            </w:r>
          </w:p>
          <w:p w:rsidR="00127D8E" w:rsidRPr="00660C78" w:rsidRDefault="00127D8E" w:rsidP="00127D8E">
            <w:pPr>
              <w:rPr>
                <w:rFonts w:ascii="Arial" w:hAnsi="Arial"/>
              </w:rPr>
            </w:pPr>
          </w:p>
          <w:p w:rsidR="00127D8E" w:rsidRPr="00660C78" w:rsidRDefault="00127D8E" w:rsidP="00660C78">
            <w:pPr>
              <w:numPr>
                <w:ilvl w:val="0"/>
                <w:numId w:val="21"/>
              </w:numPr>
              <w:rPr>
                <w:rFonts w:ascii="Arial" w:hAnsi="Arial"/>
              </w:rPr>
            </w:pPr>
            <w:r w:rsidRPr="00660C78">
              <w:rPr>
                <w:rFonts w:ascii="Arial" w:hAnsi="Arial"/>
              </w:rPr>
              <w:t>Non-routine requests for exchange transfusion</w:t>
            </w:r>
          </w:p>
          <w:p w:rsidR="00127D8E" w:rsidRPr="00660C78" w:rsidRDefault="00127D8E" w:rsidP="00127D8E">
            <w:pPr>
              <w:rPr>
                <w:rFonts w:ascii="Arial" w:hAnsi="Arial"/>
              </w:rPr>
            </w:pPr>
          </w:p>
          <w:p w:rsidR="00127D8E" w:rsidRPr="00660C78" w:rsidRDefault="00127D8E" w:rsidP="00660C78">
            <w:pPr>
              <w:numPr>
                <w:ilvl w:val="0"/>
                <w:numId w:val="21"/>
              </w:numPr>
              <w:rPr>
                <w:rFonts w:ascii="Arial" w:hAnsi="Arial"/>
              </w:rPr>
            </w:pPr>
            <w:r w:rsidRPr="00660C78">
              <w:rPr>
                <w:rFonts w:ascii="Arial" w:hAnsi="Arial"/>
              </w:rPr>
              <w:t>Critical blood shortages where there is a significant probability that transfusions or surgical procedures will require delay or cancellation</w:t>
            </w:r>
          </w:p>
          <w:p w:rsidR="00127D8E" w:rsidRPr="00660C78" w:rsidRDefault="00127D8E" w:rsidP="00127D8E">
            <w:pPr>
              <w:rPr>
                <w:rFonts w:ascii="Arial" w:hAnsi="Arial"/>
              </w:rPr>
            </w:pPr>
          </w:p>
          <w:p w:rsidR="00127D8E" w:rsidRPr="00660C78" w:rsidRDefault="00127D8E" w:rsidP="00660C78">
            <w:pPr>
              <w:numPr>
                <w:ilvl w:val="0"/>
                <w:numId w:val="21"/>
              </w:numPr>
              <w:rPr>
                <w:rFonts w:ascii="Arial" w:hAnsi="Arial"/>
              </w:rPr>
            </w:pPr>
            <w:r w:rsidRPr="00660C78">
              <w:rPr>
                <w:rFonts w:ascii="Arial" w:hAnsi="Arial"/>
              </w:rPr>
              <w:t>Infrequently requested products, unusual dosage for size and/or age of patient</w:t>
            </w:r>
          </w:p>
          <w:p w:rsidR="00127D8E" w:rsidRPr="00660C78" w:rsidRDefault="00127D8E" w:rsidP="00127D8E">
            <w:pPr>
              <w:rPr>
                <w:rFonts w:ascii="Arial" w:hAnsi="Arial"/>
              </w:rPr>
            </w:pPr>
          </w:p>
          <w:p w:rsidR="00127D8E" w:rsidRPr="00660C78" w:rsidRDefault="00127D8E" w:rsidP="00660C78">
            <w:pPr>
              <w:numPr>
                <w:ilvl w:val="0"/>
                <w:numId w:val="21"/>
              </w:numPr>
              <w:rPr>
                <w:rFonts w:ascii="Arial" w:hAnsi="Arial"/>
              </w:rPr>
            </w:pPr>
            <w:r w:rsidRPr="00660C78">
              <w:rPr>
                <w:rFonts w:ascii="Arial" w:hAnsi="Arial"/>
              </w:rPr>
              <w:t>Rh positive platelet products that may be transfused to an Rh negative female of child bearing potential or younger when the situation differs from standard hospital policy</w:t>
            </w:r>
          </w:p>
          <w:p w:rsidR="00127D8E" w:rsidRPr="00660C78" w:rsidRDefault="00127D8E" w:rsidP="00127D8E">
            <w:pPr>
              <w:rPr>
                <w:rFonts w:ascii="Arial" w:hAnsi="Arial"/>
              </w:rPr>
            </w:pPr>
          </w:p>
          <w:p w:rsidR="00127D8E" w:rsidRPr="00660C78" w:rsidRDefault="00127D8E" w:rsidP="00660C78">
            <w:pPr>
              <w:numPr>
                <w:ilvl w:val="0"/>
                <w:numId w:val="21"/>
              </w:numPr>
              <w:rPr>
                <w:rFonts w:ascii="Arial" w:hAnsi="Arial"/>
              </w:rPr>
            </w:pPr>
            <w:r w:rsidRPr="00660C78">
              <w:rPr>
                <w:rFonts w:ascii="Arial" w:hAnsi="Arial"/>
              </w:rPr>
              <w:t>Disaster notification</w:t>
            </w:r>
          </w:p>
        </w:tc>
      </w:tr>
      <w:tr w:rsidR="00127D8E" w:rsidTr="00660C78">
        <w:tc>
          <w:tcPr>
            <w:tcW w:w="8856" w:type="dxa"/>
            <w:shd w:val="clear" w:color="auto" w:fill="auto"/>
          </w:tcPr>
          <w:p w:rsidR="00127D8E" w:rsidRPr="00660C78" w:rsidRDefault="00127D8E" w:rsidP="00660C78">
            <w:pPr>
              <w:ind w:left="810" w:hanging="810"/>
              <w:rPr>
                <w:rFonts w:ascii="Arial" w:hAnsi="Arial"/>
              </w:rPr>
            </w:pPr>
            <w:r w:rsidRPr="00660C78">
              <w:rPr>
                <w:rFonts w:ascii="Arial" w:hAnsi="Arial"/>
              </w:rPr>
              <w:lastRenderedPageBreak/>
              <w:t>6.2       The Medical Director or designate should be contacted as soon as possible in the following circumstances, preferably prior to the issue of blood products:</w:t>
            </w:r>
          </w:p>
          <w:p w:rsidR="00127D8E" w:rsidRPr="00660C78" w:rsidRDefault="00127D8E" w:rsidP="00660C78">
            <w:pPr>
              <w:ind w:left="810" w:hanging="810"/>
              <w:rPr>
                <w:rFonts w:ascii="Arial" w:hAnsi="Arial"/>
              </w:rPr>
            </w:pPr>
          </w:p>
          <w:p w:rsidR="00127D8E" w:rsidRPr="00660C78" w:rsidRDefault="00127D8E" w:rsidP="00660C78">
            <w:pPr>
              <w:numPr>
                <w:ilvl w:val="0"/>
                <w:numId w:val="22"/>
              </w:numPr>
              <w:rPr>
                <w:rFonts w:ascii="Arial" w:hAnsi="Arial"/>
              </w:rPr>
            </w:pPr>
            <w:r w:rsidRPr="00660C78">
              <w:rPr>
                <w:rFonts w:ascii="Arial" w:hAnsi="Arial"/>
              </w:rPr>
              <w:t>Massive transfusion of a patient. See Procedural Notes 8.1</w:t>
            </w:r>
          </w:p>
          <w:p w:rsidR="00127D8E" w:rsidRPr="00660C78" w:rsidRDefault="00127D8E" w:rsidP="00127D8E">
            <w:pPr>
              <w:rPr>
                <w:rFonts w:ascii="Arial" w:hAnsi="Arial"/>
              </w:rPr>
            </w:pPr>
          </w:p>
          <w:p w:rsidR="00127D8E" w:rsidRPr="00660C78" w:rsidRDefault="00127D8E" w:rsidP="00660C78">
            <w:pPr>
              <w:numPr>
                <w:ilvl w:val="0"/>
                <w:numId w:val="22"/>
              </w:numPr>
              <w:rPr>
                <w:rFonts w:ascii="Arial" w:hAnsi="Arial"/>
              </w:rPr>
            </w:pPr>
            <w:r w:rsidRPr="00660C78">
              <w:rPr>
                <w:rFonts w:ascii="Arial" w:hAnsi="Arial"/>
              </w:rPr>
              <w:t>Inappropriate requests for blood products. See references for indications on the use of blood and blood components (e.g. Bloody Easy Resources)</w:t>
            </w:r>
          </w:p>
          <w:p w:rsidR="00127D8E" w:rsidRPr="00660C78" w:rsidRDefault="00127D8E" w:rsidP="00127D8E">
            <w:pPr>
              <w:rPr>
                <w:rFonts w:ascii="Arial" w:hAnsi="Arial"/>
              </w:rPr>
            </w:pPr>
          </w:p>
          <w:p w:rsidR="00127D8E" w:rsidRPr="00660C78" w:rsidRDefault="00127D8E" w:rsidP="00660C78">
            <w:pPr>
              <w:numPr>
                <w:ilvl w:val="0"/>
                <w:numId w:val="22"/>
              </w:numPr>
              <w:rPr>
                <w:rFonts w:ascii="Arial" w:hAnsi="Arial"/>
              </w:rPr>
            </w:pPr>
            <w:r w:rsidRPr="00660C78">
              <w:rPr>
                <w:rFonts w:ascii="Arial" w:hAnsi="Arial"/>
              </w:rPr>
              <w:t>Antibody investigation that may cause delay of surgery</w:t>
            </w:r>
          </w:p>
          <w:p w:rsidR="00127D8E" w:rsidRPr="00660C78" w:rsidRDefault="00127D8E" w:rsidP="00127D8E">
            <w:pPr>
              <w:rPr>
                <w:rFonts w:ascii="Arial" w:hAnsi="Arial"/>
              </w:rPr>
            </w:pPr>
          </w:p>
          <w:p w:rsidR="00127D8E" w:rsidRPr="00660C78" w:rsidRDefault="00127D8E" w:rsidP="00660C78">
            <w:pPr>
              <w:numPr>
                <w:ilvl w:val="0"/>
                <w:numId w:val="22"/>
              </w:numPr>
              <w:rPr>
                <w:rFonts w:ascii="Arial" w:hAnsi="Arial"/>
              </w:rPr>
            </w:pPr>
            <w:r w:rsidRPr="00660C78">
              <w:rPr>
                <w:rFonts w:ascii="Arial" w:hAnsi="Arial"/>
              </w:rPr>
              <w:t>Request for special preparation of a blood product on a patient with no history of special transfusion requirement (e.g. washed blood, blood negative for anti-CMV, irradiated products, HLA matched platelets)</w:t>
            </w:r>
          </w:p>
          <w:p w:rsidR="00127D8E" w:rsidRPr="00660C78" w:rsidRDefault="00127D8E" w:rsidP="00127D8E">
            <w:pPr>
              <w:rPr>
                <w:rFonts w:ascii="Arial" w:hAnsi="Arial"/>
              </w:rPr>
            </w:pPr>
          </w:p>
          <w:p w:rsidR="00127D8E" w:rsidRPr="00660C78" w:rsidRDefault="00127D8E" w:rsidP="00660C78">
            <w:pPr>
              <w:numPr>
                <w:ilvl w:val="0"/>
                <w:numId w:val="22"/>
              </w:numPr>
              <w:rPr>
                <w:rFonts w:ascii="Arial" w:hAnsi="Arial"/>
              </w:rPr>
            </w:pPr>
            <w:r w:rsidRPr="00660C78">
              <w:rPr>
                <w:rFonts w:ascii="Arial" w:hAnsi="Arial"/>
              </w:rPr>
              <w:t>Request for an inappropriate dose of Rh Immune Globulin</w:t>
            </w:r>
          </w:p>
          <w:p w:rsidR="00127D8E" w:rsidRPr="00660C78" w:rsidRDefault="00127D8E" w:rsidP="00127D8E">
            <w:pPr>
              <w:rPr>
                <w:rFonts w:ascii="Arial" w:hAnsi="Arial"/>
              </w:rPr>
            </w:pPr>
          </w:p>
          <w:p w:rsidR="00127D8E" w:rsidRPr="00660C78" w:rsidRDefault="00127D8E" w:rsidP="00660C78">
            <w:pPr>
              <w:numPr>
                <w:ilvl w:val="0"/>
                <w:numId w:val="22"/>
              </w:numPr>
              <w:rPr>
                <w:rFonts w:ascii="Arial" w:hAnsi="Arial"/>
              </w:rPr>
            </w:pPr>
            <w:r w:rsidRPr="00660C78">
              <w:rPr>
                <w:rFonts w:ascii="Arial" w:hAnsi="Arial"/>
              </w:rPr>
              <w:t>First time requests for Immune Globulin and coagulation products not ordered by a clinical hematologist and/or not meeting the blood supplier criteria for indications for use</w:t>
            </w:r>
          </w:p>
          <w:p w:rsidR="00127D8E" w:rsidRPr="00660C78" w:rsidRDefault="00127D8E" w:rsidP="00660C78">
            <w:pPr>
              <w:pStyle w:val="ListParagraph"/>
              <w:rPr>
                <w:rFonts w:ascii="Arial" w:hAnsi="Arial"/>
              </w:rPr>
            </w:pPr>
          </w:p>
          <w:p w:rsidR="00127D8E" w:rsidRPr="00660C78" w:rsidRDefault="00575B81" w:rsidP="00660C78">
            <w:pPr>
              <w:numPr>
                <w:ilvl w:val="0"/>
                <w:numId w:val="22"/>
              </w:numPr>
              <w:rPr>
                <w:rFonts w:ascii="Arial" w:hAnsi="Arial"/>
              </w:rPr>
            </w:pPr>
            <w:r>
              <w:rPr>
                <w:rFonts w:ascii="Arial" w:hAnsi="Arial"/>
              </w:rPr>
              <w:t>R</w:t>
            </w:r>
            <w:r w:rsidR="00127D8E" w:rsidRPr="00660C78">
              <w:rPr>
                <w:rFonts w:ascii="Arial" w:hAnsi="Arial"/>
              </w:rPr>
              <w:t xml:space="preserve">equests for less than or more than a single dose of platelets on an adult patient </w:t>
            </w:r>
          </w:p>
          <w:p w:rsidR="00127D8E" w:rsidRPr="00660C78" w:rsidRDefault="00127D8E" w:rsidP="00660C78">
            <w:pPr>
              <w:pStyle w:val="ListParagraph"/>
              <w:rPr>
                <w:rFonts w:ascii="Arial" w:hAnsi="Arial"/>
              </w:rPr>
            </w:pPr>
          </w:p>
          <w:p w:rsidR="00127D8E" w:rsidRPr="00660C78" w:rsidRDefault="00127D8E" w:rsidP="00660C78">
            <w:pPr>
              <w:numPr>
                <w:ilvl w:val="0"/>
                <w:numId w:val="22"/>
              </w:numPr>
              <w:rPr>
                <w:rFonts w:ascii="Arial" w:hAnsi="Arial"/>
              </w:rPr>
            </w:pPr>
            <w:r w:rsidRPr="00660C78">
              <w:rPr>
                <w:rFonts w:ascii="Arial" w:hAnsi="Arial"/>
              </w:rPr>
              <w:t>Transfusion of platelets on three consecutive days and the order has not been placed by a hematologist</w:t>
            </w:r>
          </w:p>
          <w:p w:rsidR="00127D8E" w:rsidRPr="00660C78" w:rsidRDefault="00127D8E" w:rsidP="00660C78">
            <w:pPr>
              <w:pStyle w:val="ListParagraph"/>
              <w:rPr>
                <w:rFonts w:ascii="Arial" w:hAnsi="Arial"/>
              </w:rPr>
            </w:pPr>
          </w:p>
          <w:p w:rsidR="00127D8E" w:rsidRPr="00660C78" w:rsidRDefault="00127D8E" w:rsidP="00660C78">
            <w:pPr>
              <w:numPr>
                <w:ilvl w:val="0"/>
                <w:numId w:val="22"/>
              </w:numPr>
              <w:rPr>
                <w:rFonts w:ascii="Arial" w:hAnsi="Arial"/>
              </w:rPr>
            </w:pPr>
            <w:r w:rsidRPr="00660C78">
              <w:rPr>
                <w:rFonts w:ascii="Arial" w:hAnsi="Arial"/>
              </w:rPr>
              <w:t xml:space="preserve">When a blood product with special attributes is not available for a specific patient (e.g. CMV seronegative for </w:t>
            </w:r>
            <w:r w:rsidR="00575B81">
              <w:rPr>
                <w:rFonts w:ascii="Arial" w:hAnsi="Arial"/>
              </w:rPr>
              <w:t>low birth weight neonatal patient</w:t>
            </w:r>
            <w:r w:rsidRPr="00660C78">
              <w:rPr>
                <w:rFonts w:ascii="Arial" w:hAnsi="Arial"/>
              </w:rPr>
              <w:t>)</w:t>
            </w:r>
          </w:p>
          <w:p w:rsidR="00127D8E" w:rsidRPr="00660C78" w:rsidRDefault="00127D8E" w:rsidP="00660C78">
            <w:pPr>
              <w:pStyle w:val="ListParagraph"/>
              <w:rPr>
                <w:rFonts w:ascii="Arial" w:hAnsi="Arial"/>
              </w:rPr>
            </w:pPr>
          </w:p>
          <w:p w:rsidR="00127D8E" w:rsidRPr="00660C78" w:rsidRDefault="00127D8E" w:rsidP="00660C78">
            <w:pPr>
              <w:numPr>
                <w:ilvl w:val="0"/>
                <w:numId w:val="22"/>
              </w:numPr>
              <w:rPr>
                <w:rFonts w:ascii="Arial" w:hAnsi="Arial"/>
              </w:rPr>
            </w:pPr>
            <w:r w:rsidRPr="00660C78">
              <w:rPr>
                <w:rFonts w:ascii="Arial" w:hAnsi="Arial"/>
              </w:rPr>
              <w:t>When a product does not meet visual inspection criteria or exceeded temperature storage requirements during shipment and/or contamination of the donor unit is suspected</w:t>
            </w:r>
          </w:p>
          <w:p w:rsidR="00127D8E" w:rsidRPr="00660C78" w:rsidRDefault="00127D8E" w:rsidP="00660C78">
            <w:pPr>
              <w:pStyle w:val="ListParagraph"/>
              <w:rPr>
                <w:rFonts w:ascii="Arial" w:hAnsi="Arial"/>
              </w:rPr>
            </w:pPr>
          </w:p>
          <w:p w:rsidR="00127D8E" w:rsidRPr="00660C78" w:rsidRDefault="00127D8E" w:rsidP="00660C78">
            <w:pPr>
              <w:numPr>
                <w:ilvl w:val="0"/>
                <w:numId w:val="22"/>
              </w:numPr>
              <w:rPr>
                <w:rFonts w:ascii="Arial" w:hAnsi="Arial"/>
              </w:rPr>
            </w:pPr>
            <w:r w:rsidRPr="00660C78">
              <w:rPr>
                <w:rFonts w:ascii="Arial" w:hAnsi="Arial"/>
              </w:rPr>
              <w:t>The use of expired reagents until new reagents can be obtained</w:t>
            </w:r>
          </w:p>
        </w:tc>
      </w:tr>
      <w:tr w:rsidR="00127D8E" w:rsidTr="00660C78">
        <w:tc>
          <w:tcPr>
            <w:tcW w:w="8856" w:type="dxa"/>
            <w:shd w:val="clear" w:color="auto" w:fill="auto"/>
          </w:tcPr>
          <w:p w:rsidR="00127D8E" w:rsidRPr="00660C78" w:rsidRDefault="00127D8E" w:rsidP="00127D8E">
            <w:pPr>
              <w:rPr>
                <w:rFonts w:ascii="Arial" w:hAnsi="Arial"/>
              </w:rPr>
            </w:pPr>
            <w:r w:rsidRPr="00660C78">
              <w:rPr>
                <w:rFonts w:ascii="Arial" w:hAnsi="Arial"/>
              </w:rPr>
              <w:t>6.3</w:t>
            </w:r>
            <w:r w:rsidRPr="00660C78">
              <w:rPr>
                <w:rFonts w:ascii="Arial" w:hAnsi="Arial"/>
              </w:rPr>
              <w:tab/>
              <w:t xml:space="preserve"> The Medical Director or designate should review the following:</w:t>
            </w:r>
          </w:p>
          <w:p w:rsidR="00127D8E" w:rsidRPr="00660C78" w:rsidRDefault="00127D8E" w:rsidP="00127D8E">
            <w:pPr>
              <w:rPr>
                <w:rFonts w:ascii="Arial" w:hAnsi="Arial"/>
              </w:rPr>
            </w:pPr>
          </w:p>
          <w:p w:rsidR="00127D8E" w:rsidRPr="00660C78" w:rsidRDefault="00127D8E" w:rsidP="00660C78">
            <w:pPr>
              <w:numPr>
                <w:ilvl w:val="0"/>
                <w:numId w:val="23"/>
              </w:numPr>
              <w:rPr>
                <w:rFonts w:ascii="Arial" w:hAnsi="Arial"/>
              </w:rPr>
            </w:pPr>
            <w:r w:rsidRPr="00660C78">
              <w:rPr>
                <w:rFonts w:ascii="Arial" w:hAnsi="Arial"/>
              </w:rPr>
              <w:t>All transfusion reactions</w:t>
            </w:r>
          </w:p>
          <w:p w:rsidR="00127D8E" w:rsidRPr="00660C78" w:rsidRDefault="00127D8E" w:rsidP="00127D8E">
            <w:pPr>
              <w:rPr>
                <w:rFonts w:ascii="Arial" w:hAnsi="Arial"/>
              </w:rPr>
            </w:pPr>
          </w:p>
          <w:p w:rsidR="00127D8E" w:rsidRPr="00660C78" w:rsidRDefault="00127D8E" w:rsidP="00660C78">
            <w:pPr>
              <w:numPr>
                <w:ilvl w:val="0"/>
                <w:numId w:val="23"/>
              </w:numPr>
              <w:rPr>
                <w:rFonts w:ascii="Arial" w:hAnsi="Arial"/>
              </w:rPr>
            </w:pPr>
            <w:r w:rsidRPr="00660C78">
              <w:rPr>
                <w:rFonts w:ascii="Arial" w:hAnsi="Arial"/>
              </w:rPr>
              <w:t xml:space="preserve">Abnormal cold agglutinin </w:t>
            </w:r>
            <w:proofErr w:type="spellStart"/>
            <w:r w:rsidRPr="00660C78">
              <w:rPr>
                <w:rFonts w:ascii="Arial" w:hAnsi="Arial"/>
              </w:rPr>
              <w:t>titre</w:t>
            </w:r>
            <w:proofErr w:type="spellEnd"/>
          </w:p>
          <w:p w:rsidR="00127D8E" w:rsidRPr="00660C78" w:rsidRDefault="00127D8E" w:rsidP="00127D8E">
            <w:pPr>
              <w:rPr>
                <w:rFonts w:ascii="Arial" w:hAnsi="Arial"/>
              </w:rPr>
            </w:pPr>
          </w:p>
          <w:p w:rsidR="00127D8E" w:rsidRPr="00660C78" w:rsidRDefault="00127D8E" w:rsidP="00660C78">
            <w:pPr>
              <w:numPr>
                <w:ilvl w:val="0"/>
                <w:numId w:val="23"/>
              </w:numPr>
              <w:rPr>
                <w:rFonts w:ascii="Arial" w:hAnsi="Arial"/>
              </w:rPr>
            </w:pPr>
            <w:r w:rsidRPr="00660C78">
              <w:rPr>
                <w:rFonts w:ascii="Arial" w:hAnsi="Arial"/>
              </w:rPr>
              <w:t xml:space="preserve">Positive DAT </w:t>
            </w:r>
          </w:p>
          <w:p w:rsidR="00127D8E" w:rsidRPr="00660C78" w:rsidRDefault="00127D8E" w:rsidP="00127D8E">
            <w:pPr>
              <w:rPr>
                <w:rFonts w:ascii="Arial" w:hAnsi="Arial"/>
              </w:rPr>
            </w:pPr>
          </w:p>
          <w:p w:rsidR="00127D8E" w:rsidRPr="00660C78" w:rsidRDefault="00127D8E" w:rsidP="00660C78">
            <w:pPr>
              <w:numPr>
                <w:ilvl w:val="0"/>
                <w:numId w:val="23"/>
              </w:numPr>
              <w:rPr>
                <w:rFonts w:ascii="Arial" w:hAnsi="Arial"/>
              </w:rPr>
            </w:pPr>
            <w:r w:rsidRPr="00660C78">
              <w:rPr>
                <w:rFonts w:ascii="Arial" w:hAnsi="Arial"/>
              </w:rPr>
              <w:t>Blood product withdrawal, recall, lookback and traceback</w:t>
            </w:r>
          </w:p>
          <w:p w:rsidR="00127D8E" w:rsidRPr="00660C78" w:rsidRDefault="00127D8E" w:rsidP="00127D8E">
            <w:pPr>
              <w:rPr>
                <w:rFonts w:ascii="Arial" w:hAnsi="Arial"/>
              </w:rPr>
            </w:pPr>
          </w:p>
          <w:p w:rsidR="00127D8E" w:rsidRPr="00660C78" w:rsidRDefault="00127D8E" w:rsidP="00660C78">
            <w:pPr>
              <w:numPr>
                <w:ilvl w:val="0"/>
                <w:numId w:val="23"/>
              </w:numPr>
              <w:rPr>
                <w:rFonts w:ascii="Arial" w:hAnsi="Arial"/>
              </w:rPr>
            </w:pPr>
            <w:r w:rsidRPr="00660C78">
              <w:rPr>
                <w:rFonts w:ascii="Arial" w:hAnsi="Arial"/>
              </w:rPr>
              <w:t>Errors and incidents reported by or to the transfusion service</w:t>
            </w:r>
          </w:p>
          <w:p w:rsidR="00127D8E" w:rsidRPr="00660C78" w:rsidRDefault="00127D8E" w:rsidP="00127D8E">
            <w:pPr>
              <w:rPr>
                <w:rFonts w:ascii="Arial" w:hAnsi="Arial"/>
              </w:rPr>
            </w:pPr>
          </w:p>
          <w:p w:rsidR="00127D8E" w:rsidRPr="00660C78" w:rsidRDefault="00127D8E" w:rsidP="00660C78">
            <w:pPr>
              <w:numPr>
                <w:ilvl w:val="0"/>
                <w:numId w:val="23"/>
              </w:numPr>
              <w:rPr>
                <w:rFonts w:ascii="Arial" w:hAnsi="Arial"/>
              </w:rPr>
            </w:pPr>
            <w:r w:rsidRPr="00660C78">
              <w:rPr>
                <w:rFonts w:ascii="Arial" w:hAnsi="Arial"/>
              </w:rPr>
              <w:t>Immunoglobulin levels on patients with weak or missing reverse grouping (not including BMT patients)</w:t>
            </w:r>
          </w:p>
        </w:tc>
      </w:tr>
    </w:tbl>
    <w:p w:rsidR="00127D8E" w:rsidRDefault="00127D8E" w:rsidP="00127D8E"/>
    <w:tbl>
      <w:tblPr>
        <w:tblW w:w="0" w:type="auto"/>
        <w:tblLayout w:type="fixed"/>
        <w:tblLook w:val="0000" w:firstRow="0" w:lastRow="0" w:firstColumn="0" w:lastColumn="0" w:noHBand="0" w:noVBand="0"/>
      </w:tblPr>
      <w:tblGrid>
        <w:gridCol w:w="835"/>
        <w:gridCol w:w="835"/>
        <w:gridCol w:w="7168"/>
      </w:tblGrid>
      <w:tr w:rsidR="00081B85">
        <w:tblPrEx>
          <w:tblCellMar>
            <w:top w:w="0" w:type="dxa"/>
            <w:bottom w:w="0" w:type="dxa"/>
          </w:tblCellMar>
        </w:tblPrEx>
        <w:trPr>
          <w:cantSplit/>
        </w:trPr>
        <w:tc>
          <w:tcPr>
            <w:tcW w:w="8838" w:type="dxa"/>
            <w:gridSpan w:val="3"/>
          </w:tcPr>
          <w:p w:rsidR="00081B85" w:rsidRDefault="00081B85" w:rsidP="00127D8E">
            <w:pPr>
              <w:pStyle w:val="Heading1"/>
            </w:pPr>
            <w:r>
              <w:t>Reporting</w:t>
            </w:r>
          </w:p>
        </w:tc>
      </w:tr>
      <w:tr w:rsidR="00081B85">
        <w:tblPrEx>
          <w:tblCellMar>
            <w:top w:w="0" w:type="dxa"/>
            <w:bottom w:w="0" w:type="dxa"/>
          </w:tblCellMar>
        </w:tblPrEx>
        <w:trPr>
          <w:cantSplit/>
        </w:trPr>
        <w:tc>
          <w:tcPr>
            <w:tcW w:w="835" w:type="dxa"/>
          </w:tcPr>
          <w:p w:rsidR="00081B85" w:rsidRDefault="00081B85">
            <w:pPr>
              <w:rPr>
                <w:rFonts w:ascii="Arial" w:hAnsi="Arial"/>
              </w:rPr>
            </w:pPr>
          </w:p>
        </w:tc>
        <w:tc>
          <w:tcPr>
            <w:tcW w:w="835" w:type="dxa"/>
          </w:tcPr>
          <w:p w:rsidR="00081B85" w:rsidRDefault="00081B85">
            <w:pPr>
              <w:pStyle w:val="Heading2"/>
              <w:numPr>
                <w:ilvl w:val="0"/>
                <w:numId w:val="0"/>
              </w:numPr>
              <w:rPr>
                <w:rFonts w:ascii="Arial" w:hAnsi="Arial"/>
              </w:rPr>
            </w:pPr>
            <w:r>
              <w:rPr>
                <w:rFonts w:ascii="Arial" w:hAnsi="Arial"/>
              </w:rPr>
              <w:t>7.1</w:t>
            </w:r>
          </w:p>
        </w:tc>
        <w:tc>
          <w:tcPr>
            <w:tcW w:w="7168" w:type="dxa"/>
          </w:tcPr>
          <w:p w:rsidR="00081B85" w:rsidRDefault="00081B85" w:rsidP="008517AC">
            <w:pPr>
              <w:rPr>
                <w:rFonts w:ascii="Arial" w:hAnsi="Arial"/>
              </w:rPr>
            </w:pPr>
            <w:r>
              <w:rPr>
                <w:rFonts w:ascii="Arial" w:hAnsi="Arial"/>
              </w:rPr>
              <w:t xml:space="preserve">All discussions with the </w:t>
            </w:r>
            <w:r w:rsidR="008517AC">
              <w:rPr>
                <w:rFonts w:ascii="Arial" w:hAnsi="Arial"/>
              </w:rPr>
              <w:t>Medical Director or designate</w:t>
            </w:r>
            <w:r w:rsidR="00F92CBD">
              <w:rPr>
                <w:rFonts w:ascii="Arial" w:hAnsi="Arial"/>
              </w:rPr>
              <w:t xml:space="preserve"> </w:t>
            </w:r>
            <w:r>
              <w:rPr>
                <w:rFonts w:ascii="Arial" w:hAnsi="Arial"/>
              </w:rPr>
              <w:t>should be documented. Record the date, time and the identity of all pertinent persons, conversations, actions and follow up that are part of the consultation process</w:t>
            </w:r>
            <w:r w:rsidR="00575B81">
              <w:rPr>
                <w:rFonts w:ascii="Arial" w:hAnsi="Arial"/>
              </w:rPr>
              <w:t xml:space="preserve"> in the patient TM record</w:t>
            </w:r>
            <w:r>
              <w:rPr>
                <w:rFonts w:ascii="Arial" w:hAnsi="Arial"/>
              </w:rPr>
              <w:t>.</w:t>
            </w:r>
          </w:p>
        </w:tc>
      </w:tr>
    </w:tbl>
    <w:p w:rsidR="00081B85" w:rsidRDefault="00081B85">
      <w:pPr>
        <w:rPr>
          <w:rFonts w:ascii="Arial" w:hAnsi="Arial"/>
        </w:rPr>
      </w:pPr>
    </w:p>
    <w:tbl>
      <w:tblPr>
        <w:tblW w:w="0" w:type="auto"/>
        <w:tblLayout w:type="fixed"/>
        <w:tblLook w:val="0000" w:firstRow="0" w:lastRow="0" w:firstColumn="0" w:lastColumn="0" w:noHBand="0" w:noVBand="0"/>
      </w:tblPr>
      <w:tblGrid>
        <w:gridCol w:w="835"/>
        <w:gridCol w:w="835"/>
        <w:gridCol w:w="7168"/>
      </w:tblGrid>
      <w:tr w:rsidR="00081B85">
        <w:tblPrEx>
          <w:tblCellMar>
            <w:top w:w="0" w:type="dxa"/>
            <w:bottom w:w="0" w:type="dxa"/>
          </w:tblCellMar>
        </w:tblPrEx>
        <w:trPr>
          <w:cantSplit/>
        </w:trPr>
        <w:tc>
          <w:tcPr>
            <w:tcW w:w="8838" w:type="dxa"/>
            <w:gridSpan w:val="3"/>
          </w:tcPr>
          <w:p w:rsidR="00081B85" w:rsidRDefault="00081B85" w:rsidP="00127D8E">
            <w:pPr>
              <w:pStyle w:val="Heading1"/>
            </w:pPr>
            <w:r>
              <w:t>Procedural Notes</w:t>
            </w:r>
          </w:p>
        </w:tc>
      </w:tr>
      <w:tr w:rsidR="00081B85">
        <w:tblPrEx>
          <w:tblCellMar>
            <w:top w:w="0" w:type="dxa"/>
            <w:bottom w:w="0" w:type="dxa"/>
          </w:tblCellMar>
        </w:tblPrEx>
        <w:trPr>
          <w:cantSplit/>
        </w:trPr>
        <w:tc>
          <w:tcPr>
            <w:tcW w:w="835" w:type="dxa"/>
          </w:tcPr>
          <w:p w:rsidR="00081B85" w:rsidRDefault="00081B85">
            <w:pPr>
              <w:rPr>
                <w:rFonts w:ascii="Arial" w:hAnsi="Arial"/>
              </w:rPr>
            </w:pPr>
          </w:p>
        </w:tc>
        <w:tc>
          <w:tcPr>
            <w:tcW w:w="835" w:type="dxa"/>
          </w:tcPr>
          <w:p w:rsidR="00081B85" w:rsidRDefault="00081B85">
            <w:pPr>
              <w:pStyle w:val="Heading2"/>
              <w:numPr>
                <w:ilvl w:val="0"/>
                <w:numId w:val="0"/>
              </w:numPr>
              <w:rPr>
                <w:rFonts w:ascii="Arial" w:hAnsi="Arial"/>
              </w:rPr>
            </w:pPr>
            <w:r>
              <w:rPr>
                <w:rFonts w:ascii="Arial" w:hAnsi="Arial"/>
              </w:rPr>
              <w:t>8.1</w:t>
            </w:r>
          </w:p>
        </w:tc>
        <w:tc>
          <w:tcPr>
            <w:tcW w:w="7168" w:type="dxa"/>
          </w:tcPr>
          <w:p w:rsidR="00081B85" w:rsidRDefault="00081B85">
            <w:pPr>
              <w:rPr>
                <w:rFonts w:ascii="Arial" w:hAnsi="Arial"/>
              </w:rPr>
            </w:pPr>
            <w:r>
              <w:rPr>
                <w:rFonts w:ascii="Arial" w:hAnsi="Arial"/>
              </w:rPr>
              <w:t>Massive transfusion is defined as the transfusion of 10 or more units of blood in an adult patient or the replacement of at least one blood volume in one 24-hour period to one patient.</w:t>
            </w:r>
          </w:p>
        </w:tc>
      </w:tr>
    </w:tbl>
    <w:p w:rsidR="00081B85" w:rsidRDefault="00081B85">
      <w:pPr>
        <w:rPr>
          <w:rFonts w:ascii="Arial" w:hAnsi="Arial"/>
        </w:rPr>
      </w:pPr>
    </w:p>
    <w:tbl>
      <w:tblPr>
        <w:tblW w:w="0" w:type="auto"/>
        <w:tblLayout w:type="fixed"/>
        <w:tblLook w:val="0000" w:firstRow="0" w:lastRow="0" w:firstColumn="0" w:lastColumn="0" w:noHBand="0" w:noVBand="0"/>
      </w:tblPr>
      <w:tblGrid>
        <w:gridCol w:w="828"/>
        <w:gridCol w:w="7"/>
        <w:gridCol w:w="803"/>
        <w:gridCol w:w="32"/>
        <w:gridCol w:w="7168"/>
      </w:tblGrid>
      <w:tr w:rsidR="00081B85">
        <w:tblPrEx>
          <w:tblCellMar>
            <w:top w:w="0" w:type="dxa"/>
            <w:bottom w:w="0" w:type="dxa"/>
          </w:tblCellMar>
        </w:tblPrEx>
        <w:trPr>
          <w:cantSplit/>
        </w:trPr>
        <w:tc>
          <w:tcPr>
            <w:tcW w:w="8838" w:type="dxa"/>
            <w:gridSpan w:val="5"/>
          </w:tcPr>
          <w:p w:rsidR="00081B85" w:rsidRDefault="00081B85" w:rsidP="00127D8E">
            <w:pPr>
              <w:pStyle w:val="Heading1"/>
            </w:pPr>
            <w:r>
              <w:t>References</w:t>
            </w:r>
          </w:p>
        </w:tc>
      </w:tr>
      <w:tr w:rsidR="00081B85">
        <w:tblPrEx>
          <w:tblCellMar>
            <w:top w:w="0" w:type="dxa"/>
            <w:bottom w:w="0" w:type="dxa"/>
          </w:tblCellMar>
        </w:tblPrEx>
        <w:trPr>
          <w:cantSplit/>
        </w:trPr>
        <w:tc>
          <w:tcPr>
            <w:tcW w:w="828" w:type="dxa"/>
          </w:tcPr>
          <w:p w:rsidR="00081B85" w:rsidRDefault="00081B85">
            <w:pPr>
              <w:rPr>
                <w:rFonts w:ascii="Arial" w:hAnsi="Arial"/>
              </w:rPr>
            </w:pPr>
          </w:p>
        </w:tc>
        <w:tc>
          <w:tcPr>
            <w:tcW w:w="810" w:type="dxa"/>
            <w:gridSpan w:val="2"/>
          </w:tcPr>
          <w:p w:rsidR="00081B85" w:rsidRDefault="00081B85">
            <w:pPr>
              <w:pStyle w:val="Heading2"/>
              <w:numPr>
                <w:ilvl w:val="0"/>
                <w:numId w:val="0"/>
              </w:numPr>
              <w:rPr>
                <w:rFonts w:ascii="Arial" w:hAnsi="Arial"/>
              </w:rPr>
            </w:pPr>
            <w:r>
              <w:rPr>
                <w:rFonts w:ascii="Arial" w:hAnsi="Arial"/>
              </w:rPr>
              <w:t>9.1</w:t>
            </w:r>
          </w:p>
        </w:tc>
        <w:tc>
          <w:tcPr>
            <w:tcW w:w="7200" w:type="dxa"/>
            <w:gridSpan w:val="2"/>
          </w:tcPr>
          <w:p w:rsidR="00081B85" w:rsidRDefault="00081B85">
            <w:pPr>
              <w:rPr>
                <w:rFonts w:ascii="Arial" w:hAnsi="Arial"/>
              </w:rPr>
            </w:pPr>
            <w:r>
              <w:rPr>
                <w:rFonts w:ascii="Arial" w:hAnsi="Arial"/>
              </w:rPr>
              <w:t xml:space="preserve">Standards for Hospital Transfusion Services Version </w:t>
            </w:r>
            <w:r w:rsidR="008517AC">
              <w:rPr>
                <w:rFonts w:ascii="Arial" w:hAnsi="Arial"/>
              </w:rPr>
              <w:t>3</w:t>
            </w:r>
            <w:r>
              <w:rPr>
                <w:rFonts w:ascii="Arial" w:hAnsi="Arial"/>
              </w:rPr>
              <w:t xml:space="preserve"> – </w:t>
            </w:r>
            <w:r w:rsidR="008517AC">
              <w:rPr>
                <w:rFonts w:ascii="Arial" w:hAnsi="Arial"/>
              </w:rPr>
              <w:t>February 2011</w:t>
            </w:r>
            <w:r>
              <w:rPr>
                <w:rFonts w:ascii="Arial" w:hAnsi="Arial"/>
              </w:rPr>
              <w:t>. Canadian Society for Transfusion Medicine, 1.2, 1.</w:t>
            </w:r>
            <w:r w:rsidR="002B710F">
              <w:rPr>
                <w:rFonts w:ascii="Arial" w:hAnsi="Arial"/>
              </w:rPr>
              <w:t>4</w:t>
            </w:r>
            <w:r>
              <w:rPr>
                <w:rFonts w:ascii="Arial" w:hAnsi="Arial"/>
              </w:rPr>
              <w:t>.</w:t>
            </w:r>
          </w:p>
          <w:p w:rsidR="00081B85" w:rsidRDefault="00081B85">
            <w:pPr>
              <w:rPr>
                <w:rFonts w:ascii="Arial" w:hAnsi="Arial"/>
              </w:rPr>
            </w:pPr>
          </w:p>
        </w:tc>
      </w:tr>
      <w:tr w:rsidR="00575B81" w:rsidTr="00065426">
        <w:tblPrEx>
          <w:tblCellMar>
            <w:top w:w="0" w:type="dxa"/>
            <w:bottom w:w="0" w:type="dxa"/>
          </w:tblCellMar>
        </w:tblPrEx>
        <w:trPr>
          <w:cantSplit/>
          <w:trHeight w:val="850"/>
        </w:trPr>
        <w:tc>
          <w:tcPr>
            <w:tcW w:w="828" w:type="dxa"/>
          </w:tcPr>
          <w:p w:rsidR="00575B81" w:rsidRDefault="00575B81">
            <w:pPr>
              <w:rPr>
                <w:rFonts w:ascii="Arial" w:hAnsi="Arial"/>
              </w:rPr>
            </w:pPr>
          </w:p>
        </w:tc>
        <w:tc>
          <w:tcPr>
            <w:tcW w:w="810" w:type="dxa"/>
            <w:gridSpan w:val="2"/>
          </w:tcPr>
          <w:p w:rsidR="00575B81" w:rsidRDefault="00575B81">
            <w:pPr>
              <w:pStyle w:val="Heading2"/>
              <w:numPr>
                <w:ilvl w:val="0"/>
                <w:numId w:val="0"/>
              </w:numPr>
              <w:rPr>
                <w:rFonts w:ascii="Arial" w:hAnsi="Arial"/>
              </w:rPr>
            </w:pPr>
            <w:r w:rsidRPr="00824627">
              <w:rPr>
                <w:rFonts w:ascii="Arial" w:hAnsi="Arial"/>
              </w:rPr>
              <w:t>9.</w:t>
            </w:r>
            <w:r>
              <w:rPr>
                <w:rFonts w:ascii="Arial" w:hAnsi="Arial"/>
              </w:rPr>
              <w:t>2</w:t>
            </w:r>
          </w:p>
        </w:tc>
        <w:tc>
          <w:tcPr>
            <w:tcW w:w="7200" w:type="dxa"/>
            <w:gridSpan w:val="2"/>
          </w:tcPr>
          <w:p w:rsidR="00575B81" w:rsidRDefault="00575B81">
            <w:pPr>
              <w:rPr>
                <w:rFonts w:ascii="Arial" w:hAnsi="Arial"/>
              </w:rPr>
            </w:pPr>
            <w:r>
              <w:rPr>
                <w:rFonts w:ascii="Arial" w:hAnsi="Arial"/>
              </w:rPr>
              <w:t>IQMH</w:t>
            </w:r>
            <w:r w:rsidRPr="00824627">
              <w:rPr>
                <w:rFonts w:ascii="Arial" w:hAnsi="Arial"/>
              </w:rPr>
              <w:t xml:space="preserve"> Accreditation Requirements and Guidance</w:t>
            </w:r>
            <w:r>
              <w:rPr>
                <w:rFonts w:ascii="Arial" w:hAnsi="Arial"/>
              </w:rPr>
              <w:t xml:space="preserve"> Information, v6 December 2013. I.B.10; I.C.1; </w:t>
            </w:r>
            <w:r w:rsidRPr="00824627">
              <w:rPr>
                <w:rFonts w:ascii="Arial" w:hAnsi="Arial"/>
              </w:rPr>
              <w:t xml:space="preserve"> </w:t>
            </w:r>
          </w:p>
        </w:tc>
      </w:tr>
      <w:tr w:rsidR="00081B85">
        <w:tblPrEx>
          <w:tblCellMar>
            <w:top w:w="0" w:type="dxa"/>
            <w:bottom w:w="0" w:type="dxa"/>
          </w:tblCellMar>
        </w:tblPrEx>
        <w:tc>
          <w:tcPr>
            <w:tcW w:w="835" w:type="dxa"/>
            <w:gridSpan w:val="2"/>
          </w:tcPr>
          <w:p w:rsidR="00081B85" w:rsidRDefault="00081B85">
            <w:pPr>
              <w:rPr>
                <w:rFonts w:ascii="Arial" w:hAnsi="Arial"/>
              </w:rPr>
            </w:pPr>
          </w:p>
        </w:tc>
        <w:tc>
          <w:tcPr>
            <w:tcW w:w="835" w:type="dxa"/>
            <w:gridSpan w:val="2"/>
          </w:tcPr>
          <w:p w:rsidR="00081B85" w:rsidRDefault="00081B85">
            <w:pPr>
              <w:pStyle w:val="Heading2"/>
              <w:numPr>
                <w:ilvl w:val="0"/>
                <w:numId w:val="0"/>
              </w:numPr>
              <w:rPr>
                <w:rFonts w:ascii="Arial" w:hAnsi="Arial"/>
              </w:rPr>
            </w:pPr>
            <w:r>
              <w:rPr>
                <w:rFonts w:ascii="Arial" w:hAnsi="Arial"/>
              </w:rPr>
              <w:t>9.</w:t>
            </w:r>
            <w:r w:rsidR="00575B81">
              <w:rPr>
                <w:rFonts w:ascii="Arial" w:hAnsi="Arial"/>
              </w:rPr>
              <w:t>3</w:t>
            </w:r>
          </w:p>
        </w:tc>
        <w:tc>
          <w:tcPr>
            <w:tcW w:w="7168" w:type="dxa"/>
          </w:tcPr>
          <w:p w:rsidR="00081B85" w:rsidRDefault="008517AC">
            <w:pPr>
              <w:rPr>
                <w:rFonts w:ascii="Arial" w:hAnsi="Arial"/>
              </w:rPr>
            </w:pPr>
            <w:r>
              <w:rPr>
                <w:rFonts w:ascii="Arial" w:hAnsi="Arial"/>
              </w:rPr>
              <w:t xml:space="preserve">Clinical Guide to Transfusion </w:t>
            </w:r>
            <w:r w:rsidR="00575B81">
              <w:rPr>
                <w:rFonts w:ascii="Arial" w:hAnsi="Arial"/>
              </w:rPr>
              <w:t>(most current version)</w:t>
            </w:r>
            <w:r>
              <w:rPr>
                <w:rFonts w:ascii="Arial" w:hAnsi="Arial"/>
              </w:rPr>
              <w:t xml:space="preserve">; </w:t>
            </w:r>
            <w:hyperlink r:id="rId7" w:history="1">
              <w:r w:rsidR="00575B81" w:rsidRPr="00575B81">
                <w:rPr>
                  <w:rStyle w:val="Hyperlink"/>
                  <w:rFonts w:ascii="Arial" w:hAnsi="Arial"/>
                </w:rPr>
                <w:t>www.transfusionmedicine.ca</w:t>
              </w:r>
            </w:hyperlink>
            <w:r w:rsidR="00081B85">
              <w:rPr>
                <w:rFonts w:ascii="Arial" w:hAnsi="Arial"/>
              </w:rPr>
              <w:t>.</w:t>
            </w:r>
          </w:p>
        </w:tc>
      </w:tr>
    </w:tbl>
    <w:p w:rsidR="00081B85" w:rsidRDefault="00081B85">
      <w:pPr>
        <w:rPr>
          <w:rFonts w:ascii="Arial" w:hAnsi="Arial"/>
        </w:rPr>
      </w:pPr>
    </w:p>
    <w:p w:rsidR="00081B85" w:rsidRDefault="008517AC">
      <w:pPr>
        <w:rPr>
          <w:rFonts w:ascii="Arial" w:hAnsi="Arial"/>
        </w:rPr>
      </w:pPr>
      <w:r>
        <w:rPr>
          <w:rFonts w:ascii="Arial" w:hAnsi="Arial"/>
        </w:rPr>
        <w:tab/>
      </w:r>
      <w:r w:rsidR="00F92CBD">
        <w:rPr>
          <w:rFonts w:ascii="Arial" w:hAnsi="Arial"/>
        </w:rPr>
        <w:t xml:space="preserve">  </w:t>
      </w:r>
      <w:r>
        <w:rPr>
          <w:rFonts w:ascii="Arial" w:hAnsi="Arial"/>
        </w:rPr>
        <w:t>9.</w:t>
      </w:r>
      <w:r w:rsidR="00575B81">
        <w:rPr>
          <w:rFonts w:ascii="Arial" w:hAnsi="Arial"/>
        </w:rPr>
        <w:t>4</w:t>
      </w:r>
      <w:r>
        <w:rPr>
          <w:rFonts w:ascii="Arial" w:hAnsi="Arial"/>
        </w:rPr>
        <w:t xml:space="preserve">        Bloody Easy 3 Blood Transfusion, Blood Alternatives and </w:t>
      </w:r>
      <w:r w:rsidR="00F92CBD">
        <w:rPr>
          <w:rFonts w:ascii="Arial" w:hAnsi="Arial"/>
        </w:rPr>
        <w:br/>
        <w:t xml:space="preserve">                          </w:t>
      </w:r>
      <w:r>
        <w:rPr>
          <w:rFonts w:ascii="Arial" w:hAnsi="Arial"/>
        </w:rPr>
        <w:t>Transfusion Reactions, Third Edition; 2011</w:t>
      </w:r>
    </w:p>
    <w:p w:rsidR="00F92CBD" w:rsidRDefault="00F92CBD">
      <w:pPr>
        <w:rPr>
          <w:rFonts w:ascii="Arial" w:hAnsi="Arial"/>
        </w:rPr>
      </w:pPr>
      <w:r>
        <w:rPr>
          <w:rFonts w:ascii="Arial" w:hAnsi="Arial"/>
        </w:rPr>
        <w:t xml:space="preserve">         </w:t>
      </w:r>
      <w:r w:rsidR="00127D8E">
        <w:rPr>
          <w:rFonts w:ascii="Arial" w:hAnsi="Arial"/>
        </w:rPr>
        <w:t xml:space="preserve">  </w:t>
      </w:r>
    </w:p>
    <w:p w:rsidR="008517AC" w:rsidRPr="00F92CBD" w:rsidRDefault="00F92CBD" w:rsidP="00575B81">
      <w:pPr>
        <w:pStyle w:val="Heading1"/>
      </w:pPr>
      <w:r w:rsidRPr="00F92CBD">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F92CBD" w:rsidRPr="00660C78" w:rsidTr="007879E5">
        <w:tc>
          <w:tcPr>
            <w:tcW w:w="3078" w:type="dxa"/>
            <w:shd w:val="clear" w:color="auto" w:fill="F2F2F2"/>
          </w:tcPr>
          <w:p w:rsidR="00F92CBD" w:rsidRPr="00660C78" w:rsidRDefault="00F92CBD" w:rsidP="002B2A27">
            <w:pPr>
              <w:tabs>
                <w:tab w:val="left" w:pos="6480"/>
              </w:tabs>
              <w:jc w:val="center"/>
              <w:rPr>
                <w:rFonts w:ascii="Arial" w:hAnsi="Arial"/>
                <w:b/>
                <w:sz w:val="22"/>
                <w:szCs w:val="22"/>
              </w:rPr>
            </w:pPr>
            <w:r w:rsidRPr="00660C78">
              <w:rPr>
                <w:rFonts w:ascii="Arial" w:hAnsi="Arial"/>
                <w:b/>
                <w:sz w:val="22"/>
                <w:szCs w:val="22"/>
              </w:rPr>
              <w:t>Revision Date</w:t>
            </w:r>
          </w:p>
        </w:tc>
        <w:tc>
          <w:tcPr>
            <w:tcW w:w="5778" w:type="dxa"/>
            <w:shd w:val="clear" w:color="auto" w:fill="F2F2F2"/>
          </w:tcPr>
          <w:p w:rsidR="00F92CBD" w:rsidRPr="00660C78" w:rsidRDefault="00F92CBD" w:rsidP="002B2A27">
            <w:pPr>
              <w:tabs>
                <w:tab w:val="left" w:pos="6480"/>
              </w:tabs>
              <w:jc w:val="center"/>
              <w:rPr>
                <w:rFonts w:ascii="Arial" w:hAnsi="Arial"/>
                <w:b/>
                <w:sz w:val="22"/>
                <w:szCs w:val="22"/>
              </w:rPr>
            </w:pPr>
            <w:r w:rsidRPr="00660C78">
              <w:rPr>
                <w:rFonts w:ascii="Arial" w:hAnsi="Arial"/>
                <w:b/>
                <w:sz w:val="22"/>
                <w:szCs w:val="22"/>
              </w:rPr>
              <w:t>Summary of Revision</w:t>
            </w:r>
          </w:p>
        </w:tc>
      </w:tr>
      <w:tr w:rsidR="00F92CBD" w:rsidRPr="00660C78" w:rsidTr="002B2A27">
        <w:tc>
          <w:tcPr>
            <w:tcW w:w="3078" w:type="dxa"/>
            <w:shd w:val="clear" w:color="auto" w:fill="auto"/>
          </w:tcPr>
          <w:p w:rsidR="00F92CBD" w:rsidRPr="00660C78" w:rsidRDefault="00575B81" w:rsidP="00660C78">
            <w:pPr>
              <w:tabs>
                <w:tab w:val="left" w:pos="6480"/>
              </w:tabs>
              <w:rPr>
                <w:rFonts w:ascii="Arial" w:hAnsi="Arial"/>
                <w:sz w:val="22"/>
                <w:szCs w:val="22"/>
              </w:rPr>
            </w:pPr>
            <w:r>
              <w:rPr>
                <w:rFonts w:ascii="Arial" w:hAnsi="Arial"/>
                <w:sz w:val="22"/>
                <w:szCs w:val="22"/>
              </w:rPr>
              <w:t>September 1, 2015</w:t>
            </w:r>
          </w:p>
        </w:tc>
        <w:tc>
          <w:tcPr>
            <w:tcW w:w="5778" w:type="dxa"/>
            <w:shd w:val="clear" w:color="auto" w:fill="auto"/>
          </w:tcPr>
          <w:p w:rsidR="00F92CBD" w:rsidRPr="00660C78" w:rsidRDefault="00127D8E" w:rsidP="00660C78">
            <w:pPr>
              <w:numPr>
                <w:ilvl w:val="0"/>
                <w:numId w:val="20"/>
              </w:numPr>
              <w:tabs>
                <w:tab w:val="left" w:pos="6480"/>
              </w:tabs>
              <w:rPr>
                <w:rFonts w:ascii="Arial" w:hAnsi="Arial"/>
                <w:sz w:val="22"/>
                <w:szCs w:val="22"/>
              </w:rPr>
            </w:pPr>
            <w:r w:rsidRPr="00660C78">
              <w:rPr>
                <w:rFonts w:ascii="Arial" w:hAnsi="Arial"/>
                <w:sz w:val="22"/>
                <w:szCs w:val="22"/>
              </w:rPr>
              <w:t>Revised name of manual</w:t>
            </w:r>
          </w:p>
          <w:p w:rsidR="00127D8E" w:rsidRPr="00660C78" w:rsidRDefault="00127D8E" w:rsidP="00660C78">
            <w:pPr>
              <w:numPr>
                <w:ilvl w:val="0"/>
                <w:numId w:val="20"/>
              </w:numPr>
              <w:tabs>
                <w:tab w:val="left" w:pos="6480"/>
              </w:tabs>
              <w:rPr>
                <w:rFonts w:ascii="Arial" w:hAnsi="Arial"/>
                <w:sz w:val="22"/>
                <w:szCs w:val="22"/>
              </w:rPr>
            </w:pPr>
            <w:r w:rsidRPr="00660C78">
              <w:rPr>
                <w:rFonts w:ascii="Arial" w:hAnsi="Arial"/>
                <w:sz w:val="22"/>
                <w:szCs w:val="22"/>
              </w:rPr>
              <w:t>Revised section</w:t>
            </w:r>
            <w:r w:rsidR="00DF4DDF" w:rsidRPr="00660C78">
              <w:rPr>
                <w:rFonts w:ascii="Arial" w:hAnsi="Arial"/>
                <w:sz w:val="22"/>
                <w:szCs w:val="22"/>
              </w:rPr>
              <w:t>s 2.0 and 6.0</w:t>
            </w:r>
          </w:p>
          <w:p w:rsidR="00DF4DDF" w:rsidRPr="00660C78" w:rsidRDefault="00DF4DDF" w:rsidP="00660C78">
            <w:pPr>
              <w:numPr>
                <w:ilvl w:val="0"/>
                <w:numId w:val="20"/>
              </w:numPr>
              <w:tabs>
                <w:tab w:val="left" w:pos="6480"/>
              </w:tabs>
              <w:rPr>
                <w:rFonts w:ascii="Arial" w:hAnsi="Arial"/>
                <w:sz w:val="22"/>
                <w:szCs w:val="22"/>
              </w:rPr>
            </w:pPr>
            <w:r w:rsidRPr="00660C78">
              <w:rPr>
                <w:rFonts w:ascii="Arial" w:hAnsi="Arial"/>
                <w:sz w:val="22"/>
                <w:szCs w:val="22"/>
              </w:rPr>
              <w:t>Removed sections 5.1 &amp; 5.2</w:t>
            </w:r>
          </w:p>
          <w:p w:rsidR="00DF4DDF" w:rsidRPr="00660C78" w:rsidRDefault="00DF4DDF" w:rsidP="00660C78">
            <w:pPr>
              <w:numPr>
                <w:ilvl w:val="0"/>
                <w:numId w:val="20"/>
              </w:numPr>
              <w:tabs>
                <w:tab w:val="left" w:pos="6480"/>
              </w:tabs>
              <w:rPr>
                <w:rFonts w:ascii="Arial" w:hAnsi="Arial"/>
                <w:sz w:val="22"/>
                <w:szCs w:val="22"/>
              </w:rPr>
            </w:pPr>
            <w:r w:rsidRPr="00660C78">
              <w:rPr>
                <w:rFonts w:ascii="Arial" w:hAnsi="Arial"/>
                <w:sz w:val="22"/>
                <w:szCs w:val="22"/>
              </w:rPr>
              <w:t xml:space="preserve">Changed “pathologist” to “Medical Director or designate” in section 7.1 </w:t>
            </w:r>
          </w:p>
          <w:p w:rsidR="00DF4DDF" w:rsidRPr="00660C78" w:rsidRDefault="00DF4DDF" w:rsidP="00660C78">
            <w:pPr>
              <w:numPr>
                <w:ilvl w:val="0"/>
                <w:numId w:val="20"/>
              </w:numPr>
              <w:tabs>
                <w:tab w:val="left" w:pos="6480"/>
              </w:tabs>
              <w:rPr>
                <w:rFonts w:ascii="Arial" w:hAnsi="Arial"/>
                <w:sz w:val="22"/>
                <w:szCs w:val="22"/>
              </w:rPr>
            </w:pPr>
            <w:r w:rsidRPr="00660C78">
              <w:rPr>
                <w:rFonts w:ascii="Arial" w:hAnsi="Arial"/>
                <w:sz w:val="22"/>
                <w:szCs w:val="22"/>
              </w:rPr>
              <w:t>Updated list of references to include most recent editions</w:t>
            </w:r>
          </w:p>
        </w:tc>
      </w:tr>
    </w:tbl>
    <w:p w:rsidR="00F92CBD" w:rsidRPr="00F92CBD" w:rsidRDefault="00F92CBD" w:rsidP="00F92CBD">
      <w:pPr>
        <w:tabs>
          <w:tab w:val="left" w:pos="6480"/>
        </w:tabs>
        <w:rPr>
          <w:rFonts w:ascii="Arial" w:hAnsi="Arial"/>
          <w:sz w:val="22"/>
          <w:szCs w:val="22"/>
        </w:rPr>
      </w:pPr>
    </w:p>
    <w:sectPr w:rsidR="00F92CBD" w:rsidRPr="00F92CBD" w:rsidSect="002B2A27">
      <w:headerReference w:type="even" r:id="rId8"/>
      <w:headerReference w:type="default" r:id="rId9"/>
      <w:footerReference w:type="even" r:id="rId10"/>
      <w:footerReference w:type="default" r:id="rId11"/>
      <w:headerReference w:type="first" r:id="rId12"/>
      <w:footerReference w:type="first" r:id="rId13"/>
      <w:pgSz w:w="12240" w:h="15840" w:code="1"/>
      <w:pgMar w:top="1166" w:right="1800" w:bottom="662" w:left="180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6E0" w:rsidRDefault="005116E0">
      <w:r>
        <w:separator/>
      </w:r>
    </w:p>
  </w:endnote>
  <w:endnote w:type="continuationSeparator" w:id="0">
    <w:p w:rsidR="005116E0" w:rsidRDefault="0051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27" w:rsidRDefault="002B2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081B85">
      <w:tblPrEx>
        <w:tblCellMar>
          <w:top w:w="0" w:type="dxa"/>
          <w:bottom w:w="0" w:type="dxa"/>
        </w:tblCellMar>
      </w:tblPrEx>
      <w:tc>
        <w:tcPr>
          <w:tcW w:w="1512" w:type="dxa"/>
        </w:tcPr>
        <w:p w:rsidR="00081B85" w:rsidRDefault="00081B85">
          <w:pPr>
            <w:pStyle w:val="Footer"/>
            <w:jc w:val="center"/>
            <w:rPr>
              <w:rFonts w:ascii="Verdana" w:hAnsi="Verdana"/>
              <w:sz w:val="8"/>
            </w:rPr>
          </w:pPr>
        </w:p>
        <w:p w:rsidR="00081B85" w:rsidRDefault="00081B85">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v:imagedata r:id="rId1" o:title="ORBCON"/>
              </v:shape>
            </w:pict>
          </w:r>
        </w:p>
      </w:tc>
      <w:tc>
        <w:tcPr>
          <w:tcW w:w="5832" w:type="dxa"/>
        </w:tcPr>
        <w:p w:rsidR="00081B85" w:rsidRDefault="00081B85">
          <w:pPr>
            <w:pStyle w:val="Footer"/>
            <w:jc w:val="center"/>
            <w:rPr>
              <w:rFonts w:ascii="Arial" w:hAnsi="Arial"/>
              <w:sz w:val="18"/>
            </w:rPr>
          </w:pPr>
          <w:r>
            <w:rPr>
              <w:rFonts w:ascii="Verdana" w:hAnsi="Verdana"/>
              <w:sz w:val="16"/>
            </w:rPr>
            <w:br/>
          </w: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081B85" w:rsidRDefault="002B710F">
          <w:pPr>
            <w:pStyle w:val="Footer"/>
            <w:jc w:val="center"/>
            <w:rPr>
              <w:rFonts w:ascii="Arial" w:hAnsi="Arial"/>
              <w:sz w:val="18"/>
            </w:rPr>
          </w:pPr>
          <w:r>
            <w:rPr>
              <w:rFonts w:ascii="Arial" w:hAnsi="Arial"/>
              <w:sz w:val="18"/>
            </w:rPr>
            <w:t>Transfusion Technical Resource</w:t>
          </w:r>
          <w:r w:rsidR="00081B85">
            <w:rPr>
              <w:rFonts w:ascii="Arial" w:hAnsi="Arial"/>
              <w:sz w:val="18"/>
            </w:rPr>
            <w:t xml:space="preserve"> Manual</w:t>
          </w:r>
        </w:p>
      </w:tc>
      <w:tc>
        <w:tcPr>
          <w:tcW w:w="1494" w:type="dxa"/>
        </w:tcPr>
        <w:p w:rsidR="00081B85" w:rsidRDefault="00081B85">
          <w:pPr>
            <w:pStyle w:val="Footer"/>
            <w:jc w:val="right"/>
            <w:rPr>
              <w:rFonts w:ascii="Arial" w:hAnsi="Arial"/>
              <w:sz w:val="18"/>
            </w:rPr>
          </w:pPr>
        </w:p>
        <w:p w:rsidR="00081B85" w:rsidRDefault="00081B85">
          <w:pPr>
            <w:pStyle w:val="Footer"/>
            <w:jc w:val="right"/>
            <w:rPr>
              <w:rFonts w:ascii="Arial" w:hAnsi="Arial"/>
              <w:sz w:val="18"/>
            </w:rPr>
          </w:pPr>
          <w:r>
            <w:rPr>
              <w:rFonts w:ascii="Arial" w:hAnsi="Arial"/>
              <w:sz w:val="18"/>
            </w:rPr>
            <w:t>QCA.020</w:t>
          </w:r>
          <w:r>
            <w:rPr>
              <w:rFonts w:ascii="Arial" w:hAnsi="Arial"/>
              <w:sz w:val="18"/>
            </w:rPr>
            <w:br/>
          </w:r>
        </w:p>
        <w:p w:rsidR="00081B85" w:rsidRDefault="00081B85">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B2A27">
            <w:rPr>
              <w:rFonts w:ascii="Arial" w:hAnsi="Arial"/>
              <w:noProof/>
              <w:snapToGrid w:val="0"/>
              <w:sz w:val="18"/>
            </w:rPr>
            <w:t>4</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B2A27">
            <w:rPr>
              <w:rFonts w:ascii="Arial" w:hAnsi="Arial"/>
              <w:noProof/>
              <w:snapToGrid w:val="0"/>
              <w:sz w:val="18"/>
            </w:rPr>
            <w:t>5</w:t>
          </w:r>
          <w:r>
            <w:rPr>
              <w:rFonts w:ascii="Arial" w:hAnsi="Arial"/>
              <w:snapToGrid w:val="0"/>
              <w:sz w:val="18"/>
            </w:rPr>
            <w:fldChar w:fldCharType="end"/>
          </w:r>
        </w:p>
      </w:tc>
    </w:tr>
  </w:tbl>
  <w:p w:rsidR="00081B85" w:rsidRDefault="00081B85">
    <w:pPr>
      <w:pStyle w:val="Foote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081B85">
      <w:tblPrEx>
        <w:tblCellMar>
          <w:top w:w="0" w:type="dxa"/>
          <w:bottom w:w="0" w:type="dxa"/>
        </w:tblCellMar>
      </w:tblPrEx>
      <w:tc>
        <w:tcPr>
          <w:tcW w:w="1512" w:type="dxa"/>
        </w:tcPr>
        <w:p w:rsidR="00081B85" w:rsidRDefault="00081B85">
          <w:pPr>
            <w:pStyle w:val="Footer"/>
            <w:jc w:val="center"/>
            <w:rPr>
              <w:rFonts w:ascii="Verdana" w:hAnsi="Verdana"/>
              <w:sz w:val="8"/>
            </w:rPr>
          </w:pPr>
        </w:p>
        <w:p w:rsidR="00081B85" w:rsidRDefault="00081B85">
          <w:pPr>
            <w:pStyle w:val="Footer"/>
            <w:jc w:val="center"/>
            <w:rPr>
              <w:rFonts w:ascii="Verdana" w:hAnsi="Verdana"/>
              <w:sz w:val="8"/>
            </w:rPr>
          </w:pPr>
          <w:r w:rsidRPr="00087E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v:imagedata r:id="rId1" o:title="ORBCON"/>
              </v:shape>
            </w:pict>
          </w:r>
        </w:p>
      </w:tc>
      <w:tc>
        <w:tcPr>
          <w:tcW w:w="5832" w:type="dxa"/>
        </w:tcPr>
        <w:p w:rsidR="00081B85" w:rsidRDefault="00081B85">
          <w:pPr>
            <w:pStyle w:val="Footer"/>
            <w:jc w:val="center"/>
            <w:rPr>
              <w:rFonts w:ascii="Arial" w:hAnsi="Arial"/>
              <w:sz w:val="18"/>
            </w:rPr>
          </w:pPr>
          <w:r>
            <w:rPr>
              <w:rFonts w:ascii="Verdana" w:hAnsi="Verdana"/>
              <w:sz w:val="16"/>
            </w:rPr>
            <w:br/>
          </w: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w:t>
          </w:r>
        </w:p>
        <w:p w:rsidR="00081B85" w:rsidRDefault="002B710F">
          <w:pPr>
            <w:pStyle w:val="Footer"/>
            <w:jc w:val="center"/>
            <w:rPr>
              <w:rFonts w:ascii="Arial" w:hAnsi="Arial"/>
              <w:sz w:val="18"/>
            </w:rPr>
          </w:pPr>
          <w:r>
            <w:rPr>
              <w:rFonts w:ascii="Arial" w:hAnsi="Arial"/>
              <w:sz w:val="18"/>
            </w:rPr>
            <w:t>Transfusion Technical Resource</w:t>
          </w:r>
          <w:r w:rsidR="00081B85">
            <w:rPr>
              <w:rFonts w:ascii="Arial" w:hAnsi="Arial"/>
              <w:sz w:val="18"/>
            </w:rPr>
            <w:t xml:space="preserve"> Manual</w:t>
          </w:r>
        </w:p>
      </w:tc>
      <w:tc>
        <w:tcPr>
          <w:tcW w:w="1494" w:type="dxa"/>
        </w:tcPr>
        <w:p w:rsidR="00081B85" w:rsidRDefault="00081B85">
          <w:pPr>
            <w:pStyle w:val="Footer"/>
            <w:jc w:val="right"/>
            <w:rPr>
              <w:rFonts w:ascii="Arial" w:hAnsi="Arial"/>
              <w:sz w:val="18"/>
            </w:rPr>
          </w:pPr>
        </w:p>
        <w:p w:rsidR="00081B85" w:rsidRDefault="00081B85">
          <w:pPr>
            <w:pStyle w:val="Footer"/>
            <w:jc w:val="right"/>
            <w:rPr>
              <w:rFonts w:ascii="Arial" w:hAnsi="Arial"/>
              <w:sz w:val="18"/>
            </w:rPr>
          </w:pPr>
          <w:r>
            <w:rPr>
              <w:rFonts w:ascii="Arial" w:hAnsi="Arial"/>
              <w:sz w:val="18"/>
            </w:rPr>
            <w:t>QCA.020</w:t>
          </w:r>
          <w:r>
            <w:rPr>
              <w:rFonts w:ascii="Arial" w:hAnsi="Arial"/>
              <w:sz w:val="18"/>
            </w:rPr>
            <w:br/>
          </w:r>
        </w:p>
        <w:p w:rsidR="00081B85" w:rsidRDefault="00081B85">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B2A27">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B2A27">
            <w:rPr>
              <w:rFonts w:ascii="Arial" w:hAnsi="Arial"/>
              <w:noProof/>
              <w:snapToGrid w:val="0"/>
              <w:sz w:val="18"/>
            </w:rPr>
            <w:t>6</w:t>
          </w:r>
          <w:r>
            <w:rPr>
              <w:rFonts w:ascii="Arial" w:hAnsi="Arial"/>
              <w:snapToGrid w:val="0"/>
              <w:sz w:val="18"/>
            </w:rPr>
            <w:fldChar w:fldCharType="end"/>
          </w:r>
        </w:p>
      </w:tc>
    </w:tr>
  </w:tbl>
  <w:p w:rsidR="00081B85" w:rsidRDefault="0008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6E0" w:rsidRDefault="005116E0">
      <w:r>
        <w:separator/>
      </w:r>
    </w:p>
  </w:footnote>
  <w:footnote w:type="continuationSeparator" w:id="0">
    <w:p w:rsidR="005116E0" w:rsidRDefault="00511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A27" w:rsidRDefault="002B2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838"/>
    </w:tblGrid>
    <w:tr w:rsidR="00081B85">
      <w:tblPrEx>
        <w:tblCellMar>
          <w:top w:w="0" w:type="dxa"/>
          <w:bottom w:w="0" w:type="dxa"/>
        </w:tblCellMar>
      </w:tblPrEx>
      <w:trPr>
        <w:trHeight w:val="450"/>
      </w:trPr>
      <w:tc>
        <w:tcPr>
          <w:tcW w:w="8838" w:type="dxa"/>
        </w:tcPr>
        <w:p w:rsidR="00081B85" w:rsidRDefault="00081B85">
          <w:pPr>
            <w:pStyle w:val="Header"/>
            <w:jc w:val="center"/>
            <w:rPr>
              <w:rFonts w:ascii="Arial" w:hAnsi="Arial"/>
              <w:b/>
              <w:sz w:val="28"/>
            </w:rPr>
          </w:pPr>
          <w:r>
            <w:rPr>
              <w:rFonts w:ascii="Arial" w:hAnsi="Arial"/>
              <w:b/>
              <w:sz w:val="28"/>
            </w:rPr>
            <w:t>Medical Director Consultation Protocol</w:t>
          </w:r>
        </w:p>
      </w:tc>
    </w:tr>
  </w:tbl>
  <w:p w:rsidR="00081B85" w:rsidRDefault="00081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B85" w:rsidRDefault="00DB6E7D">
    <w:pPr>
      <w:pStyle w:val="Header"/>
      <w:tabs>
        <w:tab w:val="clear" w:pos="8640"/>
        <w:tab w:val="left" w:pos="4783"/>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36.75pt">
          <v:imagedata r:id="rId1" o:title="ORBCoN Logo_EN"/>
        </v:shape>
      </w:pict>
    </w:r>
  </w:p>
  <w:p w:rsidR="00081B85" w:rsidRDefault="00081B85">
    <w:pPr>
      <w:pStyle w:val="Header"/>
      <w:tabs>
        <w:tab w:val="clear" w:pos="8640"/>
        <w:tab w:val="left" w:pos="4783"/>
      </w:tabs>
      <w:rPr>
        <w:rFonts w:ascii="Arial" w:hAnsi="Arial" w:cs="Arial"/>
        <w:b/>
        <w:bCs/>
        <w:sz w:val="22"/>
      </w:rPr>
    </w:pPr>
  </w:p>
  <w:p w:rsidR="00081B85" w:rsidRPr="002B2A27" w:rsidRDefault="00DB6E7D">
    <w:pPr>
      <w:pStyle w:val="Header"/>
      <w:jc w:val="center"/>
      <w:rPr>
        <w:rFonts w:ascii="Arial" w:hAnsi="Arial" w:cs="Arial"/>
        <w:b/>
        <w:bCs/>
      </w:rPr>
    </w:pPr>
    <w:r w:rsidRPr="002B2A27">
      <w:rPr>
        <w:rFonts w:ascii="Arial" w:hAnsi="Arial" w:cs="Arial"/>
        <w:b/>
        <w:bCs/>
      </w:rPr>
      <w:t>Ontario Regional Blood Coordinating Network</w:t>
    </w:r>
  </w:p>
  <w:p w:rsidR="00DB6E7D" w:rsidRPr="002B2A27" w:rsidRDefault="00DB6E7D">
    <w:pPr>
      <w:pStyle w:val="Header"/>
      <w:jc w:val="center"/>
      <w:rPr>
        <w:rFonts w:ascii="Arial" w:hAnsi="Arial" w:cs="Arial"/>
        <w:b/>
        <w:bCs/>
      </w:rPr>
    </w:pPr>
    <w:r w:rsidRPr="002B2A27">
      <w:rPr>
        <w:rFonts w:ascii="Arial" w:hAnsi="Arial" w:cs="Arial"/>
        <w:b/>
        <w:bCs/>
      </w:rPr>
      <w:t>Transfusion Technical Resource Manual</w:t>
    </w:r>
  </w:p>
  <w:p w:rsidR="00081B85" w:rsidRDefault="00081B85">
    <w:pPr>
      <w:pStyle w:val="Header"/>
      <w:jc w:val="center"/>
      <w:rPr>
        <w:rFonts w:ascii="Arial" w:hAnsi="Arial" w:cs="Arial"/>
        <w:b/>
        <w:bCs/>
        <w:sz w:val="22"/>
      </w:rPr>
    </w:pPr>
  </w:p>
  <w:p w:rsidR="00081B85" w:rsidRDefault="00081B85">
    <w:pPr>
      <w:pStyle w:val="Header"/>
      <w:jc w:val="center"/>
      <w:rPr>
        <w:rFonts w:ascii="Arial" w:hAnsi="Arial"/>
        <w:b/>
        <w:sz w:val="28"/>
      </w:rPr>
    </w:pPr>
    <w:r>
      <w:rPr>
        <w:rFonts w:ascii="Arial" w:hAnsi="Arial"/>
        <w:b/>
        <w:sz w:val="28"/>
      </w:rPr>
      <w:t>Medical Director Consultation Protocol</w:t>
    </w:r>
  </w:p>
  <w:p w:rsidR="00081B85" w:rsidRDefault="00081B85">
    <w:pPr>
      <w:pStyle w:val="Header"/>
      <w:jc w:val="center"/>
      <w:rPr>
        <w:rFonts w:ascii="Arial" w:hAnsi="Arial"/>
        <w:b/>
        <w:spacing w:val="-2"/>
        <w:sz w:val="28"/>
        <w:lang w:val="en-GB"/>
      </w:rPr>
    </w:pPr>
  </w:p>
  <w:p w:rsidR="00081B85" w:rsidRDefault="00081B85">
    <w:pPr>
      <w:pStyle w:val="Header"/>
      <w:jc w:val="center"/>
      <w:rPr>
        <w:rFonts w:ascii="Arial" w:hAnsi="Arial" w:cs="Arial"/>
        <w:b/>
        <w:bCs/>
      </w:rPr>
    </w:pPr>
    <w:r>
      <w:rPr>
        <w:rFonts w:ascii="Arial" w:hAnsi="Arial" w:cs="Arial"/>
        <w:b/>
        <w:bCs/>
      </w:rPr>
      <w:tab/>
    </w:r>
    <w:r>
      <w:rPr>
        <w:rFonts w:ascii="Arial" w:hAnsi="Arial" w:cs="Arial"/>
      </w:rPr>
      <w:pict>
        <v:line id="_x0000_s2049" style="position:absolute;left:0;text-align:left;z-index:1;mso-position-horizontal-relative:text;mso-position-vertical-relative:text" from="-4.95pt,1.65pt" to="436.05pt,1.65pt"/>
      </w:pict>
    </w:r>
  </w:p>
  <w:tbl>
    <w:tblPr>
      <w:tblW w:w="0" w:type="auto"/>
      <w:tblLook w:val="0000" w:firstRow="0" w:lastRow="0" w:firstColumn="0" w:lastColumn="0" w:noHBand="0" w:noVBand="0"/>
    </w:tblPr>
    <w:tblGrid>
      <w:gridCol w:w="4428"/>
      <w:gridCol w:w="4428"/>
    </w:tblGrid>
    <w:tr w:rsidR="00081B85">
      <w:tc>
        <w:tcPr>
          <w:tcW w:w="4428" w:type="dxa"/>
        </w:tcPr>
        <w:p w:rsidR="00081B85" w:rsidRDefault="00081B85" w:rsidP="00DB6E7D">
          <w:pPr>
            <w:pStyle w:val="Header"/>
            <w:rPr>
              <w:rFonts w:ascii="Arial" w:hAnsi="Arial" w:cs="Arial"/>
              <w:sz w:val="20"/>
            </w:rPr>
          </w:pPr>
          <w:r>
            <w:rPr>
              <w:rFonts w:ascii="Arial" w:hAnsi="Arial" w:cs="Arial"/>
              <w:sz w:val="20"/>
            </w:rPr>
            <w:t xml:space="preserve">Approved By:  </w:t>
          </w:r>
        </w:p>
      </w:tc>
      <w:tc>
        <w:tcPr>
          <w:tcW w:w="4428" w:type="dxa"/>
        </w:tcPr>
        <w:p w:rsidR="00081B85" w:rsidRDefault="00081B85">
          <w:pPr>
            <w:pStyle w:val="Header"/>
            <w:rPr>
              <w:rFonts w:ascii="Arial" w:hAnsi="Arial" w:cs="Arial"/>
              <w:sz w:val="20"/>
            </w:rPr>
          </w:pPr>
          <w:r>
            <w:rPr>
              <w:rFonts w:ascii="Arial" w:hAnsi="Arial" w:cs="Arial"/>
              <w:sz w:val="20"/>
            </w:rPr>
            <w:t>Document No: QCA.020</w:t>
          </w:r>
        </w:p>
      </w:tc>
    </w:tr>
    <w:tr w:rsidR="00081B85">
      <w:tc>
        <w:tcPr>
          <w:tcW w:w="4428" w:type="dxa"/>
        </w:tcPr>
        <w:p w:rsidR="00081B85" w:rsidRDefault="00081B85">
          <w:pPr>
            <w:pStyle w:val="Header"/>
            <w:rPr>
              <w:rFonts w:ascii="Arial" w:hAnsi="Arial" w:cs="Arial"/>
              <w:sz w:val="20"/>
            </w:rPr>
          </w:pPr>
          <w:r>
            <w:rPr>
              <w:rFonts w:ascii="Arial" w:hAnsi="Arial" w:cs="Arial"/>
              <w:sz w:val="20"/>
            </w:rPr>
            <w:t>Date Issued:  2004/04/05</w:t>
          </w:r>
        </w:p>
      </w:tc>
      <w:tc>
        <w:tcPr>
          <w:tcW w:w="4428" w:type="dxa"/>
        </w:tcPr>
        <w:p w:rsidR="00081B85" w:rsidRDefault="00081B85">
          <w:pPr>
            <w:pStyle w:val="Header"/>
            <w:rPr>
              <w:rFonts w:ascii="Arial" w:hAnsi="Arial" w:cs="Arial"/>
              <w:sz w:val="20"/>
            </w:rPr>
          </w:pPr>
          <w:r>
            <w:rPr>
              <w:rFonts w:ascii="Arial" w:hAnsi="Arial" w:cs="Arial"/>
              <w:sz w:val="20"/>
            </w:rPr>
            <w:t>Category:  Quality Control, Assurance</w:t>
          </w:r>
        </w:p>
      </w:tc>
    </w:tr>
    <w:tr w:rsidR="00081B85">
      <w:tc>
        <w:tcPr>
          <w:tcW w:w="4428" w:type="dxa"/>
        </w:tcPr>
        <w:p w:rsidR="00081B85" w:rsidRDefault="00081B85">
          <w:pPr>
            <w:pStyle w:val="Header"/>
            <w:rPr>
              <w:rFonts w:ascii="Arial" w:hAnsi="Arial" w:cs="Arial"/>
              <w:sz w:val="20"/>
            </w:rPr>
          </w:pPr>
          <w:r>
            <w:rPr>
              <w:rFonts w:ascii="Arial" w:hAnsi="Arial" w:cs="Arial"/>
              <w:sz w:val="20"/>
            </w:rPr>
            <w:t xml:space="preserve">Date Revised:  </w:t>
          </w:r>
          <w:r w:rsidR="00E86432">
            <w:rPr>
              <w:rFonts w:ascii="Arial" w:hAnsi="Arial" w:cs="Arial"/>
              <w:sz w:val="20"/>
            </w:rPr>
            <w:t>2009/09/01; 2015/09/01</w:t>
          </w:r>
        </w:p>
      </w:tc>
      <w:tc>
        <w:tcPr>
          <w:tcW w:w="4428" w:type="dxa"/>
        </w:tcPr>
        <w:p w:rsidR="00081B85" w:rsidRDefault="00081B85">
          <w:pPr>
            <w:pStyle w:val="Header"/>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2B2A27">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2B2A27">
            <w:rPr>
              <w:rFonts w:ascii="Arial" w:hAnsi="Arial" w:cs="Arial"/>
              <w:noProof/>
              <w:sz w:val="20"/>
            </w:rPr>
            <w:t>6</w:t>
          </w:r>
          <w:r>
            <w:rPr>
              <w:rFonts w:ascii="Arial" w:hAnsi="Arial" w:cs="Arial"/>
              <w:sz w:val="20"/>
            </w:rPr>
            <w:fldChar w:fldCharType="end"/>
          </w:r>
        </w:p>
      </w:tc>
    </w:tr>
  </w:tbl>
  <w:p w:rsidR="00081B85" w:rsidRDefault="00081B85">
    <w:pPr>
      <w:pStyle w:val="Header"/>
    </w:pPr>
    <w:r>
      <w:rPr>
        <w:rFonts w:ascii="Arial" w:hAnsi="Arial" w:cs="Arial"/>
      </w:rPr>
      <w:pict>
        <v:line id="_x0000_s2050" style="position:absolute;z-index:2;mso-position-horizontal-relative:text;mso-position-vertical-relative:text" from="-4.95pt,9.65pt" to="436.05pt,9.65pt"/>
      </w:pict>
    </w:r>
    <w:r>
      <w:rPr>
        <w:rFonts w:ascii="Arial" w:hAnsi="Arial" w:cs="Arial"/>
      </w:rPr>
      <w:tab/>
    </w:r>
  </w:p>
  <w:p w:rsidR="00081B85" w:rsidRDefault="00081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027DF"/>
    <w:multiLevelType w:val="multilevel"/>
    <w:tmpl w:val="81A4D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7A3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B46EE9"/>
    <w:multiLevelType w:val="hybridMultilevel"/>
    <w:tmpl w:val="B384750E"/>
    <w:lvl w:ilvl="0" w:tplc="AE5C7ABA">
      <w:start w:val="1"/>
      <w:numFmt w:val="bullet"/>
      <w:lvlText w:val=""/>
      <w:lvlJc w:val="left"/>
      <w:pPr>
        <w:tabs>
          <w:tab w:val="num" w:pos="1627"/>
        </w:tabs>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4" w15:restartNumberingAfterBreak="0">
    <w:nsid w:val="1A086965"/>
    <w:multiLevelType w:val="hybridMultilevel"/>
    <w:tmpl w:val="5A9A5824"/>
    <w:lvl w:ilvl="0" w:tplc="F6FCC0D6">
      <w:start w:val="1"/>
      <w:numFmt w:val="bullet"/>
      <w:lvlText w:val=""/>
      <w:lvlJc w:val="left"/>
      <w:pPr>
        <w:tabs>
          <w:tab w:val="num" w:pos="1627"/>
        </w:tabs>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5" w15:restartNumberingAfterBreak="0">
    <w:nsid w:val="1EC05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A76D7D"/>
    <w:multiLevelType w:val="hybridMultilevel"/>
    <w:tmpl w:val="39BAE3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4D09CB"/>
    <w:multiLevelType w:val="multilevel"/>
    <w:tmpl w:val="8FA2BF30"/>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31526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3070BA"/>
    <w:multiLevelType w:val="hybridMultilevel"/>
    <w:tmpl w:val="DAD4A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AA5AA1"/>
    <w:multiLevelType w:val="hybridMultilevel"/>
    <w:tmpl w:val="45925DBE"/>
    <w:lvl w:ilvl="0" w:tplc="F6FCC0D6">
      <w:start w:val="1"/>
      <w:numFmt w:val="bullet"/>
      <w:lvlText w:val=""/>
      <w:lvlJc w:val="left"/>
      <w:pPr>
        <w:tabs>
          <w:tab w:val="num" w:pos="367"/>
        </w:tabs>
        <w:ind w:left="360" w:hanging="360"/>
      </w:pPr>
      <w:rPr>
        <w:rFonts w:ascii="Symbol" w:hAnsi="Symbol" w:hint="default"/>
      </w:rPr>
    </w:lvl>
    <w:lvl w:ilvl="1" w:tplc="10090003" w:tentative="1">
      <w:start w:val="1"/>
      <w:numFmt w:val="bullet"/>
      <w:lvlText w:val="o"/>
      <w:lvlJc w:val="left"/>
      <w:pPr>
        <w:ind w:left="180" w:hanging="360"/>
      </w:pPr>
      <w:rPr>
        <w:rFonts w:ascii="Courier New" w:hAnsi="Courier New" w:cs="Courier New" w:hint="default"/>
      </w:rPr>
    </w:lvl>
    <w:lvl w:ilvl="2" w:tplc="10090005" w:tentative="1">
      <w:start w:val="1"/>
      <w:numFmt w:val="bullet"/>
      <w:lvlText w:val=""/>
      <w:lvlJc w:val="left"/>
      <w:pPr>
        <w:ind w:left="900" w:hanging="360"/>
      </w:pPr>
      <w:rPr>
        <w:rFonts w:ascii="Wingdings" w:hAnsi="Wingdings" w:hint="default"/>
      </w:rPr>
    </w:lvl>
    <w:lvl w:ilvl="3" w:tplc="10090001" w:tentative="1">
      <w:start w:val="1"/>
      <w:numFmt w:val="bullet"/>
      <w:lvlText w:val=""/>
      <w:lvlJc w:val="left"/>
      <w:pPr>
        <w:ind w:left="1620" w:hanging="360"/>
      </w:pPr>
      <w:rPr>
        <w:rFonts w:ascii="Symbol" w:hAnsi="Symbol" w:hint="default"/>
      </w:rPr>
    </w:lvl>
    <w:lvl w:ilvl="4" w:tplc="10090003" w:tentative="1">
      <w:start w:val="1"/>
      <w:numFmt w:val="bullet"/>
      <w:lvlText w:val="o"/>
      <w:lvlJc w:val="left"/>
      <w:pPr>
        <w:ind w:left="2340" w:hanging="360"/>
      </w:pPr>
      <w:rPr>
        <w:rFonts w:ascii="Courier New" w:hAnsi="Courier New" w:cs="Courier New" w:hint="default"/>
      </w:rPr>
    </w:lvl>
    <w:lvl w:ilvl="5" w:tplc="10090005" w:tentative="1">
      <w:start w:val="1"/>
      <w:numFmt w:val="bullet"/>
      <w:lvlText w:val=""/>
      <w:lvlJc w:val="left"/>
      <w:pPr>
        <w:ind w:left="3060" w:hanging="360"/>
      </w:pPr>
      <w:rPr>
        <w:rFonts w:ascii="Wingdings" w:hAnsi="Wingdings" w:hint="default"/>
      </w:rPr>
    </w:lvl>
    <w:lvl w:ilvl="6" w:tplc="10090001" w:tentative="1">
      <w:start w:val="1"/>
      <w:numFmt w:val="bullet"/>
      <w:lvlText w:val=""/>
      <w:lvlJc w:val="left"/>
      <w:pPr>
        <w:ind w:left="3780" w:hanging="360"/>
      </w:pPr>
      <w:rPr>
        <w:rFonts w:ascii="Symbol" w:hAnsi="Symbol" w:hint="default"/>
      </w:rPr>
    </w:lvl>
    <w:lvl w:ilvl="7" w:tplc="10090003" w:tentative="1">
      <w:start w:val="1"/>
      <w:numFmt w:val="bullet"/>
      <w:lvlText w:val="o"/>
      <w:lvlJc w:val="left"/>
      <w:pPr>
        <w:ind w:left="4500" w:hanging="360"/>
      </w:pPr>
      <w:rPr>
        <w:rFonts w:ascii="Courier New" w:hAnsi="Courier New" w:cs="Courier New" w:hint="default"/>
      </w:rPr>
    </w:lvl>
    <w:lvl w:ilvl="8" w:tplc="10090005" w:tentative="1">
      <w:start w:val="1"/>
      <w:numFmt w:val="bullet"/>
      <w:lvlText w:val=""/>
      <w:lvlJc w:val="left"/>
      <w:pPr>
        <w:ind w:left="5220" w:hanging="360"/>
      </w:pPr>
      <w:rPr>
        <w:rFonts w:ascii="Wingdings" w:hAnsi="Wingdings" w:hint="default"/>
      </w:rPr>
    </w:lvl>
  </w:abstractNum>
  <w:abstractNum w:abstractNumId="11" w15:restartNumberingAfterBreak="0">
    <w:nsid w:val="4499769F"/>
    <w:multiLevelType w:val="hybridMultilevel"/>
    <w:tmpl w:val="2620E6DE"/>
    <w:lvl w:ilvl="0" w:tplc="F6FCC0D6">
      <w:start w:val="1"/>
      <w:numFmt w:val="bullet"/>
      <w:lvlText w:val=""/>
      <w:lvlJc w:val="left"/>
      <w:pPr>
        <w:tabs>
          <w:tab w:val="num" w:pos="1627"/>
        </w:tabs>
        <w:ind w:left="16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672045"/>
    <w:multiLevelType w:val="hybridMultilevel"/>
    <w:tmpl w:val="AD04E36C"/>
    <w:lvl w:ilvl="0" w:tplc="5CA23522">
      <w:start w:val="1"/>
      <w:numFmt w:val="bullet"/>
      <w:lvlText w:val=""/>
      <w:lvlJc w:val="left"/>
      <w:pPr>
        <w:tabs>
          <w:tab w:val="num" w:pos="1627"/>
        </w:tabs>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3" w15:restartNumberingAfterBreak="0">
    <w:nsid w:val="5AC7520E"/>
    <w:multiLevelType w:val="hybridMultilevel"/>
    <w:tmpl w:val="2DE0507C"/>
    <w:lvl w:ilvl="0" w:tplc="F6FCC0D6">
      <w:start w:val="1"/>
      <w:numFmt w:val="bullet"/>
      <w:lvlText w:val=""/>
      <w:lvlJc w:val="left"/>
      <w:pPr>
        <w:tabs>
          <w:tab w:val="num" w:pos="1627"/>
        </w:tabs>
        <w:ind w:left="16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73349BE"/>
    <w:multiLevelType w:val="multilevel"/>
    <w:tmpl w:val="13EA5B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5" w15:restartNumberingAfterBreak="0">
    <w:nsid w:val="68316299"/>
    <w:multiLevelType w:val="multilevel"/>
    <w:tmpl w:val="B3A8D3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745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0479F2"/>
    <w:multiLevelType w:val="multilevel"/>
    <w:tmpl w:val="509023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8" w15:restartNumberingAfterBreak="0">
    <w:nsid w:val="6A6D21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535ADE"/>
    <w:multiLevelType w:val="hybridMultilevel"/>
    <w:tmpl w:val="A418B9A8"/>
    <w:lvl w:ilvl="0" w:tplc="5CA23522">
      <w:start w:val="1"/>
      <w:numFmt w:val="bullet"/>
      <w:lvlText w:val=""/>
      <w:lvlJc w:val="left"/>
      <w:pPr>
        <w:tabs>
          <w:tab w:val="num" w:pos="1627"/>
        </w:tabs>
        <w:ind w:left="16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655634"/>
    <w:multiLevelType w:val="multilevel"/>
    <w:tmpl w:val="4C6AE3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1" w15:restartNumberingAfterBreak="0">
    <w:nsid w:val="7DF03520"/>
    <w:multiLevelType w:val="multilevel"/>
    <w:tmpl w:val="5F000D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1"/>
  </w:num>
  <w:num w:numId="2">
    <w:abstractNumId w:val="20"/>
  </w:num>
  <w:num w:numId="3">
    <w:abstractNumId w:val="17"/>
  </w:num>
  <w:num w:numId="4">
    <w:abstractNumId w:val="14"/>
  </w:num>
  <w:num w:numId="5">
    <w:abstractNumId w:val="21"/>
  </w:num>
  <w:num w:numId="6">
    <w:abstractNumId w:val="7"/>
  </w:num>
  <w:num w:numId="7">
    <w:abstractNumId w:val="7"/>
  </w:num>
  <w:num w:numId="8">
    <w:abstractNumId w:val="0"/>
  </w:num>
  <w:num w:numId="9">
    <w:abstractNumId w:val="2"/>
  </w:num>
  <w:num w:numId="10">
    <w:abstractNumId w:val="16"/>
  </w:num>
  <w:num w:numId="11">
    <w:abstractNumId w:val="5"/>
  </w:num>
  <w:num w:numId="12">
    <w:abstractNumId w:val="8"/>
  </w:num>
  <w:num w:numId="13">
    <w:abstractNumId w:val="18"/>
  </w:num>
  <w:num w:numId="14">
    <w:abstractNumId w:val="9"/>
  </w:num>
  <w:num w:numId="15">
    <w:abstractNumId w:val="6"/>
  </w:num>
  <w:num w:numId="16">
    <w:abstractNumId w:val="15"/>
  </w:num>
  <w:num w:numId="17">
    <w:abstractNumId w:val="4"/>
  </w:num>
  <w:num w:numId="18">
    <w:abstractNumId w:val="3"/>
  </w:num>
  <w:num w:numId="19">
    <w:abstractNumId w:val="13"/>
  </w:num>
  <w:num w:numId="20">
    <w:abstractNumId w:val="10"/>
  </w:num>
  <w:num w:numId="21">
    <w:abstractNumId w:val="11"/>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1B85"/>
    <w:rsid w:val="00065426"/>
    <w:rsid w:val="00081B85"/>
    <w:rsid w:val="000D7630"/>
    <w:rsid w:val="00127D8E"/>
    <w:rsid w:val="001E2156"/>
    <w:rsid w:val="002B2A27"/>
    <w:rsid w:val="002B710F"/>
    <w:rsid w:val="004864E8"/>
    <w:rsid w:val="004E55EC"/>
    <w:rsid w:val="005116E0"/>
    <w:rsid w:val="005609B2"/>
    <w:rsid w:val="00575B81"/>
    <w:rsid w:val="00660C78"/>
    <w:rsid w:val="007879E5"/>
    <w:rsid w:val="008517AC"/>
    <w:rsid w:val="00970C86"/>
    <w:rsid w:val="009F4D6C"/>
    <w:rsid w:val="00CC231F"/>
    <w:rsid w:val="00D83BE6"/>
    <w:rsid w:val="00DB6E7D"/>
    <w:rsid w:val="00DE6E81"/>
    <w:rsid w:val="00DF4DDF"/>
    <w:rsid w:val="00E27649"/>
    <w:rsid w:val="00E86432"/>
    <w:rsid w:val="00F92C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5:chartTrackingRefBased/>
  <w15:docId w15:val="{91AA037E-1CD6-4262-BB7F-4E8D9464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hAnsi="Georgia"/>
      <w:kern w:val="24"/>
      <w:sz w:val="24"/>
      <w:lang w:val="en-US" w:eastAsia="en-US"/>
    </w:rPr>
  </w:style>
  <w:style w:type="paragraph" w:styleId="Heading1">
    <w:name w:val="heading 1"/>
    <w:basedOn w:val="Normal"/>
    <w:next w:val="Normal"/>
    <w:autoRedefine/>
    <w:qFormat/>
    <w:rsid w:val="00127D8E"/>
    <w:pPr>
      <w:keepNext/>
      <w:numPr>
        <w:numId w:val="6"/>
      </w:numPr>
      <w:spacing w:after="240"/>
      <w:outlineLvl w:val="0"/>
    </w:pPr>
    <w:rPr>
      <w:rFonts w:ascii="Arial" w:hAnsi="Arial" w:cs="Arial"/>
      <w:b/>
      <w:kern w:val="32"/>
      <w:sz w:val="28"/>
    </w:rPr>
  </w:style>
  <w:style w:type="paragraph" w:styleId="Heading2">
    <w:name w:val="heading 2"/>
    <w:basedOn w:val="Normal"/>
    <w:next w:val="Normal"/>
    <w:qFormat/>
    <w:pPr>
      <w:keepNext/>
      <w:numPr>
        <w:ilvl w:val="1"/>
        <w:numId w:val="6"/>
      </w:numPr>
      <w:spacing w:after="240"/>
      <w:outlineLvl w:val="1"/>
    </w:pPr>
    <w:rPr>
      <w:rFonts w:ascii="Verdana" w:hAnsi="Verdana"/>
      <w:snapToGrid w:val="0"/>
    </w:rPr>
  </w:style>
  <w:style w:type="paragraph" w:styleId="Heading3">
    <w:name w:val="heading 3"/>
    <w:basedOn w:val="Normal"/>
    <w:next w:val="Normal"/>
    <w:qFormat/>
    <w:pPr>
      <w:keepNext/>
      <w:numPr>
        <w:ilvl w:val="2"/>
        <w:numId w:val="6"/>
      </w:numPr>
      <w:spacing w:after="240"/>
      <w:outlineLvl w:val="2"/>
    </w:pPr>
  </w:style>
  <w:style w:type="paragraph" w:styleId="Heading4">
    <w:name w:val="heading 4"/>
    <w:basedOn w:val="Normal"/>
    <w:next w:val="Normal"/>
    <w:qFormat/>
    <w:pPr>
      <w:keepNext/>
      <w:numPr>
        <w:ilvl w:val="3"/>
        <w:numId w:val="6"/>
      </w:numPr>
      <w:spacing w:after="240"/>
      <w:outlineLvl w:val="3"/>
    </w:pPr>
    <w:rPr>
      <w:rFonts w:ascii="Verdana" w:hAnsi="Verdana"/>
      <w:snapToGrid w:val="0"/>
    </w:rPr>
  </w:style>
  <w:style w:type="paragraph" w:styleId="Heading5">
    <w:name w:val="heading 5"/>
    <w:basedOn w:val="Normal"/>
    <w:next w:val="Normal"/>
    <w:qFormat/>
    <w:pPr>
      <w:keepNext/>
      <w:numPr>
        <w:ilvl w:val="4"/>
        <w:numId w:val="6"/>
      </w:numPr>
      <w:spacing w:after="240"/>
      <w:outlineLvl w:val="4"/>
    </w:pPr>
    <w:rPr>
      <w:rFonts w:ascii="Verdana" w:hAnsi="Verdana"/>
      <w:i/>
      <w:snapToGrid w:val="0"/>
    </w:rPr>
  </w:style>
  <w:style w:type="paragraph" w:styleId="Heading6">
    <w:name w:val="heading 6"/>
    <w:basedOn w:val="Normal"/>
    <w:next w:val="Normal"/>
    <w:qFormat/>
    <w:pPr>
      <w:keepNext/>
      <w:numPr>
        <w:ilvl w:val="5"/>
        <w:numId w:val="6"/>
      </w:numPr>
      <w:spacing w:after="240"/>
      <w:outlineLvl w:val="5"/>
    </w:pPr>
    <w:rPr>
      <w:snapToGrid w:val="0"/>
    </w:rPr>
  </w:style>
  <w:style w:type="paragraph" w:styleId="Heading7">
    <w:name w:val="heading 7"/>
    <w:basedOn w:val="Normal"/>
    <w:next w:val="Normal"/>
    <w:qFormat/>
    <w:pPr>
      <w:keepNext/>
      <w:outlineLvl w:val="6"/>
    </w:pPr>
    <w:rPr>
      <w:rFonts w:ascii="Verdana" w:hAnsi="Verdana"/>
      <w:b/>
      <w:sz w:val="28"/>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jc w:val="center"/>
      <w:outlineLvl w:val="8"/>
    </w:pPr>
    <w:rPr>
      <w:b/>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kern w:val="0"/>
    </w:rPr>
  </w:style>
  <w:style w:type="character" w:styleId="CommentReference">
    <w:name w:val="annotation reference"/>
    <w:uiPriority w:val="99"/>
    <w:semiHidden/>
    <w:unhideWhenUsed/>
    <w:rsid w:val="002B710F"/>
    <w:rPr>
      <w:sz w:val="16"/>
      <w:szCs w:val="16"/>
    </w:rPr>
  </w:style>
  <w:style w:type="paragraph" w:styleId="CommentText">
    <w:name w:val="annotation text"/>
    <w:basedOn w:val="Normal"/>
    <w:link w:val="CommentTextChar"/>
    <w:uiPriority w:val="99"/>
    <w:semiHidden/>
    <w:unhideWhenUsed/>
    <w:rsid w:val="002B710F"/>
    <w:rPr>
      <w:sz w:val="20"/>
    </w:rPr>
  </w:style>
  <w:style w:type="character" w:customStyle="1" w:styleId="CommentTextChar">
    <w:name w:val="Comment Text Char"/>
    <w:link w:val="CommentText"/>
    <w:uiPriority w:val="99"/>
    <w:semiHidden/>
    <w:rsid w:val="002B710F"/>
    <w:rPr>
      <w:rFonts w:ascii="Georgia" w:hAnsi="Georgia"/>
      <w:kern w:val="24"/>
    </w:rPr>
  </w:style>
  <w:style w:type="paragraph" w:styleId="CommentSubject">
    <w:name w:val="annotation subject"/>
    <w:basedOn w:val="CommentText"/>
    <w:next w:val="CommentText"/>
    <w:link w:val="CommentSubjectChar"/>
    <w:uiPriority w:val="99"/>
    <w:semiHidden/>
    <w:unhideWhenUsed/>
    <w:rsid w:val="002B710F"/>
    <w:rPr>
      <w:b/>
      <w:bCs/>
    </w:rPr>
  </w:style>
  <w:style w:type="character" w:customStyle="1" w:styleId="CommentSubjectChar">
    <w:name w:val="Comment Subject Char"/>
    <w:link w:val="CommentSubject"/>
    <w:uiPriority w:val="99"/>
    <w:semiHidden/>
    <w:rsid w:val="002B710F"/>
    <w:rPr>
      <w:rFonts w:ascii="Georgia" w:hAnsi="Georgia"/>
      <w:b/>
      <w:bCs/>
      <w:kern w:val="24"/>
    </w:rPr>
  </w:style>
  <w:style w:type="paragraph" w:styleId="BalloonText">
    <w:name w:val="Balloon Text"/>
    <w:basedOn w:val="Normal"/>
    <w:link w:val="BalloonTextChar"/>
    <w:uiPriority w:val="99"/>
    <w:semiHidden/>
    <w:unhideWhenUsed/>
    <w:rsid w:val="002B710F"/>
    <w:rPr>
      <w:rFonts w:ascii="Tahoma" w:hAnsi="Tahoma" w:cs="Tahoma"/>
      <w:sz w:val="16"/>
      <w:szCs w:val="16"/>
    </w:rPr>
  </w:style>
  <w:style w:type="character" w:customStyle="1" w:styleId="BalloonTextChar">
    <w:name w:val="Balloon Text Char"/>
    <w:link w:val="BalloonText"/>
    <w:uiPriority w:val="99"/>
    <w:semiHidden/>
    <w:rsid w:val="002B710F"/>
    <w:rPr>
      <w:rFonts w:ascii="Tahoma" w:hAnsi="Tahoma" w:cs="Tahoma"/>
      <w:kern w:val="24"/>
      <w:sz w:val="16"/>
      <w:szCs w:val="16"/>
    </w:rPr>
  </w:style>
  <w:style w:type="character" w:styleId="Hyperlink">
    <w:name w:val="Hyperlink"/>
    <w:uiPriority w:val="99"/>
    <w:unhideWhenUsed/>
    <w:rsid w:val="008517AC"/>
    <w:rPr>
      <w:color w:val="0000FF"/>
      <w:u w:val="single"/>
    </w:rPr>
  </w:style>
  <w:style w:type="paragraph" w:styleId="ListParagraph">
    <w:name w:val="List Paragraph"/>
    <w:basedOn w:val="Normal"/>
    <w:uiPriority w:val="34"/>
    <w:qFormat/>
    <w:rsid w:val="00DB6E7D"/>
    <w:pPr>
      <w:ind w:left="720"/>
    </w:pPr>
  </w:style>
  <w:style w:type="table" w:styleId="TableGrid">
    <w:name w:val="Table Grid"/>
    <w:basedOn w:val="TableNormal"/>
    <w:uiPriority w:val="59"/>
    <w:rsid w:val="00F92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ansfusionmedicine.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eb%20Pages\PBCO2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PBCO2web</Template>
  <TotalTime>0</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QCA.020 - Medical Chief Consultation Protocol</vt:lpstr>
    </vt:vector>
  </TitlesOfParts>
  <Company>The Ottawa Hospital</Company>
  <LinksUpToDate>false</LinksUpToDate>
  <CharactersWithSpaces>7035</CharactersWithSpaces>
  <SharedDoc>false</SharedDoc>
  <HLinks>
    <vt:vector size="6" baseType="variant">
      <vt:variant>
        <vt:i4>7536765</vt:i4>
      </vt:variant>
      <vt:variant>
        <vt:i4>0</vt:i4>
      </vt:variant>
      <vt:variant>
        <vt:i4>0</vt:i4>
      </vt:variant>
      <vt:variant>
        <vt:i4>5</vt:i4>
      </vt:variant>
      <vt:variant>
        <vt:lpwstr>http://www.transfusionmedicine.ca/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QCA.020 - Medical Chief Consultation Protocol</dc:title>
  <dc:subject/>
  <dc:creator>Transfusion Ontairo Program Office</dc:creator>
  <cp:keywords/>
  <cp:lastModifiedBy>Nesrallah, Heather</cp:lastModifiedBy>
  <cp:revision>2</cp:revision>
  <cp:lastPrinted>2003-04-25T13:50:00Z</cp:lastPrinted>
  <dcterms:created xsi:type="dcterms:W3CDTF">2019-01-22T14:19:00Z</dcterms:created>
  <dcterms:modified xsi:type="dcterms:W3CDTF">2019-01-22T14:19:00Z</dcterms:modified>
</cp:coreProperties>
</file>