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B1D" w:rsidRDefault="00C06B1D">
      <w:pPr>
        <w:rPr>
          <w:rFonts w:ascii="Arial" w:hAnsi="Arial"/>
          <w:sz w:val="24"/>
        </w:rPr>
      </w:pPr>
      <w:bookmarkStart w:id="0" w:name="_GoBack"/>
      <w:bookmarkEnd w:id="0"/>
    </w:p>
    <w:p w:rsidR="00C06B1D" w:rsidRDefault="00C06B1D">
      <w:pPr>
        <w:numPr>
          <w:ilvl w:val="0"/>
          <w:numId w:val="1"/>
        </w:numPr>
        <w:rPr>
          <w:rFonts w:ascii="Arial" w:hAnsi="Arial"/>
          <w:b/>
          <w:sz w:val="28"/>
        </w:rPr>
      </w:pPr>
      <w:r>
        <w:rPr>
          <w:rFonts w:ascii="Arial" w:hAnsi="Arial"/>
          <w:b/>
          <w:sz w:val="28"/>
        </w:rPr>
        <w:t>Principle</w:t>
      </w:r>
    </w:p>
    <w:p w:rsidR="00C06B1D" w:rsidRDefault="00C06B1D">
      <w:pPr>
        <w:rPr>
          <w:rFonts w:ascii="Arial" w:hAnsi="Arial"/>
          <w:b/>
          <w:sz w:val="24"/>
        </w:rPr>
      </w:pPr>
    </w:p>
    <w:p w:rsidR="00C06B1D" w:rsidRDefault="00C06B1D">
      <w:pPr>
        <w:ind w:left="720"/>
        <w:rPr>
          <w:rFonts w:ascii="Arial" w:hAnsi="Arial"/>
          <w:sz w:val="24"/>
        </w:rPr>
      </w:pPr>
      <w:r>
        <w:rPr>
          <w:rFonts w:ascii="Arial" w:hAnsi="Arial"/>
          <w:sz w:val="24"/>
        </w:rPr>
        <w:t>Standards and licensing require that TML equipment be cleaned regularly and maintained in good operating condition.</w:t>
      </w:r>
    </w:p>
    <w:p w:rsidR="00C06B1D" w:rsidRDefault="00C06B1D">
      <w:pPr>
        <w:ind w:left="720"/>
        <w:rPr>
          <w:rFonts w:ascii="Arial" w:hAnsi="Arial"/>
          <w:sz w:val="24"/>
        </w:rPr>
      </w:pPr>
    </w:p>
    <w:p w:rsidR="00C06B1D" w:rsidRDefault="00C06B1D">
      <w:pPr>
        <w:numPr>
          <w:ilvl w:val="0"/>
          <w:numId w:val="1"/>
        </w:numPr>
        <w:rPr>
          <w:rFonts w:ascii="Arial" w:hAnsi="Arial"/>
          <w:b/>
          <w:sz w:val="28"/>
        </w:rPr>
      </w:pPr>
      <w:r>
        <w:rPr>
          <w:rFonts w:ascii="Arial" w:hAnsi="Arial"/>
          <w:b/>
          <w:sz w:val="28"/>
        </w:rPr>
        <w:t>Scope and Related Policies</w:t>
      </w:r>
    </w:p>
    <w:p w:rsidR="00C06B1D" w:rsidRDefault="00C06B1D">
      <w:pPr>
        <w:rPr>
          <w:rFonts w:ascii="Arial" w:hAnsi="Arial"/>
          <w:b/>
          <w:sz w:val="28"/>
        </w:rPr>
      </w:pPr>
    </w:p>
    <w:p w:rsidR="00C06B1D" w:rsidRDefault="00C06B1D">
      <w:pPr>
        <w:numPr>
          <w:ilvl w:val="1"/>
          <w:numId w:val="1"/>
        </w:numPr>
        <w:rPr>
          <w:rFonts w:ascii="Arial" w:hAnsi="Arial"/>
          <w:sz w:val="24"/>
        </w:rPr>
      </w:pPr>
      <w:r>
        <w:rPr>
          <w:rFonts w:ascii="Arial" w:hAnsi="Arial"/>
          <w:sz w:val="24"/>
        </w:rPr>
        <w:t>Annual maintenance checks may be performed by an outside</w:t>
      </w:r>
      <w:r w:rsidR="00151CE5">
        <w:rPr>
          <w:rFonts w:ascii="Arial" w:hAnsi="Arial"/>
          <w:sz w:val="24"/>
        </w:rPr>
        <w:t xml:space="preserve"> contractor or another division</w:t>
      </w:r>
      <w:r>
        <w:rPr>
          <w:rFonts w:ascii="Arial" w:hAnsi="Arial"/>
          <w:sz w:val="24"/>
        </w:rPr>
        <w:t xml:space="preserve"> </w:t>
      </w:r>
      <w:r w:rsidR="00151CE5">
        <w:rPr>
          <w:rFonts w:ascii="Arial" w:hAnsi="Arial"/>
          <w:sz w:val="24"/>
        </w:rPr>
        <w:t>(</w:t>
      </w:r>
      <w:r>
        <w:rPr>
          <w:rFonts w:ascii="Arial" w:hAnsi="Arial"/>
          <w:sz w:val="24"/>
        </w:rPr>
        <w:t>e.g. Biomedical Engineering</w:t>
      </w:r>
      <w:r w:rsidR="00151CE5">
        <w:rPr>
          <w:rFonts w:ascii="Arial" w:hAnsi="Arial"/>
          <w:sz w:val="24"/>
        </w:rPr>
        <w:t>)</w:t>
      </w:r>
      <w:r>
        <w:rPr>
          <w:rFonts w:ascii="Arial" w:hAnsi="Arial"/>
          <w:sz w:val="24"/>
        </w:rPr>
        <w:t>.</w:t>
      </w:r>
    </w:p>
    <w:p w:rsidR="00C06B1D" w:rsidRDefault="00C06B1D" w:rsidP="00C06B1D">
      <w:pPr>
        <w:ind w:left="720"/>
        <w:rPr>
          <w:rFonts w:ascii="Arial" w:hAnsi="Arial"/>
          <w:sz w:val="24"/>
        </w:rPr>
      </w:pPr>
    </w:p>
    <w:p w:rsidR="00C06B1D" w:rsidRDefault="00C06B1D">
      <w:pPr>
        <w:numPr>
          <w:ilvl w:val="1"/>
          <w:numId w:val="1"/>
        </w:numPr>
        <w:rPr>
          <w:rFonts w:ascii="Arial" w:hAnsi="Arial"/>
          <w:sz w:val="24"/>
        </w:rPr>
      </w:pPr>
      <w:r>
        <w:rPr>
          <w:rFonts w:ascii="Arial" w:hAnsi="Arial"/>
          <w:sz w:val="24"/>
        </w:rPr>
        <w:t>Records of cleaning and maintenance must be retained for five years.</w:t>
      </w:r>
      <w:r w:rsidRPr="00C06B1D">
        <w:rPr>
          <w:rFonts w:ascii="Arial" w:hAnsi="Arial"/>
          <w:sz w:val="24"/>
          <w:szCs w:val="24"/>
          <w:vertAlign w:val="superscript"/>
        </w:rPr>
        <w:t>9.1</w:t>
      </w:r>
    </w:p>
    <w:p w:rsidR="00C06B1D" w:rsidRDefault="00C06B1D">
      <w:pPr>
        <w:rPr>
          <w:rFonts w:ascii="Arial" w:hAnsi="Arial"/>
          <w:sz w:val="24"/>
        </w:rPr>
      </w:pPr>
    </w:p>
    <w:p w:rsidR="00C06B1D" w:rsidRDefault="00C06B1D">
      <w:pPr>
        <w:numPr>
          <w:ilvl w:val="0"/>
          <w:numId w:val="1"/>
        </w:numPr>
        <w:rPr>
          <w:rFonts w:ascii="Arial" w:hAnsi="Arial"/>
          <w:b/>
          <w:sz w:val="28"/>
        </w:rPr>
      </w:pPr>
      <w:r>
        <w:rPr>
          <w:rFonts w:ascii="Arial" w:hAnsi="Arial"/>
          <w:b/>
          <w:sz w:val="28"/>
        </w:rPr>
        <w:t>Specimen – N/A</w:t>
      </w:r>
    </w:p>
    <w:p w:rsidR="00C06B1D" w:rsidRDefault="00C06B1D">
      <w:pPr>
        <w:ind w:left="720"/>
        <w:rPr>
          <w:rFonts w:ascii="Arial" w:hAnsi="Arial"/>
          <w:sz w:val="24"/>
        </w:rPr>
      </w:pPr>
    </w:p>
    <w:p w:rsidR="00C06B1D" w:rsidRDefault="00C06B1D">
      <w:pPr>
        <w:numPr>
          <w:ilvl w:val="0"/>
          <w:numId w:val="1"/>
        </w:numPr>
        <w:rPr>
          <w:rFonts w:ascii="Arial" w:hAnsi="Arial"/>
          <w:b/>
          <w:sz w:val="28"/>
        </w:rPr>
      </w:pPr>
      <w:r>
        <w:rPr>
          <w:rFonts w:ascii="Arial" w:hAnsi="Arial"/>
          <w:b/>
          <w:sz w:val="28"/>
        </w:rPr>
        <w:t>Materials</w:t>
      </w:r>
    </w:p>
    <w:p w:rsidR="00C06B1D" w:rsidRDefault="00C06B1D">
      <w:pPr>
        <w:rPr>
          <w:rFonts w:ascii="Arial" w:hAnsi="Arial"/>
          <w:sz w:val="24"/>
        </w:rPr>
      </w:pPr>
    </w:p>
    <w:p w:rsidR="00C06B1D" w:rsidRDefault="00C06B1D">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 xml:space="preserve">Microscope </w:t>
      </w:r>
    </w:p>
    <w:p w:rsidR="00C06B1D" w:rsidRDefault="00C06B1D">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C06B1D" w:rsidRDefault="00C06B1D">
      <w:pPr>
        <w:ind w:left="720"/>
        <w:rPr>
          <w:rFonts w:ascii="Arial" w:hAnsi="Arial"/>
          <w:spacing w:val="-2"/>
          <w:sz w:val="24"/>
          <w:lang w:val="en-GB"/>
        </w:rPr>
      </w:pPr>
      <w:r>
        <w:rPr>
          <w:rFonts w:ascii="Arial" w:hAnsi="Arial"/>
          <w:b/>
          <w:sz w:val="24"/>
        </w:rPr>
        <w:t>Supplies:</w:t>
      </w:r>
      <w:r>
        <w:rPr>
          <w:rFonts w:ascii="Arial" w:hAnsi="Arial"/>
          <w:sz w:val="24"/>
        </w:rPr>
        <w:tab/>
      </w:r>
      <w:r>
        <w:rPr>
          <w:rFonts w:ascii="Arial" w:hAnsi="Arial"/>
          <w:sz w:val="24"/>
        </w:rPr>
        <w:tab/>
      </w:r>
      <w:r>
        <w:rPr>
          <w:rFonts w:ascii="Arial" w:hAnsi="Arial"/>
          <w:spacing w:val="-2"/>
          <w:sz w:val="24"/>
          <w:lang w:val="en-GB"/>
        </w:rPr>
        <w:t>Non-corrosive Disinfectant Agent</w:t>
      </w:r>
    </w:p>
    <w:p w:rsidR="00C06B1D" w:rsidRDefault="00C06B1D">
      <w:pPr>
        <w:ind w:left="2160" w:firstLine="720"/>
        <w:rPr>
          <w:rFonts w:ascii="Arial" w:hAnsi="Arial"/>
          <w:spacing w:val="-2"/>
          <w:sz w:val="24"/>
          <w:lang w:val="en-GB"/>
        </w:rPr>
      </w:pPr>
      <w:r>
        <w:rPr>
          <w:rFonts w:ascii="Arial" w:hAnsi="Arial"/>
          <w:spacing w:val="-2"/>
          <w:sz w:val="24"/>
          <w:lang w:val="en-GB"/>
        </w:rPr>
        <w:t>Lens cleansing wipes</w:t>
      </w:r>
    </w:p>
    <w:p w:rsidR="00C06B1D" w:rsidRDefault="00C06B1D">
      <w:pPr>
        <w:ind w:left="2160" w:firstLine="720"/>
        <w:rPr>
          <w:rFonts w:ascii="Arial" w:hAnsi="Arial"/>
          <w:sz w:val="24"/>
        </w:rPr>
      </w:pPr>
      <w:r>
        <w:rPr>
          <w:rFonts w:ascii="Arial" w:hAnsi="Arial"/>
          <w:spacing w:val="-2"/>
          <w:sz w:val="24"/>
          <w:lang w:val="en-GB"/>
        </w:rPr>
        <w:t>Microscope Maintenance (QCA.010F)</w:t>
      </w:r>
    </w:p>
    <w:p w:rsidR="00C06B1D" w:rsidRDefault="00C06B1D">
      <w:pPr>
        <w:ind w:left="720"/>
        <w:rPr>
          <w:rFonts w:ascii="Arial" w:hAnsi="Arial"/>
          <w:sz w:val="24"/>
        </w:rPr>
      </w:pPr>
      <w:r>
        <w:rPr>
          <w:rFonts w:ascii="Arial" w:hAnsi="Arial"/>
          <w:sz w:val="24"/>
        </w:rPr>
        <w:tab/>
      </w:r>
      <w:r>
        <w:rPr>
          <w:rFonts w:ascii="Arial" w:hAnsi="Arial"/>
          <w:sz w:val="24"/>
        </w:rPr>
        <w:tab/>
      </w:r>
    </w:p>
    <w:p w:rsidR="00C06B1D" w:rsidRDefault="00C06B1D">
      <w:pPr>
        <w:numPr>
          <w:ilvl w:val="0"/>
          <w:numId w:val="1"/>
        </w:numPr>
        <w:rPr>
          <w:rFonts w:ascii="Arial" w:hAnsi="Arial"/>
          <w:b/>
          <w:sz w:val="28"/>
        </w:rPr>
      </w:pPr>
      <w:r>
        <w:rPr>
          <w:rFonts w:ascii="Arial" w:hAnsi="Arial"/>
          <w:b/>
          <w:sz w:val="28"/>
        </w:rPr>
        <w:t>Quality Control – N/A</w:t>
      </w:r>
    </w:p>
    <w:p w:rsidR="00C06B1D" w:rsidRDefault="00C06B1D">
      <w:pPr>
        <w:rPr>
          <w:rFonts w:ascii="Arial" w:hAnsi="Arial"/>
          <w:b/>
          <w:sz w:val="28"/>
        </w:rPr>
      </w:pPr>
    </w:p>
    <w:p w:rsidR="00C06B1D" w:rsidRDefault="00C06B1D">
      <w:pPr>
        <w:numPr>
          <w:ilvl w:val="0"/>
          <w:numId w:val="1"/>
        </w:numPr>
        <w:rPr>
          <w:rFonts w:ascii="Arial" w:hAnsi="Arial"/>
          <w:b/>
          <w:sz w:val="28"/>
        </w:rPr>
      </w:pPr>
      <w:r>
        <w:rPr>
          <w:rFonts w:ascii="Arial" w:hAnsi="Arial"/>
          <w:b/>
          <w:sz w:val="28"/>
        </w:rPr>
        <w:t>Procedure</w:t>
      </w:r>
    </w:p>
    <w:p w:rsidR="00C06B1D" w:rsidRDefault="00C06B1D">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661"/>
      </w:tblGrid>
      <w:tr w:rsidR="00151CE5" w:rsidRPr="00EF2134" w:rsidTr="00EF2134">
        <w:trPr>
          <w:trHeight w:val="315"/>
        </w:trPr>
        <w:tc>
          <w:tcPr>
            <w:tcW w:w="3195" w:type="dxa"/>
            <w:vMerge w:val="restart"/>
            <w:shd w:val="clear" w:color="auto" w:fill="auto"/>
          </w:tcPr>
          <w:p w:rsidR="00151CE5" w:rsidRPr="00EF2134" w:rsidRDefault="00151CE5" w:rsidP="00EF2134">
            <w:pPr>
              <w:numPr>
                <w:ilvl w:val="1"/>
                <w:numId w:val="1"/>
              </w:numPr>
              <w:tabs>
                <w:tab w:val="clear" w:pos="1440"/>
              </w:tabs>
              <w:suppressAutoHyphens/>
              <w:ind w:left="720"/>
              <w:rPr>
                <w:rFonts w:ascii="Arial" w:hAnsi="Arial"/>
                <w:spacing w:val="-2"/>
                <w:sz w:val="24"/>
                <w:lang w:val="en-GB"/>
              </w:rPr>
            </w:pPr>
            <w:r w:rsidRPr="00EF2134">
              <w:rPr>
                <w:rFonts w:ascii="Arial" w:hAnsi="Arial"/>
                <w:spacing w:val="-2"/>
                <w:sz w:val="24"/>
                <w:lang w:val="en-GB"/>
              </w:rPr>
              <w:t>Daily or as required</w:t>
            </w:r>
          </w:p>
          <w:p w:rsidR="00151CE5" w:rsidRPr="00EF2134" w:rsidRDefault="00151CE5">
            <w:pPr>
              <w:rPr>
                <w:rFonts w:ascii="Arial" w:hAnsi="Arial"/>
                <w:b/>
                <w:sz w:val="28"/>
              </w:rPr>
            </w:pPr>
          </w:p>
        </w:tc>
        <w:tc>
          <w:tcPr>
            <w:tcW w:w="5661" w:type="dxa"/>
            <w:shd w:val="clear" w:color="auto" w:fill="auto"/>
          </w:tcPr>
          <w:p w:rsidR="00151CE5" w:rsidRPr="00EF2134" w:rsidRDefault="00151CE5" w:rsidP="00EF2134">
            <w:pPr>
              <w:numPr>
                <w:ilvl w:val="2"/>
                <w:numId w:val="1"/>
              </w:numPr>
              <w:tabs>
                <w:tab w:val="clear" w:pos="2160"/>
              </w:tabs>
              <w:suppressAutoHyphens/>
              <w:ind w:left="765"/>
              <w:rPr>
                <w:rFonts w:ascii="Arial" w:hAnsi="Arial"/>
                <w:spacing w:val="-2"/>
                <w:sz w:val="24"/>
                <w:lang w:val="en-GB"/>
              </w:rPr>
            </w:pPr>
            <w:r w:rsidRPr="00EF2134">
              <w:rPr>
                <w:rFonts w:ascii="Arial" w:hAnsi="Arial"/>
                <w:spacing w:val="-2"/>
                <w:sz w:val="24"/>
                <w:lang w:val="en-GB"/>
              </w:rPr>
              <w:t>If spillage occurs on stage or body, wipe clean with a cloth dampened with a non-corrosive disinfectant agent.</w:t>
            </w:r>
          </w:p>
        </w:tc>
      </w:tr>
      <w:tr w:rsidR="00151CE5" w:rsidRPr="00EF2134" w:rsidTr="00EF2134">
        <w:trPr>
          <w:trHeight w:val="330"/>
        </w:trPr>
        <w:tc>
          <w:tcPr>
            <w:tcW w:w="3195" w:type="dxa"/>
            <w:vMerge/>
            <w:shd w:val="clear" w:color="auto" w:fill="auto"/>
          </w:tcPr>
          <w:p w:rsidR="00151CE5" w:rsidRPr="00EF2134" w:rsidRDefault="00151CE5" w:rsidP="00EF2134">
            <w:pPr>
              <w:numPr>
                <w:ilvl w:val="1"/>
                <w:numId w:val="1"/>
              </w:numPr>
              <w:tabs>
                <w:tab w:val="clear" w:pos="1440"/>
              </w:tabs>
              <w:suppressAutoHyphens/>
              <w:ind w:left="720"/>
              <w:rPr>
                <w:rFonts w:ascii="Arial" w:hAnsi="Arial"/>
                <w:spacing w:val="-2"/>
                <w:sz w:val="24"/>
                <w:lang w:val="en-GB"/>
              </w:rPr>
            </w:pPr>
          </w:p>
        </w:tc>
        <w:tc>
          <w:tcPr>
            <w:tcW w:w="5661" w:type="dxa"/>
            <w:shd w:val="clear" w:color="auto" w:fill="auto"/>
          </w:tcPr>
          <w:p w:rsidR="00151CE5" w:rsidRPr="00EF2134" w:rsidRDefault="00151CE5" w:rsidP="00EF2134">
            <w:pPr>
              <w:numPr>
                <w:ilvl w:val="2"/>
                <w:numId w:val="1"/>
              </w:numPr>
              <w:tabs>
                <w:tab w:val="clear" w:pos="2160"/>
              </w:tabs>
              <w:suppressAutoHyphens/>
              <w:ind w:left="765"/>
              <w:rPr>
                <w:rFonts w:ascii="Arial" w:hAnsi="Arial"/>
                <w:b/>
                <w:sz w:val="28"/>
                <w:lang w:val="en-GB"/>
              </w:rPr>
            </w:pPr>
            <w:r w:rsidRPr="00EF2134">
              <w:rPr>
                <w:rFonts w:ascii="Arial" w:hAnsi="Arial"/>
                <w:spacing w:val="-2"/>
                <w:sz w:val="24"/>
                <w:lang w:val="en-GB"/>
              </w:rPr>
              <w:t>Keep free of dust (cloth dampened with water).</w:t>
            </w:r>
          </w:p>
        </w:tc>
      </w:tr>
      <w:tr w:rsidR="00151CE5" w:rsidRPr="00EF2134" w:rsidTr="00EF2134">
        <w:trPr>
          <w:trHeight w:val="70"/>
        </w:trPr>
        <w:tc>
          <w:tcPr>
            <w:tcW w:w="3195" w:type="dxa"/>
            <w:shd w:val="clear" w:color="auto" w:fill="auto"/>
          </w:tcPr>
          <w:p w:rsidR="00151CE5" w:rsidRPr="00EF2134" w:rsidRDefault="00151CE5" w:rsidP="00EF2134">
            <w:pPr>
              <w:pStyle w:val="Header"/>
              <w:numPr>
                <w:ilvl w:val="1"/>
                <w:numId w:val="1"/>
              </w:numPr>
              <w:tabs>
                <w:tab w:val="clear" w:pos="1440"/>
                <w:tab w:val="clear" w:pos="4320"/>
                <w:tab w:val="clear" w:pos="8640"/>
              </w:tabs>
              <w:suppressAutoHyphens/>
              <w:spacing w:line="228" w:lineRule="auto"/>
              <w:ind w:left="720"/>
              <w:rPr>
                <w:rFonts w:ascii="Arial" w:hAnsi="Arial"/>
                <w:spacing w:val="-2"/>
                <w:sz w:val="24"/>
                <w:lang w:val="en-GB"/>
              </w:rPr>
            </w:pPr>
            <w:r w:rsidRPr="00EF2134">
              <w:rPr>
                <w:rFonts w:ascii="Arial" w:hAnsi="Arial"/>
                <w:spacing w:val="-2"/>
                <w:sz w:val="24"/>
                <w:lang w:val="en-GB"/>
              </w:rPr>
              <w:t>Monthly</w:t>
            </w:r>
          </w:p>
        </w:tc>
        <w:tc>
          <w:tcPr>
            <w:tcW w:w="5661" w:type="dxa"/>
            <w:shd w:val="clear" w:color="auto" w:fill="auto"/>
          </w:tcPr>
          <w:p w:rsidR="00151CE5" w:rsidRPr="00EF2134" w:rsidRDefault="00846281" w:rsidP="00EF2134">
            <w:pPr>
              <w:pStyle w:val="Document1"/>
              <w:keepNext w:val="0"/>
              <w:keepLines w:val="0"/>
              <w:numPr>
                <w:ilvl w:val="2"/>
                <w:numId w:val="1"/>
              </w:numPr>
              <w:tabs>
                <w:tab w:val="clear" w:pos="-720"/>
                <w:tab w:val="clear" w:pos="2160"/>
              </w:tabs>
              <w:spacing w:line="228" w:lineRule="auto"/>
              <w:ind w:left="765"/>
              <w:rPr>
                <w:rFonts w:ascii="Arial" w:hAnsi="Arial"/>
                <w:spacing w:val="-2"/>
                <w:sz w:val="24"/>
                <w:lang w:val="en-GB"/>
              </w:rPr>
            </w:pPr>
            <w:r w:rsidRPr="00EF2134">
              <w:rPr>
                <w:rFonts w:ascii="Arial" w:hAnsi="Arial"/>
                <w:spacing w:val="-2"/>
                <w:sz w:val="24"/>
                <w:lang w:val="en-GB"/>
              </w:rPr>
              <w:t>Clean lenses with alcohol wipe.</w:t>
            </w:r>
          </w:p>
        </w:tc>
      </w:tr>
      <w:tr w:rsidR="00846281" w:rsidRPr="00EF2134" w:rsidTr="00EF2134">
        <w:trPr>
          <w:trHeight w:val="435"/>
        </w:trPr>
        <w:tc>
          <w:tcPr>
            <w:tcW w:w="3195" w:type="dxa"/>
            <w:vMerge w:val="restart"/>
            <w:shd w:val="clear" w:color="auto" w:fill="auto"/>
          </w:tcPr>
          <w:p w:rsidR="00846281" w:rsidRPr="00EF2134" w:rsidRDefault="00846281" w:rsidP="00EF2134">
            <w:pPr>
              <w:numPr>
                <w:ilvl w:val="1"/>
                <w:numId w:val="1"/>
              </w:numPr>
              <w:tabs>
                <w:tab w:val="clear" w:pos="1440"/>
              </w:tabs>
              <w:ind w:left="720"/>
              <w:rPr>
                <w:rFonts w:ascii="Arial" w:hAnsi="Arial"/>
                <w:b/>
                <w:sz w:val="28"/>
              </w:rPr>
            </w:pPr>
            <w:r w:rsidRPr="00EF2134">
              <w:rPr>
                <w:rFonts w:ascii="Arial" w:hAnsi="Arial"/>
                <w:sz w:val="24"/>
              </w:rPr>
              <w:lastRenderedPageBreak/>
              <w:t>Annual</w:t>
            </w:r>
          </w:p>
        </w:tc>
        <w:tc>
          <w:tcPr>
            <w:tcW w:w="5661" w:type="dxa"/>
            <w:shd w:val="clear" w:color="auto" w:fill="auto"/>
          </w:tcPr>
          <w:p w:rsidR="00846281" w:rsidRPr="00EF2134" w:rsidRDefault="00846281" w:rsidP="00EF2134">
            <w:pPr>
              <w:numPr>
                <w:ilvl w:val="2"/>
                <w:numId w:val="1"/>
              </w:numPr>
              <w:tabs>
                <w:tab w:val="clear" w:pos="2160"/>
              </w:tabs>
              <w:spacing w:line="228" w:lineRule="auto"/>
              <w:ind w:left="765"/>
              <w:rPr>
                <w:rFonts w:ascii="Arial" w:hAnsi="Arial"/>
                <w:b/>
                <w:sz w:val="28"/>
              </w:rPr>
            </w:pPr>
            <w:r w:rsidRPr="00EF2134">
              <w:rPr>
                <w:rFonts w:ascii="Arial" w:hAnsi="Arial"/>
                <w:sz w:val="24"/>
              </w:rPr>
              <w:t>Thorough cleaning and conditioning as per manufacturer’s instructions.</w:t>
            </w:r>
          </w:p>
        </w:tc>
      </w:tr>
      <w:tr w:rsidR="00846281" w:rsidRPr="00EF2134" w:rsidTr="00EF2134">
        <w:trPr>
          <w:trHeight w:val="363"/>
        </w:trPr>
        <w:tc>
          <w:tcPr>
            <w:tcW w:w="3195" w:type="dxa"/>
            <w:vMerge/>
            <w:shd w:val="clear" w:color="auto" w:fill="auto"/>
          </w:tcPr>
          <w:p w:rsidR="00846281" w:rsidRPr="00EF2134" w:rsidRDefault="00846281" w:rsidP="00EF2134">
            <w:pPr>
              <w:numPr>
                <w:ilvl w:val="1"/>
                <w:numId w:val="1"/>
              </w:numPr>
              <w:tabs>
                <w:tab w:val="clear" w:pos="1440"/>
              </w:tabs>
              <w:ind w:left="720"/>
              <w:rPr>
                <w:rFonts w:ascii="Arial" w:hAnsi="Arial"/>
                <w:sz w:val="24"/>
              </w:rPr>
            </w:pPr>
          </w:p>
        </w:tc>
        <w:tc>
          <w:tcPr>
            <w:tcW w:w="5661" w:type="dxa"/>
            <w:shd w:val="clear" w:color="auto" w:fill="auto"/>
          </w:tcPr>
          <w:p w:rsidR="00846281" w:rsidRPr="00EF2134" w:rsidRDefault="00846281" w:rsidP="00EF2134">
            <w:pPr>
              <w:numPr>
                <w:ilvl w:val="2"/>
                <w:numId w:val="1"/>
              </w:numPr>
              <w:tabs>
                <w:tab w:val="clear" w:pos="2160"/>
              </w:tabs>
              <w:spacing w:line="228" w:lineRule="auto"/>
              <w:ind w:left="765"/>
              <w:rPr>
                <w:rFonts w:ascii="Arial" w:hAnsi="Arial"/>
                <w:sz w:val="24"/>
              </w:rPr>
            </w:pPr>
            <w:r w:rsidRPr="00EF2134">
              <w:rPr>
                <w:rFonts w:ascii="Arial" w:hAnsi="Arial"/>
                <w:sz w:val="24"/>
              </w:rPr>
              <w:t>Inspection and alignment of lenses as per manufacturer’s instructions.</w:t>
            </w:r>
          </w:p>
        </w:tc>
      </w:tr>
      <w:tr w:rsidR="00846281" w:rsidRPr="00EF2134" w:rsidTr="00EF2134">
        <w:trPr>
          <w:trHeight w:val="453"/>
        </w:trPr>
        <w:tc>
          <w:tcPr>
            <w:tcW w:w="3195" w:type="dxa"/>
            <w:vMerge/>
            <w:shd w:val="clear" w:color="auto" w:fill="auto"/>
          </w:tcPr>
          <w:p w:rsidR="00846281" w:rsidRPr="00EF2134" w:rsidRDefault="00846281" w:rsidP="00EF2134">
            <w:pPr>
              <w:numPr>
                <w:ilvl w:val="1"/>
                <w:numId w:val="1"/>
              </w:numPr>
              <w:tabs>
                <w:tab w:val="clear" w:pos="1440"/>
              </w:tabs>
              <w:ind w:left="720"/>
              <w:rPr>
                <w:rFonts w:ascii="Arial" w:hAnsi="Arial"/>
                <w:sz w:val="24"/>
              </w:rPr>
            </w:pPr>
          </w:p>
        </w:tc>
        <w:tc>
          <w:tcPr>
            <w:tcW w:w="5661" w:type="dxa"/>
            <w:shd w:val="clear" w:color="auto" w:fill="auto"/>
          </w:tcPr>
          <w:p w:rsidR="00846281" w:rsidRPr="00EF2134" w:rsidRDefault="00846281" w:rsidP="00EF2134">
            <w:pPr>
              <w:numPr>
                <w:ilvl w:val="2"/>
                <w:numId w:val="1"/>
              </w:numPr>
              <w:tabs>
                <w:tab w:val="clear" w:pos="2160"/>
              </w:tabs>
              <w:spacing w:line="228" w:lineRule="auto"/>
              <w:ind w:left="765"/>
              <w:rPr>
                <w:rFonts w:ascii="Arial" w:hAnsi="Arial"/>
                <w:sz w:val="24"/>
              </w:rPr>
            </w:pPr>
            <w:r w:rsidRPr="00EF2134">
              <w:rPr>
                <w:rFonts w:ascii="Arial" w:hAnsi="Arial"/>
                <w:sz w:val="24"/>
              </w:rPr>
              <w:t>Annual inspections may be contracted to an outside source.</w:t>
            </w:r>
          </w:p>
        </w:tc>
      </w:tr>
      <w:tr w:rsidR="00846281" w:rsidRPr="00EF2134" w:rsidTr="00EF2134">
        <w:tc>
          <w:tcPr>
            <w:tcW w:w="8856" w:type="dxa"/>
            <w:gridSpan w:val="2"/>
            <w:shd w:val="clear" w:color="auto" w:fill="auto"/>
          </w:tcPr>
          <w:p w:rsidR="00846281" w:rsidRPr="00EF2134" w:rsidRDefault="00846281" w:rsidP="00EF2134">
            <w:pPr>
              <w:numPr>
                <w:ilvl w:val="1"/>
                <w:numId w:val="1"/>
              </w:numPr>
              <w:tabs>
                <w:tab w:val="clear" w:pos="1440"/>
              </w:tabs>
              <w:spacing w:line="228" w:lineRule="auto"/>
              <w:ind w:left="720"/>
              <w:rPr>
                <w:rFonts w:ascii="Arial" w:hAnsi="Arial"/>
                <w:sz w:val="24"/>
              </w:rPr>
            </w:pPr>
            <w:r w:rsidRPr="00EF2134">
              <w:rPr>
                <w:rFonts w:ascii="Arial" w:hAnsi="Arial"/>
                <w:sz w:val="24"/>
              </w:rPr>
              <w:t xml:space="preserve">Maintenance activities are to be recorded on Form QCA.010F if performed internally by TML staff.  If maintenance is performed by an outside contractor or another division, records of maintenance shall be maintained. </w:t>
            </w:r>
          </w:p>
        </w:tc>
      </w:tr>
    </w:tbl>
    <w:p w:rsidR="00C06B1D" w:rsidRDefault="00C06B1D">
      <w:pPr>
        <w:pStyle w:val="Header"/>
        <w:tabs>
          <w:tab w:val="clear" w:pos="4320"/>
          <w:tab w:val="clear" w:pos="8640"/>
        </w:tabs>
        <w:spacing w:line="228" w:lineRule="auto"/>
        <w:rPr>
          <w:rFonts w:ascii="Arial" w:hAnsi="Arial"/>
        </w:rPr>
      </w:pPr>
    </w:p>
    <w:p w:rsidR="00C06B1D" w:rsidRDefault="00C06B1D" w:rsidP="00846281">
      <w:pPr>
        <w:numPr>
          <w:ilvl w:val="0"/>
          <w:numId w:val="1"/>
        </w:numPr>
        <w:spacing w:line="228" w:lineRule="auto"/>
        <w:rPr>
          <w:rFonts w:ascii="Arial" w:hAnsi="Arial"/>
          <w:b/>
          <w:sz w:val="28"/>
        </w:rPr>
      </w:pPr>
      <w:r>
        <w:rPr>
          <w:rFonts w:ascii="Arial" w:hAnsi="Arial"/>
          <w:b/>
          <w:sz w:val="28"/>
        </w:rPr>
        <w:t>Reporting – N/A</w:t>
      </w:r>
    </w:p>
    <w:p w:rsidR="00C06B1D" w:rsidRPr="00551567" w:rsidRDefault="00C06B1D">
      <w:pPr>
        <w:spacing w:line="228" w:lineRule="auto"/>
        <w:ind w:left="720"/>
        <w:rPr>
          <w:rFonts w:ascii="Arial" w:hAnsi="Arial"/>
          <w:b/>
          <w:sz w:val="28"/>
        </w:rPr>
      </w:pPr>
    </w:p>
    <w:p w:rsidR="00C06B1D" w:rsidRDefault="00C06B1D" w:rsidP="00846281">
      <w:pPr>
        <w:numPr>
          <w:ilvl w:val="0"/>
          <w:numId w:val="1"/>
        </w:numPr>
        <w:spacing w:line="228" w:lineRule="auto"/>
        <w:rPr>
          <w:rFonts w:ascii="Arial" w:hAnsi="Arial"/>
          <w:b/>
          <w:sz w:val="28"/>
        </w:rPr>
      </w:pPr>
      <w:r>
        <w:rPr>
          <w:rFonts w:ascii="Arial" w:hAnsi="Arial"/>
          <w:b/>
          <w:sz w:val="28"/>
        </w:rPr>
        <w:t>Procedural Notes – N/A</w:t>
      </w:r>
    </w:p>
    <w:p w:rsidR="00C06B1D" w:rsidRPr="00551567" w:rsidRDefault="00C06B1D">
      <w:pPr>
        <w:spacing w:line="228" w:lineRule="auto"/>
        <w:rPr>
          <w:rFonts w:ascii="Arial" w:hAnsi="Arial"/>
          <w:sz w:val="28"/>
        </w:rPr>
      </w:pPr>
      <w:r>
        <w:rPr>
          <w:rFonts w:ascii="Arial" w:hAnsi="Arial"/>
          <w:sz w:val="28"/>
        </w:rPr>
        <w:t xml:space="preserve"> </w:t>
      </w:r>
    </w:p>
    <w:p w:rsidR="00C06B1D" w:rsidRDefault="00C06B1D" w:rsidP="00846281">
      <w:pPr>
        <w:numPr>
          <w:ilvl w:val="0"/>
          <w:numId w:val="1"/>
        </w:numPr>
        <w:spacing w:line="228" w:lineRule="auto"/>
        <w:rPr>
          <w:rFonts w:ascii="Arial" w:hAnsi="Arial"/>
          <w:b/>
          <w:sz w:val="28"/>
        </w:rPr>
      </w:pPr>
      <w:r>
        <w:rPr>
          <w:rFonts w:ascii="Arial" w:hAnsi="Arial"/>
          <w:b/>
          <w:sz w:val="28"/>
        </w:rPr>
        <w:t>References</w:t>
      </w:r>
    </w:p>
    <w:p w:rsidR="00C06B1D" w:rsidRDefault="00C06B1D">
      <w:pPr>
        <w:spacing w:line="228" w:lineRule="auto"/>
        <w:rPr>
          <w:rFonts w:ascii="Arial" w:hAnsi="Arial"/>
          <w:sz w:val="24"/>
        </w:rPr>
      </w:pPr>
    </w:p>
    <w:p w:rsidR="00C06B1D" w:rsidRPr="00551567" w:rsidRDefault="00C06B1D" w:rsidP="00846281">
      <w:pPr>
        <w:numPr>
          <w:ilvl w:val="1"/>
          <w:numId w:val="1"/>
        </w:numPr>
        <w:spacing w:line="228" w:lineRule="auto"/>
        <w:rPr>
          <w:rFonts w:ascii="Arial" w:hAnsi="Arial" w:cs="Arial"/>
          <w:sz w:val="24"/>
          <w:szCs w:val="24"/>
        </w:rPr>
      </w:pPr>
      <w:r w:rsidRPr="00551567">
        <w:rPr>
          <w:rFonts w:ascii="Arial" w:hAnsi="Arial" w:cs="Arial"/>
          <w:sz w:val="24"/>
          <w:szCs w:val="24"/>
        </w:rPr>
        <w:t xml:space="preserve">Standards for Hospital Transfusion Services Version </w:t>
      </w:r>
      <w:r w:rsidR="005453BB" w:rsidRPr="00551567">
        <w:rPr>
          <w:rFonts w:ascii="Arial" w:hAnsi="Arial" w:cs="Arial"/>
          <w:sz w:val="24"/>
          <w:szCs w:val="24"/>
        </w:rPr>
        <w:t>3</w:t>
      </w:r>
      <w:r w:rsidRPr="00551567">
        <w:rPr>
          <w:rFonts w:ascii="Arial" w:hAnsi="Arial" w:cs="Arial"/>
          <w:sz w:val="24"/>
          <w:szCs w:val="24"/>
        </w:rPr>
        <w:t xml:space="preserve"> – </w:t>
      </w:r>
      <w:r w:rsidR="005453BB" w:rsidRPr="00551567">
        <w:rPr>
          <w:rFonts w:ascii="Arial" w:hAnsi="Arial" w:cs="Arial"/>
          <w:sz w:val="24"/>
          <w:szCs w:val="24"/>
        </w:rPr>
        <w:t>February 2011</w:t>
      </w:r>
      <w:r w:rsidRPr="00551567">
        <w:rPr>
          <w:rFonts w:ascii="Arial" w:hAnsi="Arial" w:cs="Arial"/>
          <w:sz w:val="24"/>
          <w:szCs w:val="24"/>
        </w:rPr>
        <w:t>. Canadian Society for Transfusion Medicine,</w:t>
      </w:r>
      <w:r w:rsidR="005453BB" w:rsidRPr="00551567">
        <w:rPr>
          <w:rFonts w:ascii="Arial" w:hAnsi="Arial" w:cs="Arial"/>
          <w:sz w:val="24"/>
          <w:szCs w:val="24"/>
        </w:rPr>
        <w:t>6.6.3,</w:t>
      </w:r>
      <w:r w:rsidRPr="00551567">
        <w:rPr>
          <w:rFonts w:ascii="Arial" w:hAnsi="Arial" w:cs="Arial"/>
          <w:sz w:val="24"/>
          <w:szCs w:val="24"/>
        </w:rPr>
        <w:t xml:space="preserve"> Appendix A.</w:t>
      </w:r>
    </w:p>
    <w:p w:rsidR="00C06B1D" w:rsidRPr="00551567" w:rsidRDefault="00C06B1D">
      <w:pPr>
        <w:spacing w:line="228" w:lineRule="auto"/>
        <w:ind w:left="720"/>
        <w:rPr>
          <w:rFonts w:ascii="Arial" w:hAnsi="Arial" w:cs="Arial"/>
          <w:sz w:val="24"/>
        </w:rPr>
      </w:pPr>
    </w:p>
    <w:p w:rsidR="00551567" w:rsidRDefault="007137B8" w:rsidP="00551567">
      <w:pPr>
        <w:numPr>
          <w:ilvl w:val="1"/>
          <w:numId w:val="1"/>
        </w:numPr>
        <w:spacing w:line="228" w:lineRule="auto"/>
        <w:rPr>
          <w:rFonts w:ascii="Arial" w:hAnsi="Arial" w:cs="Arial"/>
        </w:rPr>
      </w:pPr>
      <w:r>
        <w:rPr>
          <w:rFonts w:ascii="Arial" w:hAnsi="Arial" w:cs="Arial"/>
          <w:sz w:val="24"/>
        </w:rPr>
        <w:t>IQMH</w:t>
      </w:r>
      <w:r w:rsidR="005453BB" w:rsidRPr="00551567">
        <w:rPr>
          <w:rFonts w:ascii="Arial" w:hAnsi="Arial" w:cs="Arial"/>
          <w:sz w:val="24"/>
        </w:rPr>
        <w:t xml:space="preserve"> Requirements and Guidance Information, December 2013, Version 6; IV</w:t>
      </w:r>
      <w:r w:rsidR="005453BB" w:rsidRPr="00551567" w:rsidDel="005453BB">
        <w:rPr>
          <w:rFonts w:ascii="Arial" w:hAnsi="Arial" w:cs="Arial"/>
          <w:sz w:val="24"/>
        </w:rPr>
        <w:t xml:space="preserve"> </w:t>
      </w:r>
    </w:p>
    <w:p w:rsidR="00551567" w:rsidRPr="00551567" w:rsidRDefault="00551567" w:rsidP="00551567">
      <w:pPr>
        <w:pStyle w:val="ListParagraph"/>
        <w:rPr>
          <w:rFonts w:ascii="Arial" w:hAnsi="Arial" w:cs="Arial"/>
          <w:sz w:val="28"/>
        </w:rPr>
      </w:pPr>
    </w:p>
    <w:p w:rsidR="00551567" w:rsidRDefault="00551567" w:rsidP="00551567">
      <w:pPr>
        <w:numPr>
          <w:ilvl w:val="0"/>
          <w:numId w:val="1"/>
        </w:numPr>
        <w:spacing w:line="228" w:lineRule="auto"/>
        <w:rPr>
          <w:rFonts w:ascii="Arial" w:hAnsi="Arial" w:cs="Arial"/>
          <w:b/>
          <w:sz w:val="28"/>
          <w:szCs w:val="28"/>
        </w:rPr>
      </w:pPr>
      <w:r w:rsidRPr="00551567">
        <w:rPr>
          <w:rFonts w:ascii="Arial" w:hAnsi="Arial" w:cs="Arial"/>
          <w:b/>
          <w:sz w:val="28"/>
          <w:szCs w:val="28"/>
        </w:rPr>
        <w:t>Revision History</w:t>
      </w:r>
    </w:p>
    <w:p w:rsidR="00551567" w:rsidRPr="00551567" w:rsidRDefault="00551567" w:rsidP="00551567">
      <w:pPr>
        <w:spacing w:line="228" w:lineRule="auto"/>
        <w:ind w:left="72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551567" w:rsidRPr="00EF2134" w:rsidTr="00047500">
        <w:tc>
          <w:tcPr>
            <w:tcW w:w="3078" w:type="dxa"/>
            <w:shd w:val="clear" w:color="auto" w:fill="F2F2F2"/>
          </w:tcPr>
          <w:p w:rsidR="00551567" w:rsidRPr="00EF2134" w:rsidRDefault="00551567" w:rsidP="00EF2134">
            <w:pPr>
              <w:spacing w:line="228" w:lineRule="auto"/>
              <w:jc w:val="center"/>
              <w:rPr>
                <w:rFonts w:ascii="Arial" w:hAnsi="Arial" w:cs="Arial"/>
                <w:b/>
                <w:sz w:val="22"/>
              </w:rPr>
            </w:pPr>
            <w:r w:rsidRPr="00EF2134">
              <w:rPr>
                <w:rFonts w:ascii="Arial" w:hAnsi="Arial" w:cs="Arial"/>
                <w:b/>
                <w:sz w:val="22"/>
              </w:rPr>
              <w:t>Revision Date</w:t>
            </w:r>
          </w:p>
        </w:tc>
        <w:tc>
          <w:tcPr>
            <w:tcW w:w="5778" w:type="dxa"/>
            <w:shd w:val="clear" w:color="auto" w:fill="F2F2F2"/>
          </w:tcPr>
          <w:p w:rsidR="00551567" w:rsidRPr="00EF2134" w:rsidRDefault="00551567" w:rsidP="00EF2134">
            <w:pPr>
              <w:spacing w:line="228" w:lineRule="auto"/>
              <w:jc w:val="center"/>
              <w:rPr>
                <w:rFonts w:ascii="Arial" w:hAnsi="Arial" w:cs="Arial"/>
                <w:b/>
                <w:sz w:val="22"/>
              </w:rPr>
            </w:pPr>
            <w:r w:rsidRPr="00EF2134">
              <w:rPr>
                <w:rFonts w:ascii="Arial" w:hAnsi="Arial" w:cs="Arial"/>
                <w:b/>
                <w:sz w:val="22"/>
              </w:rPr>
              <w:t>Summary of Revision</w:t>
            </w:r>
          </w:p>
        </w:tc>
      </w:tr>
      <w:tr w:rsidR="00551567" w:rsidRPr="00EF2134" w:rsidTr="00DE1300">
        <w:tc>
          <w:tcPr>
            <w:tcW w:w="3078" w:type="dxa"/>
            <w:shd w:val="clear" w:color="auto" w:fill="auto"/>
          </w:tcPr>
          <w:p w:rsidR="00551567" w:rsidRPr="00EF2134" w:rsidRDefault="007137B8" w:rsidP="00EF2134">
            <w:pPr>
              <w:spacing w:line="228" w:lineRule="auto"/>
              <w:rPr>
                <w:rFonts w:ascii="Arial" w:hAnsi="Arial" w:cs="Arial"/>
                <w:sz w:val="22"/>
              </w:rPr>
            </w:pPr>
            <w:r>
              <w:rPr>
                <w:rFonts w:ascii="Arial" w:hAnsi="Arial" w:cs="Arial"/>
                <w:sz w:val="22"/>
              </w:rPr>
              <w:t>September 1, 201</w:t>
            </w:r>
            <w:r w:rsidR="004E2B71">
              <w:rPr>
                <w:rFonts w:ascii="Arial" w:hAnsi="Arial" w:cs="Arial"/>
                <w:sz w:val="22"/>
              </w:rPr>
              <w:t>5</w:t>
            </w:r>
          </w:p>
        </w:tc>
        <w:tc>
          <w:tcPr>
            <w:tcW w:w="5778" w:type="dxa"/>
            <w:shd w:val="clear" w:color="auto" w:fill="auto"/>
          </w:tcPr>
          <w:p w:rsidR="00551567" w:rsidRPr="00EF2134" w:rsidRDefault="00551567" w:rsidP="00EF2134">
            <w:pPr>
              <w:numPr>
                <w:ilvl w:val="0"/>
                <w:numId w:val="12"/>
              </w:numPr>
              <w:spacing w:line="228" w:lineRule="auto"/>
              <w:rPr>
                <w:rFonts w:ascii="Arial" w:hAnsi="Arial" w:cs="Arial"/>
                <w:sz w:val="22"/>
              </w:rPr>
            </w:pPr>
            <w:r w:rsidRPr="00EF2134">
              <w:rPr>
                <w:rFonts w:ascii="Arial" w:hAnsi="Arial" w:cs="Arial"/>
                <w:sz w:val="22"/>
              </w:rPr>
              <w:t>Revised name of manual</w:t>
            </w:r>
          </w:p>
          <w:p w:rsidR="00551567" w:rsidRPr="00EF2134" w:rsidRDefault="00551567" w:rsidP="00EF2134">
            <w:pPr>
              <w:numPr>
                <w:ilvl w:val="0"/>
                <w:numId w:val="12"/>
              </w:numPr>
              <w:spacing w:line="228" w:lineRule="auto"/>
              <w:rPr>
                <w:rFonts w:ascii="Arial" w:hAnsi="Arial" w:cs="Arial"/>
                <w:sz w:val="22"/>
              </w:rPr>
            </w:pPr>
            <w:r w:rsidRPr="00EF2134">
              <w:rPr>
                <w:rFonts w:ascii="Arial" w:hAnsi="Arial" w:cs="Arial"/>
                <w:sz w:val="22"/>
              </w:rPr>
              <w:t xml:space="preserve">Revised wording in sections 6.3.1 &amp; 6.3.2 to include “as per manufacturer’s instructions” </w:t>
            </w:r>
          </w:p>
          <w:p w:rsidR="00551567" w:rsidRPr="00EF2134" w:rsidRDefault="00551567" w:rsidP="00EF2134">
            <w:pPr>
              <w:numPr>
                <w:ilvl w:val="0"/>
                <w:numId w:val="12"/>
              </w:numPr>
              <w:spacing w:line="228" w:lineRule="auto"/>
              <w:rPr>
                <w:rFonts w:ascii="Arial" w:hAnsi="Arial" w:cs="Arial"/>
                <w:sz w:val="22"/>
              </w:rPr>
            </w:pPr>
            <w:r w:rsidRPr="00EF2134">
              <w:rPr>
                <w:rFonts w:ascii="Arial" w:hAnsi="Arial" w:cs="Arial"/>
                <w:sz w:val="22"/>
              </w:rPr>
              <w:t>Updated list of references to include most recent editions</w:t>
            </w:r>
          </w:p>
        </w:tc>
      </w:tr>
    </w:tbl>
    <w:p w:rsidR="00551567" w:rsidRPr="00551567" w:rsidRDefault="00551567" w:rsidP="00551567">
      <w:pPr>
        <w:spacing w:line="228" w:lineRule="auto"/>
        <w:rPr>
          <w:rFonts w:ascii="Arial" w:hAnsi="Arial" w:cs="Arial"/>
        </w:rPr>
      </w:pPr>
    </w:p>
    <w:sectPr w:rsidR="00551567" w:rsidRPr="00551567" w:rsidSect="00DE1300">
      <w:headerReference w:type="default" r:id="rId7"/>
      <w:footerReference w:type="default" r:id="rId8"/>
      <w:headerReference w:type="first" r:id="rId9"/>
      <w:footerReference w:type="first" r:id="rId10"/>
      <w:pgSz w:w="12240" w:h="15840" w:code="1"/>
      <w:pgMar w:top="1166" w:right="1800" w:bottom="245" w:left="180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00C" w:rsidRDefault="009B600C">
      <w:r>
        <w:separator/>
      </w:r>
    </w:p>
  </w:endnote>
  <w:endnote w:type="continuationSeparator" w:id="0">
    <w:p w:rsidR="009B600C" w:rsidRDefault="009B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06B1D">
      <w:tblPrEx>
        <w:tblCellMar>
          <w:top w:w="0" w:type="dxa"/>
          <w:bottom w:w="0" w:type="dxa"/>
        </w:tblCellMar>
      </w:tblPrEx>
      <w:trPr>
        <w:trHeight w:val="720"/>
      </w:trPr>
      <w:tc>
        <w:tcPr>
          <w:tcW w:w="1368" w:type="dxa"/>
        </w:tcPr>
        <w:p w:rsidR="00C06B1D" w:rsidRDefault="00C06B1D">
          <w:pPr>
            <w:pStyle w:val="Footer"/>
            <w:jc w:val="center"/>
            <w:rPr>
              <w:sz w:val="8"/>
            </w:rPr>
          </w:pPr>
        </w:p>
        <w:p w:rsidR="00C06B1D" w:rsidRDefault="00C06B1D">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976" w:type="dxa"/>
        </w:tcPr>
        <w:p w:rsidR="00C06B1D" w:rsidRDefault="00C06B1D">
          <w:pPr>
            <w:pStyle w:val="Footer"/>
            <w:jc w:val="center"/>
            <w:rPr>
              <w:rFonts w:ascii="Arial" w:hAnsi="Arial"/>
              <w:sz w:val="18"/>
            </w:rPr>
          </w:pPr>
        </w:p>
        <w:p w:rsidR="00C06B1D" w:rsidRDefault="00C06B1D">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C06B1D" w:rsidRDefault="002B4230">
          <w:pPr>
            <w:pStyle w:val="Footer"/>
            <w:jc w:val="center"/>
            <w:rPr>
              <w:rFonts w:ascii="Arial" w:hAnsi="Arial"/>
              <w:sz w:val="18"/>
            </w:rPr>
          </w:pPr>
          <w:r>
            <w:rPr>
              <w:rFonts w:ascii="Arial" w:hAnsi="Arial"/>
              <w:sz w:val="18"/>
            </w:rPr>
            <w:t>Transfusion Technical Resource</w:t>
          </w:r>
          <w:r w:rsidR="00C06B1D">
            <w:rPr>
              <w:rFonts w:ascii="Arial" w:hAnsi="Arial"/>
              <w:sz w:val="18"/>
            </w:rPr>
            <w:t xml:space="preserve"> Manual</w:t>
          </w:r>
        </w:p>
        <w:p w:rsidR="00C06B1D" w:rsidRDefault="00C06B1D">
          <w:pPr>
            <w:pStyle w:val="Footer"/>
            <w:jc w:val="center"/>
            <w:rPr>
              <w:rFonts w:ascii="Arial" w:hAnsi="Arial"/>
              <w:sz w:val="18"/>
            </w:rPr>
          </w:pPr>
        </w:p>
      </w:tc>
      <w:tc>
        <w:tcPr>
          <w:tcW w:w="1494" w:type="dxa"/>
        </w:tcPr>
        <w:p w:rsidR="00C06B1D" w:rsidRDefault="00C06B1D">
          <w:pPr>
            <w:pStyle w:val="Footer"/>
            <w:jc w:val="right"/>
            <w:rPr>
              <w:rFonts w:ascii="Arial" w:hAnsi="Arial"/>
              <w:sz w:val="18"/>
            </w:rPr>
          </w:pPr>
        </w:p>
        <w:p w:rsidR="00C06B1D" w:rsidRDefault="00C06B1D">
          <w:pPr>
            <w:pStyle w:val="Footer"/>
            <w:jc w:val="right"/>
            <w:rPr>
              <w:rFonts w:ascii="Arial" w:hAnsi="Arial"/>
              <w:sz w:val="18"/>
            </w:rPr>
          </w:pPr>
          <w:r>
            <w:rPr>
              <w:rFonts w:ascii="Arial" w:hAnsi="Arial"/>
              <w:sz w:val="18"/>
            </w:rPr>
            <w:t xml:space="preserve">QCA.010 </w:t>
          </w:r>
          <w:r>
            <w:rPr>
              <w:rFonts w:ascii="Arial" w:hAnsi="Arial"/>
              <w:sz w:val="18"/>
            </w:rPr>
            <w:br/>
          </w:r>
        </w:p>
        <w:p w:rsidR="00C06B1D" w:rsidRDefault="00C06B1D">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DE1300">
            <w:rPr>
              <w:rFonts w:ascii="Arial" w:hAnsi="Arial"/>
              <w:noProof/>
              <w:snapToGrid w:val="0"/>
              <w:sz w:val="18"/>
            </w:rPr>
            <w:t>2</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DE1300">
            <w:rPr>
              <w:rFonts w:ascii="Arial" w:hAnsi="Arial"/>
              <w:noProof/>
              <w:snapToGrid w:val="0"/>
              <w:sz w:val="18"/>
            </w:rPr>
            <w:t>2</w:t>
          </w:r>
          <w:r>
            <w:rPr>
              <w:rFonts w:ascii="Arial" w:hAnsi="Arial"/>
              <w:snapToGrid w:val="0"/>
              <w:sz w:val="18"/>
            </w:rPr>
            <w:fldChar w:fldCharType="end"/>
          </w:r>
        </w:p>
      </w:tc>
    </w:tr>
  </w:tbl>
  <w:p w:rsidR="00C06B1D" w:rsidRDefault="00C06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06B1D">
      <w:tblPrEx>
        <w:tblCellMar>
          <w:top w:w="0" w:type="dxa"/>
          <w:bottom w:w="0" w:type="dxa"/>
        </w:tblCellMar>
      </w:tblPrEx>
      <w:trPr>
        <w:trHeight w:val="720"/>
      </w:trPr>
      <w:tc>
        <w:tcPr>
          <w:tcW w:w="1368" w:type="dxa"/>
        </w:tcPr>
        <w:p w:rsidR="00C06B1D" w:rsidRDefault="00C06B1D">
          <w:pPr>
            <w:pStyle w:val="Footer"/>
            <w:jc w:val="center"/>
            <w:rPr>
              <w:rFonts w:ascii="Verdana" w:hAnsi="Verdana"/>
              <w:sz w:val="8"/>
            </w:rPr>
          </w:pPr>
        </w:p>
        <w:p w:rsidR="00C06B1D" w:rsidRDefault="00C06B1D">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976" w:type="dxa"/>
        </w:tcPr>
        <w:p w:rsidR="00C06B1D" w:rsidRDefault="00C06B1D">
          <w:pPr>
            <w:pStyle w:val="Footer"/>
            <w:jc w:val="center"/>
            <w:rPr>
              <w:rFonts w:ascii="Arial" w:hAnsi="Arial"/>
              <w:sz w:val="18"/>
            </w:rPr>
          </w:pPr>
        </w:p>
        <w:p w:rsidR="00C06B1D" w:rsidRDefault="00C06B1D">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C06B1D" w:rsidRDefault="005453BB">
          <w:pPr>
            <w:pStyle w:val="Footer"/>
            <w:jc w:val="center"/>
            <w:rPr>
              <w:rFonts w:ascii="Arial" w:hAnsi="Arial"/>
              <w:sz w:val="18"/>
            </w:rPr>
          </w:pPr>
          <w:r>
            <w:rPr>
              <w:rFonts w:ascii="Arial" w:hAnsi="Arial"/>
              <w:sz w:val="18"/>
            </w:rPr>
            <w:t>Transfusion Technical Resource</w:t>
          </w:r>
          <w:r w:rsidR="00C06B1D">
            <w:rPr>
              <w:rFonts w:ascii="Arial" w:hAnsi="Arial"/>
              <w:sz w:val="18"/>
            </w:rPr>
            <w:t xml:space="preserve"> Manual</w:t>
          </w:r>
        </w:p>
        <w:p w:rsidR="00C06B1D" w:rsidRDefault="00C06B1D">
          <w:pPr>
            <w:pStyle w:val="Footer"/>
            <w:jc w:val="center"/>
            <w:rPr>
              <w:rFonts w:ascii="Arial" w:hAnsi="Arial"/>
              <w:sz w:val="18"/>
            </w:rPr>
          </w:pPr>
        </w:p>
      </w:tc>
      <w:tc>
        <w:tcPr>
          <w:tcW w:w="1494" w:type="dxa"/>
        </w:tcPr>
        <w:p w:rsidR="00C06B1D" w:rsidRDefault="00C06B1D">
          <w:pPr>
            <w:pStyle w:val="Footer"/>
            <w:jc w:val="right"/>
            <w:rPr>
              <w:rFonts w:ascii="Arial" w:hAnsi="Arial"/>
              <w:sz w:val="18"/>
            </w:rPr>
          </w:pPr>
        </w:p>
        <w:p w:rsidR="00C06B1D" w:rsidRDefault="00C06B1D">
          <w:pPr>
            <w:pStyle w:val="Footer"/>
            <w:jc w:val="right"/>
            <w:rPr>
              <w:rFonts w:ascii="Arial" w:hAnsi="Arial"/>
              <w:sz w:val="18"/>
            </w:rPr>
          </w:pPr>
          <w:r>
            <w:rPr>
              <w:rFonts w:ascii="Arial" w:hAnsi="Arial"/>
              <w:sz w:val="18"/>
            </w:rPr>
            <w:t xml:space="preserve">QCA.010 </w:t>
          </w:r>
          <w:r>
            <w:rPr>
              <w:rFonts w:ascii="Arial" w:hAnsi="Arial"/>
              <w:sz w:val="18"/>
            </w:rPr>
            <w:br/>
          </w:r>
        </w:p>
        <w:p w:rsidR="00C06B1D" w:rsidRDefault="00C06B1D">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DE1300">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DE1300">
            <w:rPr>
              <w:rFonts w:ascii="Arial" w:hAnsi="Arial"/>
              <w:noProof/>
              <w:snapToGrid w:val="0"/>
              <w:sz w:val="18"/>
            </w:rPr>
            <w:t>2</w:t>
          </w:r>
          <w:r>
            <w:rPr>
              <w:rFonts w:ascii="Arial" w:hAnsi="Arial"/>
              <w:snapToGrid w:val="0"/>
              <w:sz w:val="18"/>
            </w:rPr>
            <w:fldChar w:fldCharType="end"/>
          </w:r>
        </w:p>
      </w:tc>
    </w:tr>
  </w:tbl>
  <w:p w:rsidR="00C06B1D" w:rsidRDefault="00C0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00C" w:rsidRDefault="009B600C">
      <w:r>
        <w:separator/>
      </w:r>
    </w:p>
  </w:footnote>
  <w:footnote w:type="continuationSeparator" w:id="0">
    <w:p w:rsidR="009B600C" w:rsidRDefault="009B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1D" w:rsidRDefault="00C06B1D">
    <w:pPr>
      <w:pStyle w:val="Header"/>
      <w:jc w:val="center"/>
      <w:rPr>
        <w:rFonts w:ascii="Arial" w:hAnsi="Arial"/>
        <w:b/>
        <w:sz w:val="28"/>
      </w:rPr>
    </w:pPr>
    <w:r>
      <w:rPr>
        <w:rFonts w:ascii="Arial" w:hAnsi="Arial"/>
        <w:b/>
        <w:sz w:val="28"/>
      </w:rPr>
      <w:t>Microscopes – Cleaning, Maintenance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1D" w:rsidRDefault="00151CE5">
    <w:pPr>
      <w:pStyle w:val="Header"/>
      <w:tabs>
        <w:tab w:val="clear" w:pos="8640"/>
        <w:tab w:val="left" w:pos="4783"/>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36.75pt">
          <v:imagedata r:id="rId1" o:title="ORBCoN Logo_EN"/>
        </v:shape>
      </w:pict>
    </w:r>
  </w:p>
  <w:p w:rsidR="00C06B1D" w:rsidRDefault="00C06B1D">
    <w:pPr>
      <w:pStyle w:val="Header"/>
      <w:tabs>
        <w:tab w:val="clear" w:pos="8640"/>
        <w:tab w:val="left" w:pos="4783"/>
      </w:tabs>
      <w:rPr>
        <w:rFonts w:ascii="Arial" w:hAnsi="Arial" w:cs="Arial"/>
        <w:b/>
        <w:bCs/>
        <w:sz w:val="22"/>
      </w:rPr>
    </w:pPr>
  </w:p>
  <w:p w:rsidR="00C06B1D" w:rsidRPr="00DE1300" w:rsidRDefault="00151CE5">
    <w:pPr>
      <w:pStyle w:val="Header"/>
      <w:jc w:val="center"/>
      <w:rPr>
        <w:rFonts w:ascii="Arial" w:hAnsi="Arial" w:cs="Arial"/>
        <w:b/>
        <w:bCs/>
        <w:sz w:val="24"/>
      </w:rPr>
    </w:pPr>
    <w:r w:rsidRPr="00DE1300">
      <w:rPr>
        <w:rFonts w:ascii="Arial" w:hAnsi="Arial" w:cs="Arial"/>
        <w:b/>
        <w:bCs/>
        <w:sz w:val="24"/>
      </w:rPr>
      <w:t>Ontario Regional Blood Coordinating Network</w:t>
    </w:r>
  </w:p>
  <w:p w:rsidR="00151CE5" w:rsidRPr="00DE1300" w:rsidRDefault="00151CE5">
    <w:pPr>
      <w:pStyle w:val="Header"/>
      <w:jc w:val="center"/>
      <w:rPr>
        <w:rFonts w:ascii="Arial" w:hAnsi="Arial" w:cs="Arial"/>
        <w:b/>
        <w:bCs/>
        <w:sz w:val="24"/>
      </w:rPr>
    </w:pPr>
    <w:r w:rsidRPr="00DE1300">
      <w:rPr>
        <w:rFonts w:ascii="Arial" w:hAnsi="Arial" w:cs="Arial"/>
        <w:b/>
        <w:bCs/>
        <w:sz w:val="24"/>
      </w:rPr>
      <w:t>Transfusion Technical Resource Manual</w:t>
    </w:r>
  </w:p>
  <w:p w:rsidR="00C06B1D" w:rsidRDefault="00C06B1D">
    <w:pPr>
      <w:pStyle w:val="Header"/>
      <w:jc w:val="center"/>
      <w:rPr>
        <w:rFonts w:ascii="Arial" w:hAnsi="Arial" w:cs="Arial"/>
        <w:b/>
        <w:bCs/>
        <w:sz w:val="22"/>
      </w:rPr>
    </w:pPr>
  </w:p>
  <w:p w:rsidR="00C06B1D" w:rsidRDefault="00C06B1D">
    <w:pPr>
      <w:pStyle w:val="Header"/>
      <w:jc w:val="center"/>
      <w:rPr>
        <w:rFonts w:ascii="Arial" w:hAnsi="Arial"/>
        <w:b/>
        <w:sz w:val="28"/>
      </w:rPr>
    </w:pPr>
    <w:r>
      <w:rPr>
        <w:rFonts w:ascii="Arial" w:hAnsi="Arial"/>
        <w:b/>
        <w:sz w:val="28"/>
      </w:rPr>
      <w:t>Microscopes – Cleaning, Maintenance</w:t>
    </w:r>
  </w:p>
  <w:p w:rsidR="00C06B1D" w:rsidRDefault="00C06B1D">
    <w:pPr>
      <w:pStyle w:val="Header"/>
      <w:jc w:val="center"/>
      <w:rPr>
        <w:rFonts w:ascii="Arial" w:hAnsi="Arial"/>
        <w:b/>
        <w:sz w:val="28"/>
      </w:rPr>
    </w:pPr>
  </w:p>
  <w:p w:rsidR="00C06B1D" w:rsidRDefault="00C06B1D">
    <w:pPr>
      <w:pStyle w:val="Header"/>
      <w:rPr>
        <w:rFonts w:ascii="Arial" w:hAnsi="Arial" w:cs="Arial"/>
        <w:b/>
        <w:bCs/>
      </w:rPr>
    </w:pPr>
    <w:r>
      <w:rPr>
        <w:rFonts w:ascii="Arial" w:hAnsi="Arial" w:cs="Arial"/>
        <w:b/>
        <w:bCs/>
      </w:rPr>
      <w:tab/>
    </w:r>
    <w:r>
      <w:rPr>
        <w:rFonts w:ascii="Arial" w:hAnsi="Arial" w:cs="Arial"/>
      </w:rPr>
      <w:pict>
        <v:line id="_x0000_s2051" style="position:absolute;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C06B1D">
      <w:tc>
        <w:tcPr>
          <w:tcW w:w="4428" w:type="dxa"/>
        </w:tcPr>
        <w:p w:rsidR="00C06B1D" w:rsidRDefault="00C06B1D" w:rsidP="00151CE5">
          <w:pPr>
            <w:pStyle w:val="Header"/>
            <w:rPr>
              <w:rFonts w:ascii="Arial" w:hAnsi="Arial" w:cs="Arial"/>
            </w:rPr>
          </w:pPr>
          <w:r>
            <w:rPr>
              <w:rFonts w:ascii="Arial" w:hAnsi="Arial" w:cs="Arial"/>
            </w:rPr>
            <w:t xml:space="preserve">Approved By:  </w:t>
          </w:r>
        </w:p>
      </w:tc>
      <w:tc>
        <w:tcPr>
          <w:tcW w:w="4428" w:type="dxa"/>
        </w:tcPr>
        <w:p w:rsidR="00C06B1D" w:rsidRDefault="00C06B1D">
          <w:pPr>
            <w:pStyle w:val="Header"/>
            <w:rPr>
              <w:rFonts w:ascii="Arial" w:hAnsi="Arial" w:cs="Arial"/>
            </w:rPr>
          </w:pPr>
          <w:r>
            <w:rPr>
              <w:rFonts w:ascii="Arial" w:hAnsi="Arial" w:cs="Arial"/>
            </w:rPr>
            <w:t>Document No: QCA.010</w:t>
          </w:r>
        </w:p>
      </w:tc>
    </w:tr>
    <w:tr w:rsidR="00C06B1D">
      <w:tc>
        <w:tcPr>
          <w:tcW w:w="4428" w:type="dxa"/>
        </w:tcPr>
        <w:p w:rsidR="00C06B1D" w:rsidRDefault="00C06B1D">
          <w:pPr>
            <w:pStyle w:val="Header"/>
            <w:rPr>
              <w:rFonts w:ascii="Arial" w:hAnsi="Arial" w:cs="Arial"/>
            </w:rPr>
          </w:pPr>
          <w:r>
            <w:rPr>
              <w:rFonts w:ascii="Arial" w:hAnsi="Arial" w:cs="Arial"/>
            </w:rPr>
            <w:t>Date Issued:  2004/04/05</w:t>
          </w:r>
        </w:p>
      </w:tc>
      <w:tc>
        <w:tcPr>
          <w:tcW w:w="4428" w:type="dxa"/>
        </w:tcPr>
        <w:p w:rsidR="00C06B1D" w:rsidRDefault="00C06B1D">
          <w:pPr>
            <w:pStyle w:val="Header"/>
            <w:rPr>
              <w:rFonts w:ascii="Arial" w:hAnsi="Arial" w:cs="Arial"/>
            </w:rPr>
          </w:pPr>
          <w:r>
            <w:rPr>
              <w:rFonts w:ascii="Arial" w:hAnsi="Arial" w:cs="Arial"/>
            </w:rPr>
            <w:t>Category:  Quality Control, Assurance</w:t>
          </w:r>
        </w:p>
      </w:tc>
    </w:tr>
    <w:tr w:rsidR="00C06B1D">
      <w:tc>
        <w:tcPr>
          <w:tcW w:w="4428" w:type="dxa"/>
        </w:tcPr>
        <w:p w:rsidR="00C06B1D" w:rsidRDefault="00C06B1D" w:rsidP="00F97AF3">
          <w:pPr>
            <w:pStyle w:val="Header"/>
            <w:rPr>
              <w:rFonts w:ascii="Arial" w:hAnsi="Arial" w:cs="Arial"/>
            </w:rPr>
          </w:pPr>
          <w:r>
            <w:rPr>
              <w:rFonts w:ascii="Arial" w:hAnsi="Arial" w:cs="Arial"/>
            </w:rPr>
            <w:t xml:space="preserve">Date Revised:  </w:t>
          </w:r>
          <w:r w:rsidR="007137B8">
            <w:rPr>
              <w:rFonts w:ascii="Arial" w:hAnsi="Arial" w:cs="Arial"/>
            </w:rPr>
            <w:t>2009/09/01; 201</w:t>
          </w:r>
          <w:r w:rsidR="004E2B71">
            <w:rPr>
              <w:rFonts w:ascii="Arial" w:hAnsi="Arial" w:cs="Arial"/>
            </w:rPr>
            <w:t>5</w:t>
          </w:r>
          <w:r w:rsidR="007137B8">
            <w:rPr>
              <w:rFonts w:ascii="Arial" w:hAnsi="Arial" w:cs="Arial"/>
            </w:rPr>
            <w:t>/09/01</w:t>
          </w:r>
        </w:p>
      </w:tc>
      <w:tc>
        <w:tcPr>
          <w:tcW w:w="4428" w:type="dxa"/>
        </w:tcPr>
        <w:p w:rsidR="00C06B1D" w:rsidRDefault="00C06B1D">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E130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E1300">
            <w:rPr>
              <w:rFonts w:ascii="Arial" w:hAnsi="Arial" w:cs="Arial"/>
              <w:noProof/>
            </w:rPr>
            <w:t>2</w:t>
          </w:r>
          <w:r>
            <w:rPr>
              <w:rFonts w:ascii="Arial" w:hAnsi="Arial" w:cs="Arial"/>
            </w:rPr>
            <w:fldChar w:fldCharType="end"/>
          </w:r>
        </w:p>
      </w:tc>
    </w:tr>
  </w:tbl>
  <w:p w:rsidR="00C06B1D" w:rsidRDefault="00C06B1D">
    <w:pPr>
      <w:pStyle w:val="Header"/>
    </w:pPr>
    <w:r>
      <w:rPr>
        <w:rFonts w:ascii="Arial" w:hAnsi="Arial" w:cs="Arial"/>
      </w:rPr>
      <w:pict>
        <v:line id="_x0000_s2052" style="position:absolute;z-index:2;mso-position-horizontal-relative:text;mso-position-vertical-relative:text" from="-4.95pt,9.65pt" to="436.05pt,9.65pt"/>
      </w:pict>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2E5"/>
    <w:multiLevelType w:val="multilevel"/>
    <w:tmpl w:val="31A4D9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rPr>
    </w:lvl>
    <w:lvl w:ilvl="2">
      <w:start w:val="1"/>
      <w:numFmt w:val="decimal"/>
      <w:lvlText w:val="%1.%2.%3"/>
      <w:lvlJc w:val="left"/>
      <w:pPr>
        <w:tabs>
          <w:tab w:val="num" w:pos="2160"/>
        </w:tabs>
        <w:ind w:left="2160" w:hanging="720"/>
      </w:pPr>
      <w:rPr>
        <w:rFonts w:hint="default"/>
        <w:b w:val="0"/>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9A4767"/>
    <w:multiLevelType w:val="hybridMultilevel"/>
    <w:tmpl w:val="0A8ACE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34567BF1"/>
    <w:multiLevelType w:val="multilevel"/>
    <w:tmpl w:val="31A4D9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rPr>
    </w:lvl>
    <w:lvl w:ilvl="2">
      <w:start w:val="1"/>
      <w:numFmt w:val="decimal"/>
      <w:lvlText w:val="%1.%2.%3"/>
      <w:lvlJc w:val="left"/>
      <w:pPr>
        <w:tabs>
          <w:tab w:val="num" w:pos="2160"/>
        </w:tabs>
        <w:ind w:left="2160" w:hanging="720"/>
      </w:pPr>
      <w:rPr>
        <w:rFonts w:hint="default"/>
        <w:b w:val="0"/>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7351F2C"/>
    <w:multiLevelType w:val="multilevel"/>
    <w:tmpl w:val="9D3478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7"/>
  </w:num>
  <w:num w:numId="3">
    <w:abstractNumId w:val="4"/>
  </w:num>
  <w:num w:numId="4">
    <w:abstractNumId w:val="3"/>
  </w:num>
  <w:num w:numId="5">
    <w:abstractNumId w:val="11"/>
  </w:num>
  <w:num w:numId="6">
    <w:abstractNumId w:val="10"/>
  </w:num>
  <w:num w:numId="7">
    <w:abstractNumId w:val="9"/>
  </w:num>
  <w:num w:numId="8">
    <w:abstractNumId w:val="2"/>
  </w:num>
  <w:num w:numId="9">
    <w:abstractNumId w:val="8"/>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B1D"/>
    <w:rsid w:val="00047500"/>
    <w:rsid w:val="00086560"/>
    <w:rsid w:val="00151CE5"/>
    <w:rsid w:val="00197342"/>
    <w:rsid w:val="001A1A5C"/>
    <w:rsid w:val="002B4230"/>
    <w:rsid w:val="003250E5"/>
    <w:rsid w:val="004E2B71"/>
    <w:rsid w:val="005453BB"/>
    <w:rsid w:val="00551567"/>
    <w:rsid w:val="007137B8"/>
    <w:rsid w:val="007C1543"/>
    <w:rsid w:val="00846281"/>
    <w:rsid w:val="00927C87"/>
    <w:rsid w:val="009B600C"/>
    <w:rsid w:val="00C06B1D"/>
    <w:rsid w:val="00D90516"/>
    <w:rsid w:val="00DE1300"/>
    <w:rsid w:val="00E15DA7"/>
    <w:rsid w:val="00EB7B35"/>
    <w:rsid w:val="00EF2134"/>
    <w:rsid w:val="00F303D5"/>
    <w:rsid w:val="00F97AF3"/>
    <w:rsid w:val="00FB2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3"/>
    <o:shapelayout v:ext="edit">
      <o:idmap v:ext="edit" data="1"/>
    </o:shapelayout>
  </w:shapeDefaults>
  <w:decimalSymbol w:val="."/>
  <w:listSeparator w:val=","/>
  <w15:chartTrackingRefBased/>
  <w15:docId w15:val="{B3649F39-EDE1-4087-A98B-7A1ADDC4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customStyle="1" w:styleId="Document1">
    <w:name w:val="Document 1"/>
    <w:pPr>
      <w:keepNext/>
      <w:keepLines/>
      <w:tabs>
        <w:tab w:val="left" w:pos="-720"/>
      </w:tabs>
      <w:suppressAutoHyphens/>
    </w:pPr>
    <w:rPr>
      <w:rFonts w:ascii="Courier" w:hAnsi="Courier"/>
      <w:lang w:val="en-US" w:eastAsia="en-US"/>
    </w:rPr>
  </w:style>
  <w:style w:type="paragraph" w:styleId="BalloonText">
    <w:name w:val="Balloon Text"/>
    <w:basedOn w:val="Normal"/>
    <w:link w:val="BalloonTextChar"/>
    <w:uiPriority w:val="99"/>
    <w:semiHidden/>
    <w:unhideWhenUsed/>
    <w:rsid w:val="005453BB"/>
    <w:rPr>
      <w:rFonts w:ascii="Tahoma" w:hAnsi="Tahoma" w:cs="Tahoma"/>
      <w:sz w:val="16"/>
      <w:szCs w:val="16"/>
    </w:rPr>
  </w:style>
  <w:style w:type="character" w:customStyle="1" w:styleId="BalloonTextChar">
    <w:name w:val="Balloon Text Char"/>
    <w:link w:val="BalloonText"/>
    <w:uiPriority w:val="99"/>
    <w:semiHidden/>
    <w:rsid w:val="005453BB"/>
    <w:rPr>
      <w:rFonts w:ascii="Tahoma" w:hAnsi="Tahoma" w:cs="Tahoma"/>
      <w:sz w:val="16"/>
      <w:szCs w:val="16"/>
    </w:rPr>
  </w:style>
  <w:style w:type="table" w:styleId="TableGrid">
    <w:name w:val="Table Grid"/>
    <w:basedOn w:val="TableNormal"/>
    <w:uiPriority w:val="59"/>
    <w:rsid w:val="0015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5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QCA.010 - Microscopes - Cleaning, Maintenance</vt:lpstr>
    </vt:vector>
  </TitlesOfParts>
  <Company>The Ottawa Hospital</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QCA.010 - Microscopes - Cleaning, Maintenance</dc:title>
  <dc:subject/>
  <dc:creator>TOPO</dc:creator>
  <cp:keywords/>
  <cp:lastModifiedBy>Nesrallah, Heather</cp:lastModifiedBy>
  <cp:revision>2</cp:revision>
  <cp:lastPrinted>2004-03-21T20:17:00Z</cp:lastPrinted>
  <dcterms:created xsi:type="dcterms:W3CDTF">2019-01-22T14:13:00Z</dcterms:created>
  <dcterms:modified xsi:type="dcterms:W3CDTF">2019-01-22T14:13:00Z</dcterms:modified>
</cp:coreProperties>
</file>