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BC8" w:rsidRDefault="005A0BC8" w:rsidP="0005617C">
      <w:pPr>
        <w:numPr>
          <w:ilvl w:val="0"/>
          <w:numId w:val="2"/>
        </w:numPr>
        <w:spacing w:after="240"/>
        <w:ind w:left="720" w:hanging="720"/>
        <w:rPr>
          <w:rFonts w:ascii="Arial" w:hAnsi="Arial"/>
          <w:b/>
          <w:sz w:val="28"/>
        </w:rPr>
      </w:pPr>
      <w:bookmarkStart w:id="0" w:name="_GoBack"/>
      <w:bookmarkEnd w:id="0"/>
      <w:r w:rsidRPr="005A0BC8">
        <w:rPr>
          <w:rFonts w:ascii="Arial" w:hAnsi="Arial"/>
          <w:b/>
          <w:sz w:val="28"/>
        </w:rPr>
        <w:t>Principle</w:t>
      </w:r>
    </w:p>
    <w:p w:rsidR="005A0BC8" w:rsidRPr="005A0BC8" w:rsidRDefault="005E1CD2" w:rsidP="005A0BC8">
      <w:pPr>
        <w:ind w:left="720"/>
        <w:rPr>
          <w:rFonts w:ascii="Arial" w:hAnsi="Arial"/>
          <w:b/>
          <w:sz w:val="28"/>
        </w:rPr>
      </w:pPr>
      <w:r>
        <w:rPr>
          <w:rFonts w:ascii="Arial" w:hAnsi="Arial"/>
        </w:rPr>
        <w:t>Certain</w:t>
      </w:r>
      <w:r w:rsidR="005A0BC8" w:rsidRPr="005A0BC8">
        <w:rPr>
          <w:rFonts w:ascii="Arial" w:hAnsi="Arial"/>
        </w:rPr>
        <w:t xml:space="preserve"> circumstances c</w:t>
      </w:r>
      <w:r>
        <w:rPr>
          <w:rFonts w:ascii="Arial" w:hAnsi="Arial"/>
        </w:rPr>
        <w:t>an</w:t>
      </w:r>
      <w:r w:rsidR="0005617C">
        <w:rPr>
          <w:rFonts w:ascii="Arial" w:hAnsi="Arial"/>
        </w:rPr>
        <w:t xml:space="preserve"> affect the reactivity of</w:t>
      </w:r>
      <w:r w:rsidR="005A0BC8" w:rsidRPr="005A0BC8">
        <w:rPr>
          <w:rFonts w:ascii="Arial" w:hAnsi="Arial"/>
        </w:rPr>
        <w:t xml:space="preserve"> reagents during shipment, storage and use in the TML. Quality control </w:t>
      </w:r>
      <w:r>
        <w:rPr>
          <w:rFonts w:ascii="Arial" w:hAnsi="Arial"/>
        </w:rPr>
        <w:t xml:space="preserve">testing </w:t>
      </w:r>
      <w:r w:rsidR="005A0BC8" w:rsidRPr="005A0BC8">
        <w:rPr>
          <w:rFonts w:ascii="Arial" w:hAnsi="Arial"/>
        </w:rPr>
        <w:t xml:space="preserve">is </w:t>
      </w:r>
      <w:r>
        <w:rPr>
          <w:rFonts w:ascii="Arial" w:hAnsi="Arial"/>
        </w:rPr>
        <w:t xml:space="preserve">performed </w:t>
      </w:r>
      <w:r w:rsidR="005A0BC8" w:rsidRPr="005A0BC8">
        <w:rPr>
          <w:rFonts w:ascii="Arial" w:hAnsi="Arial"/>
        </w:rPr>
        <w:t>to ensure that reagents will react as intended.</w:t>
      </w:r>
    </w:p>
    <w:p w:rsidR="005A0BC8" w:rsidRDefault="005A0BC8" w:rsidP="005A0BC8">
      <w:pPr>
        <w:rPr>
          <w:rFonts w:ascii="Arial" w:hAnsi="Arial"/>
        </w:rPr>
      </w:pPr>
    </w:p>
    <w:p w:rsidR="005A0BC8" w:rsidRDefault="005A0BC8" w:rsidP="0005617C">
      <w:pPr>
        <w:numPr>
          <w:ilvl w:val="0"/>
          <w:numId w:val="2"/>
        </w:numPr>
        <w:spacing w:after="240"/>
        <w:ind w:left="720" w:hanging="720"/>
        <w:rPr>
          <w:rFonts w:ascii="Arial" w:hAnsi="Arial"/>
          <w:b/>
        </w:rPr>
      </w:pPr>
      <w:r w:rsidRPr="005A0BC8">
        <w:rPr>
          <w:rFonts w:ascii="Arial" w:hAnsi="Arial"/>
          <w:b/>
          <w:sz w:val="28"/>
        </w:rPr>
        <w:t>Scope and Related Policies</w:t>
      </w:r>
    </w:p>
    <w:p w:rsidR="003C4160" w:rsidRDefault="005A0BC8" w:rsidP="00F93BD5">
      <w:pPr>
        <w:numPr>
          <w:ilvl w:val="1"/>
          <w:numId w:val="2"/>
        </w:numPr>
        <w:tabs>
          <w:tab w:val="left" w:pos="1440"/>
        </w:tabs>
        <w:ind w:left="1440" w:hanging="720"/>
        <w:rPr>
          <w:rFonts w:ascii="Arial" w:hAnsi="Arial"/>
          <w:b/>
        </w:rPr>
      </w:pPr>
      <w:r w:rsidRPr="005A0BC8">
        <w:rPr>
          <w:rFonts w:ascii="Arial" w:hAnsi="Arial"/>
        </w:rPr>
        <w:t>All reagents shall be used and controlled according to the manufacturer’s written instruction.</w:t>
      </w:r>
      <w:r w:rsidRPr="005A0BC8">
        <w:rPr>
          <w:rFonts w:ascii="Arial" w:hAnsi="Arial"/>
          <w:vertAlign w:val="superscript"/>
        </w:rPr>
        <w:t xml:space="preserve">9.1 </w:t>
      </w:r>
    </w:p>
    <w:p w:rsidR="003C4160" w:rsidRDefault="003C4160" w:rsidP="003C4160">
      <w:pPr>
        <w:tabs>
          <w:tab w:val="left" w:pos="1440"/>
        </w:tabs>
        <w:ind w:left="1440"/>
        <w:rPr>
          <w:rFonts w:ascii="Arial" w:hAnsi="Arial"/>
          <w:b/>
        </w:rPr>
      </w:pPr>
    </w:p>
    <w:p w:rsidR="005A0BC8" w:rsidRPr="003C4160" w:rsidRDefault="005A0BC8" w:rsidP="00F93BD5">
      <w:pPr>
        <w:numPr>
          <w:ilvl w:val="1"/>
          <w:numId w:val="2"/>
        </w:numPr>
        <w:tabs>
          <w:tab w:val="left" w:pos="1440"/>
        </w:tabs>
        <w:ind w:left="1440" w:hanging="720"/>
        <w:rPr>
          <w:rFonts w:ascii="Arial" w:hAnsi="Arial"/>
          <w:b/>
        </w:rPr>
      </w:pPr>
      <w:r w:rsidRPr="003C4160">
        <w:rPr>
          <w:rFonts w:ascii="Arial" w:hAnsi="Arial"/>
        </w:rPr>
        <w:t>For all reagents(including prepared in-house) and control materials records shall be kept of:</w:t>
      </w:r>
      <w:r w:rsidR="0005617C">
        <w:rPr>
          <w:rFonts w:ascii="Arial" w:hAnsi="Arial"/>
        </w:rPr>
        <w:t xml:space="preserve"> </w:t>
      </w:r>
      <w:r w:rsidR="000E143F">
        <w:rPr>
          <w:rFonts w:ascii="Arial" w:hAnsi="Arial"/>
          <w:vertAlign w:val="superscript"/>
        </w:rPr>
        <w:t>9.2</w:t>
      </w:r>
    </w:p>
    <w:p w:rsidR="005A0BC8" w:rsidRDefault="005A0BC8" w:rsidP="005A0BC8">
      <w:pPr>
        <w:pStyle w:val="ListParagraph"/>
        <w:rPr>
          <w:rFonts w:ascii="Arial" w:hAnsi="Arial"/>
        </w:rPr>
      </w:pPr>
    </w:p>
    <w:p w:rsidR="005A0BC8" w:rsidRDefault="005A0BC8" w:rsidP="00F93BD5">
      <w:pPr>
        <w:numPr>
          <w:ilvl w:val="0"/>
          <w:numId w:val="3"/>
        </w:numPr>
        <w:tabs>
          <w:tab w:val="left" w:pos="1980"/>
        </w:tabs>
        <w:ind w:left="1980" w:hanging="450"/>
        <w:rPr>
          <w:rFonts w:ascii="Arial" w:hAnsi="Arial"/>
          <w:b/>
        </w:rPr>
      </w:pPr>
      <w:r w:rsidRPr="005A0BC8">
        <w:rPr>
          <w:rFonts w:ascii="Arial" w:hAnsi="Arial"/>
        </w:rPr>
        <w:t>lot numbers</w:t>
      </w:r>
    </w:p>
    <w:p w:rsidR="003C4160" w:rsidRPr="003C4160" w:rsidRDefault="003C4160" w:rsidP="003C4160">
      <w:pPr>
        <w:tabs>
          <w:tab w:val="left" w:pos="1080"/>
          <w:tab w:val="left" w:pos="1710"/>
        </w:tabs>
        <w:ind w:left="1980"/>
        <w:rPr>
          <w:rFonts w:ascii="Arial" w:hAnsi="Arial"/>
          <w:b/>
        </w:rPr>
      </w:pPr>
    </w:p>
    <w:p w:rsidR="005A0BC8" w:rsidRDefault="005A0BC8" w:rsidP="00F93BD5">
      <w:pPr>
        <w:numPr>
          <w:ilvl w:val="0"/>
          <w:numId w:val="3"/>
        </w:numPr>
        <w:tabs>
          <w:tab w:val="left" w:pos="1980"/>
        </w:tabs>
        <w:ind w:left="1980" w:hanging="450"/>
        <w:rPr>
          <w:rFonts w:ascii="Arial" w:hAnsi="Arial"/>
          <w:b/>
        </w:rPr>
      </w:pPr>
      <w:r w:rsidRPr="005A0BC8">
        <w:rPr>
          <w:rFonts w:ascii="Arial" w:hAnsi="Arial"/>
        </w:rPr>
        <w:t>the date of receipt in the laboratory</w:t>
      </w:r>
    </w:p>
    <w:p w:rsidR="003C4160" w:rsidRPr="003C4160" w:rsidRDefault="003C4160" w:rsidP="003C4160">
      <w:pPr>
        <w:tabs>
          <w:tab w:val="left" w:pos="1080"/>
          <w:tab w:val="left" w:pos="1710"/>
        </w:tabs>
        <w:ind w:left="1980"/>
        <w:rPr>
          <w:rFonts w:ascii="Arial" w:hAnsi="Arial"/>
          <w:b/>
        </w:rPr>
      </w:pPr>
    </w:p>
    <w:p w:rsidR="005A0BC8" w:rsidRDefault="005A0BC8" w:rsidP="00F93BD5">
      <w:pPr>
        <w:numPr>
          <w:ilvl w:val="0"/>
          <w:numId w:val="3"/>
        </w:numPr>
        <w:ind w:left="1980" w:hanging="450"/>
        <w:rPr>
          <w:rFonts w:ascii="Arial" w:hAnsi="Arial"/>
          <w:b/>
        </w:rPr>
      </w:pPr>
      <w:r w:rsidRPr="005A0BC8">
        <w:rPr>
          <w:rFonts w:ascii="Arial" w:hAnsi="Arial"/>
        </w:rPr>
        <w:t>the date the material is placed in service</w:t>
      </w:r>
    </w:p>
    <w:p w:rsidR="003C4160" w:rsidRPr="003C4160" w:rsidRDefault="003C4160" w:rsidP="003C4160">
      <w:pPr>
        <w:tabs>
          <w:tab w:val="left" w:pos="1080"/>
          <w:tab w:val="left" w:pos="1710"/>
        </w:tabs>
        <w:ind w:left="1980"/>
        <w:rPr>
          <w:rFonts w:ascii="Arial" w:hAnsi="Arial"/>
          <w:b/>
        </w:rPr>
      </w:pPr>
    </w:p>
    <w:p w:rsidR="005A0BC8" w:rsidRDefault="005A0BC8" w:rsidP="00F93BD5">
      <w:pPr>
        <w:numPr>
          <w:ilvl w:val="0"/>
          <w:numId w:val="3"/>
        </w:numPr>
        <w:ind w:left="1980" w:hanging="450"/>
        <w:rPr>
          <w:rFonts w:ascii="Arial" w:hAnsi="Arial"/>
          <w:b/>
        </w:rPr>
      </w:pPr>
      <w:r w:rsidRPr="005A0BC8">
        <w:rPr>
          <w:rFonts w:ascii="Arial" w:hAnsi="Arial"/>
        </w:rPr>
        <w:t>expiration date</w:t>
      </w:r>
    </w:p>
    <w:p w:rsidR="003C4160" w:rsidRPr="003C4160" w:rsidRDefault="003C4160" w:rsidP="003C4160">
      <w:pPr>
        <w:tabs>
          <w:tab w:val="left" w:pos="1260"/>
          <w:tab w:val="left" w:pos="1710"/>
        </w:tabs>
        <w:ind w:left="1980"/>
        <w:rPr>
          <w:rFonts w:ascii="Arial" w:hAnsi="Arial"/>
          <w:b/>
        </w:rPr>
      </w:pPr>
    </w:p>
    <w:p w:rsidR="005A0BC8" w:rsidRDefault="005A0BC8" w:rsidP="00F93BD5">
      <w:pPr>
        <w:numPr>
          <w:ilvl w:val="0"/>
          <w:numId w:val="3"/>
        </w:numPr>
        <w:ind w:left="1980" w:hanging="450"/>
        <w:rPr>
          <w:rFonts w:ascii="Arial" w:hAnsi="Arial"/>
          <w:b/>
        </w:rPr>
      </w:pPr>
      <w:r w:rsidRPr="005A0BC8">
        <w:rPr>
          <w:rFonts w:ascii="Arial" w:hAnsi="Arial"/>
        </w:rPr>
        <w:t>the date the ma</w:t>
      </w:r>
      <w:r w:rsidR="003C4160">
        <w:rPr>
          <w:rFonts w:ascii="Arial" w:hAnsi="Arial"/>
        </w:rPr>
        <w:t xml:space="preserve">terial was taken out of service </w:t>
      </w:r>
      <w:r w:rsidRPr="005A0BC8">
        <w:rPr>
          <w:rFonts w:ascii="Arial" w:hAnsi="Arial"/>
        </w:rPr>
        <w:t>due to poor performance or quality issues</w:t>
      </w:r>
      <w:r w:rsidR="003C4160">
        <w:rPr>
          <w:rFonts w:ascii="Arial" w:hAnsi="Arial"/>
        </w:rPr>
        <w:t xml:space="preserve"> (if applicable)</w:t>
      </w:r>
    </w:p>
    <w:p w:rsidR="003C4160" w:rsidRPr="003C4160" w:rsidRDefault="003C4160" w:rsidP="003C4160">
      <w:pPr>
        <w:tabs>
          <w:tab w:val="left" w:pos="1710"/>
        </w:tabs>
        <w:ind w:left="1980"/>
        <w:rPr>
          <w:rFonts w:ascii="Arial" w:hAnsi="Arial"/>
          <w:b/>
        </w:rPr>
      </w:pPr>
    </w:p>
    <w:p w:rsidR="003C4160" w:rsidRDefault="005A0BC8" w:rsidP="00F93BD5">
      <w:pPr>
        <w:numPr>
          <w:ilvl w:val="0"/>
          <w:numId w:val="3"/>
        </w:numPr>
        <w:ind w:left="1980" w:hanging="450"/>
        <w:rPr>
          <w:rFonts w:ascii="Arial" w:hAnsi="Arial"/>
          <w:b/>
        </w:rPr>
      </w:pPr>
      <w:r w:rsidRPr="005A0BC8">
        <w:rPr>
          <w:rFonts w:ascii="Arial" w:hAnsi="Arial"/>
        </w:rPr>
        <w:t>preparation date</w:t>
      </w:r>
      <w:r w:rsidR="003C4160">
        <w:rPr>
          <w:rFonts w:ascii="Arial" w:hAnsi="Arial"/>
        </w:rPr>
        <w:t xml:space="preserve"> </w:t>
      </w:r>
      <w:r w:rsidRPr="005A0BC8">
        <w:rPr>
          <w:rFonts w:ascii="Arial" w:hAnsi="Arial"/>
        </w:rPr>
        <w:t>(if applicable)</w:t>
      </w:r>
    </w:p>
    <w:p w:rsidR="003C4160" w:rsidRDefault="003C4160" w:rsidP="003C4160">
      <w:pPr>
        <w:rPr>
          <w:rFonts w:ascii="Arial" w:hAnsi="Arial"/>
          <w:b/>
        </w:rPr>
      </w:pPr>
    </w:p>
    <w:p w:rsidR="003C4160" w:rsidRPr="003C4160" w:rsidRDefault="005A0BC8" w:rsidP="00F93BD5">
      <w:pPr>
        <w:numPr>
          <w:ilvl w:val="1"/>
          <w:numId w:val="2"/>
        </w:numPr>
        <w:tabs>
          <w:tab w:val="left" w:pos="1440"/>
        </w:tabs>
        <w:ind w:left="1440" w:hanging="720"/>
        <w:rPr>
          <w:rFonts w:ascii="Arial" w:hAnsi="Arial"/>
          <w:b/>
        </w:rPr>
      </w:pPr>
      <w:r w:rsidRPr="003C4160">
        <w:rPr>
          <w:rFonts w:ascii="Arial" w:hAnsi="Arial"/>
        </w:rPr>
        <w:t>All reagents shall be marked with reagent name, date opened, reconstitution date (if applicable)</w:t>
      </w:r>
      <w:r w:rsidR="00355F51">
        <w:rPr>
          <w:rFonts w:ascii="Arial" w:hAnsi="Arial"/>
        </w:rPr>
        <w:t xml:space="preserve"> /</w:t>
      </w:r>
      <w:r w:rsidR="00E67260">
        <w:rPr>
          <w:rFonts w:ascii="Arial" w:hAnsi="Arial"/>
        </w:rPr>
        <w:t xml:space="preserve"> </w:t>
      </w:r>
      <w:r w:rsidRPr="003C4160">
        <w:rPr>
          <w:rFonts w:ascii="Arial" w:hAnsi="Arial"/>
        </w:rPr>
        <w:t>preparation date, expiry date, and technologist initials when prepared.</w:t>
      </w:r>
    </w:p>
    <w:p w:rsidR="003C4160" w:rsidRPr="003C4160" w:rsidRDefault="003C4160" w:rsidP="003C4160">
      <w:pPr>
        <w:tabs>
          <w:tab w:val="left" w:pos="1080"/>
        </w:tabs>
        <w:ind w:left="1080"/>
        <w:rPr>
          <w:rFonts w:ascii="Arial" w:hAnsi="Arial"/>
          <w:b/>
        </w:rPr>
      </w:pPr>
    </w:p>
    <w:p w:rsidR="003C4160" w:rsidRDefault="005A0BC8" w:rsidP="00F93BD5">
      <w:pPr>
        <w:numPr>
          <w:ilvl w:val="1"/>
          <w:numId w:val="2"/>
        </w:numPr>
        <w:tabs>
          <w:tab w:val="left" w:pos="1440"/>
        </w:tabs>
        <w:ind w:left="1440" w:hanging="720"/>
        <w:rPr>
          <w:rFonts w:ascii="Arial" w:hAnsi="Arial"/>
          <w:b/>
        </w:rPr>
      </w:pPr>
      <w:r w:rsidRPr="003C4160">
        <w:rPr>
          <w:rFonts w:ascii="Arial" w:hAnsi="Arial"/>
        </w:rPr>
        <w:t>All reagents must be stored according to manufacturer’s requirements and discarded when the expiry date is reached, unless exceptions are confirmed by the manufacturer, or controls indicate adequate performance.</w:t>
      </w:r>
      <w:r w:rsidR="000E143F">
        <w:rPr>
          <w:rFonts w:ascii="Arial" w:hAnsi="Arial"/>
          <w:vertAlign w:val="superscript"/>
        </w:rPr>
        <w:t>9.2</w:t>
      </w:r>
    </w:p>
    <w:p w:rsidR="003C4160" w:rsidRDefault="005A0BC8" w:rsidP="0005617C">
      <w:pPr>
        <w:numPr>
          <w:ilvl w:val="0"/>
          <w:numId w:val="2"/>
        </w:numPr>
        <w:tabs>
          <w:tab w:val="left" w:pos="720"/>
        </w:tabs>
        <w:spacing w:after="240"/>
        <w:ind w:left="720" w:hanging="720"/>
        <w:rPr>
          <w:rFonts w:ascii="Arial" w:hAnsi="Arial"/>
          <w:b/>
          <w:sz w:val="28"/>
        </w:rPr>
      </w:pPr>
      <w:r w:rsidRPr="003C4160">
        <w:rPr>
          <w:rFonts w:ascii="Arial" w:hAnsi="Arial"/>
          <w:b/>
          <w:sz w:val="28"/>
        </w:rPr>
        <w:lastRenderedPageBreak/>
        <w:t>Specimens – N/A</w:t>
      </w:r>
    </w:p>
    <w:p w:rsidR="005A0BC8" w:rsidRPr="003C4160" w:rsidRDefault="005A0BC8" w:rsidP="0005617C">
      <w:pPr>
        <w:numPr>
          <w:ilvl w:val="0"/>
          <w:numId w:val="2"/>
        </w:numPr>
        <w:tabs>
          <w:tab w:val="left" w:pos="720"/>
        </w:tabs>
        <w:spacing w:after="240"/>
        <w:ind w:left="720" w:hanging="720"/>
        <w:rPr>
          <w:rFonts w:ascii="Arial" w:hAnsi="Arial"/>
          <w:b/>
          <w:sz w:val="32"/>
        </w:rPr>
      </w:pPr>
      <w:r w:rsidRPr="003C4160">
        <w:rPr>
          <w:rFonts w:ascii="Arial" w:hAnsi="Arial"/>
          <w:b/>
          <w:sz w:val="28"/>
        </w:rPr>
        <w:t xml:space="preserve">Materials </w:t>
      </w:r>
    </w:p>
    <w:p w:rsidR="005A0BC8" w:rsidRPr="005A0BC8" w:rsidRDefault="003C4160" w:rsidP="005A0BC8">
      <w:pPr>
        <w:rPr>
          <w:rFonts w:ascii="Arial" w:hAnsi="Arial"/>
        </w:rPr>
      </w:pPr>
      <w:r>
        <w:rPr>
          <w:rFonts w:ascii="Arial" w:hAnsi="Arial"/>
        </w:rPr>
        <w:tab/>
      </w:r>
      <w:r w:rsidRPr="003C4160">
        <w:rPr>
          <w:rFonts w:ascii="Arial" w:hAnsi="Arial"/>
          <w:b/>
        </w:rPr>
        <w:t>Reagents:</w:t>
      </w:r>
      <w:r>
        <w:rPr>
          <w:rFonts w:ascii="Arial" w:hAnsi="Arial"/>
        </w:rPr>
        <w:tab/>
      </w:r>
      <w:r w:rsidR="005A0BC8" w:rsidRPr="005A0BC8">
        <w:rPr>
          <w:rFonts w:ascii="Arial" w:hAnsi="Arial"/>
        </w:rPr>
        <w:t>Anti- sera</w:t>
      </w:r>
    </w:p>
    <w:p w:rsidR="003C4160" w:rsidRDefault="005A0BC8" w:rsidP="003C4160">
      <w:pPr>
        <w:rPr>
          <w:rFonts w:ascii="Arial" w:hAnsi="Arial"/>
        </w:rPr>
      </w:pPr>
      <w:r w:rsidRPr="005A0BC8">
        <w:rPr>
          <w:rFonts w:ascii="Arial" w:hAnsi="Arial"/>
        </w:rPr>
        <w:tab/>
      </w:r>
      <w:r w:rsidRPr="005A0BC8">
        <w:rPr>
          <w:rFonts w:ascii="Arial" w:hAnsi="Arial"/>
        </w:rPr>
        <w:tab/>
      </w:r>
      <w:r w:rsidRPr="005A0BC8">
        <w:rPr>
          <w:rFonts w:ascii="Arial" w:hAnsi="Arial"/>
        </w:rPr>
        <w:tab/>
        <w:t>Reagent red cells</w:t>
      </w:r>
    </w:p>
    <w:p w:rsidR="003C4160" w:rsidRDefault="003C4160" w:rsidP="003C4160">
      <w:pPr>
        <w:rPr>
          <w:rFonts w:ascii="Arial" w:hAnsi="Arial"/>
        </w:rPr>
      </w:pPr>
    </w:p>
    <w:p w:rsidR="003C4160" w:rsidRDefault="003C4160" w:rsidP="0005617C">
      <w:pPr>
        <w:numPr>
          <w:ilvl w:val="0"/>
          <w:numId w:val="2"/>
        </w:numPr>
        <w:spacing w:after="240"/>
        <w:ind w:left="720" w:hanging="720"/>
        <w:rPr>
          <w:rFonts w:ascii="Arial" w:hAnsi="Arial"/>
          <w:b/>
          <w:sz w:val="28"/>
        </w:rPr>
      </w:pPr>
      <w:r w:rsidRPr="003C4160">
        <w:rPr>
          <w:rFonts w:ascii="Arial" w:hAnsi="Arial"/>
          <w:b/>
          <w:sz w:val="28"/>
        </w:rPr>
        <w:t>Quality Control</w:t>
      </w:r>
    </w:p>
    <w:p w:rsidR="00A53F97" w:rsidRDefault="00A53F97" w:rsidP="00F93BD5">
      <w:pPr>
        <w:numPr>
          <w:ilvl w:val="1"/>
          <w:numId w:val="2"/>
        </w:numPr>
        <w:ind w:left="1440" w:hanging="720"/>
        <w:rPr>
          <w:rFonts w:ascii="Arial" w:hAnsi="Arial"/>
        </w:rPr>
      </w:pPr>
      <w:r w:rsidRPr="00A53F97">
        <w:rPr>
          <w:rFonts w:ascii="Arial" w:hAnsi="Arial"/>
        </w:rPr>
        <w:t>In this procedure quality control recommendations are summarized for blood grouping reagents and red cell reagents.</w:t>
      </w:r>
    </w:p>
    <w:p w:rsidR="00A53F97" w:rsidRDefault="00A53F97" w:rsidP="00A53F97">
      <w:pPr>
        <w:ind w:left="1440"/>
        <w:rPr>
          <w:rFonts w:ascii="Arial" w:hAnsi="Arial"/>
        </w:rPr>
      </w:pPr>
    </w:p>
    <w:p w:rsidR="00A53F97" w:rsidRDefault="003C4160" w:rsidP="00F93BD5">
      <w:pPr>
        <w:numPr>
          <w:ilvl w:val="1"/>
          <w:numId w:val="2"/>
        </w:numPr>
        <w:ind w:left="1440" w:hanging="720"/>
        <w:rPr>
          <w:rFonts w:ascii="Arial" w:hAnsi="Arial"/>
        </w:rPr>
      </w:pPr>
      <w:r w:rsidRPr="00A53F97">
        <w:rPr>
          <w:rFonts w:ascii="Arial" w:hAnsi="Arial"/>
        </w:rPr>
        <w:t>In addition to these specific recommendatio</w:t>
      </w:r>
      <w:r w:rsidR="00A53F97">
        <w:rPr>
          <w:rFonts w:ascii="Arial" w:hAnsi="Arial"/>
        </w:rPr>
        <w:t xml:space="preserve">ns refer to the procedures for: </w:t>
      </w:r>
    </w:p>
    <w:p w:rsidR="00A53F97" w:rsidRDefault="00A53F97" w:rsidP="00A53F97">
      <w:pPr>
        <w:pStyle w:val="ListParagraph"/>
        <w:rPr>
          <w:rFonts w:ascii="Arial" w:hAnsi="Arial"/>
        </w:rPr>
      </w:pPr>
    </w:p>
    <w:p w:rsidR="00A53F97" w:rsidRDefault="003C4160" w:rsidP="00F93BD5">
      <w:pPr>
        <w:numPr>
          <w:ilvl w:val="0"/>
          <w:numId w:val="4"/>
        </w:numPr>
        <w:rPr>
          <w:rFonts w:ascii="Arial" w:hAnsi="Arial"/>
        </w:rPr>
      </w:pPr>
      <w:r w:rsidRPr="00A53F97">
        <w:rPr>
          <w:rFonts w:ascii="Arial" w:hAnsi="Arial"/>
        </w:rPr>
        <w:t xml:space="preserve">Reading and grading serological reactions. See </w:t>
      </w:r>
      <w:r w:rsidR="000E143F">
        <w:rPr>
          <w:rFonts w:ascii="Arial" w:hAnsi="Arial"/>
        </w:rPr>
        <w:t>RT.001</w:t>
      </w:r>
      <w:r w:rsidRPr="00A53F97">
        <w:rPr>
          <w:rFonts w:ascii="Arial" w:hAnsi="Arial"/>
        </w:rPr>
        <w:t xml:space="preserve"> – Reading and Recording Hemagglutination Reactions</w:t>
      </w:r>
    </w:p>
    <w:p w:rsidR="00A53F97" w:rsidRDefault="00A53F97" w:rsidP="00A53F97">
      <w:pPr>
        <w:pStyle w:val="ListParagraph"/>
        <w:rPr>
          <w:rFonts w:ascii="Arial" w:hAnsi="Arial"/>
        </w:rPr>
      </w:pPr>
    </w:p>
    <w:p w:rsidR="003C4160" w:rsidRPr="00A53F97" w:rsidRDefault="003C4160" w:rsidP="00F93BD5">
      <w:pPr>
        <w:numPr>
          <w:ilvl w:val="1"/>
          <w:numId w:val="2"/>
        </w:numPr>
        <w:ind w:left="1440" w:hanging="720"/>
        <w:rPr>
          <w:rFonts w:ascii="Arial" w:hAnsi="Arial"/>
        </w:rPr>
      </w:pPr>
      <w:r w:rsidRPr="00A53F97">
        <w:rPr>
          <w:rFonts w:ascii="Arial" w:hAnsi="Arial"/>
        </w:rPr>
        <w:t>Documentation in this procedure includes:</w:t>
      </w:r>
    </w:p>
    <w:p w:rsidR="003C4160" w:rsidRPr="003C4160" w:rsidRDefault="003C4160" w:rsidP="003C4160">
      <w:pPr>
        <w:rPr>
          <w:rFonts w:ascii="Arial" w:hAnsi="Arial"/>
        </w:rPr>
      </w:pPr>
    </w:p>
    <w:p w:rsidR="003C4160" w:rsidRPr="003C4160" w:rsidRDefault="003C4160" w:rsidP="00F93BD5">
      <w:pPr>
        <w:numPr>
          <w:ilvl w:val="0"/>
          <w:numId w:val="4"/>
        </w:numPr>
        <w:rPr>
          <w:rFonts w:ascii="Arial" w:hAnsi="Arial"/>
        </w:rPr>
      </w:pPr>
      <w:r w:rsidRPr="003C4160">
        <w:rPr>
          <w:rFonts w:ascii="Arial" w:hAnsi="Arial"/>
        </w:rPr>
        <w:t>Visual inspection</w:t>
      </w:r>
    </w:p>
    <w:p w:rsidR="003C4160" w:rsidRPr="003C4160" w:rsidRDefault="003C4160" w:rsidP="003C4160">
      <w:pPr>
        <w:rPr>
          <w:rFonts w:ascii="Arial" w:hAnsi="Arial"/>
        </w:rPr>
      </w:pPr>
    </w:p>
    <w:p w:rsidR="003C4160" w:rsidRPr="003C4160" w:rsidRDefault="003C4160" w:rsidP="00F93BD5">
      <w:pPr>
        <w:numPr>
          <w:ilvl w:val="0"/>
          <w:numId w:val="4"/>
        </w:numPr>
        <w:rPr>
          <w:rFonts w:ascii="Arial" w:hAnsi="Arial"/>
        </w:rPr>
      </w:pPr>
      <w:r w:rsidRPr="003C4160">
        <w:rPr>
          <w:rFonts w:ascii="Arial" w:hAnsi="Arial"/>
        </w:rPr>
        <w:t>Reagent type and lot number</w:t>
      </w:r>
    </w:p>
    <w:p w:rsidR="003C4160" w:rsidRPr="003C4160" w:rsidRDefault="003C4160" w:rsidP="003C4160">
      <w:pPr>
        <w:rPr>
          <w:rFonts w:ascii="Arial" w:hAnsi="Arial"/>
        </w:rPr>
      </w:pPr>
    </w:p>
    <w:p w:rsidR="003C4160" w:rsidRPr="003C4160" w:rsidRDefault="003C4160" w:rsidP="00F93BD5">
      <w:pPr>
        <w:numPr>
          <w:ilvl w:val="0"/>
          <w:numId w:val="4"/>
        </w:numPr>
        <w:rPr>
          <w:rFonts w:ascii="Arial" w:hAnsi="Arial"/>
        </w:rPr>
      </w:pPr>
      <w:r w:rsidRPr="003C4160">
        <w:rPr>
          <w:rFonts w:ascii="Arial" w:hAnsi="Arial"/>
        </w:rPr>
        <w:t>Expiry date and lot number</w:t>
      </w:r>
    </w:p>
    <w:p w:rsidR="003C4160" w:rsidRPr="003C4160" w:rsidRDefault="003C4160" w:rsidP="003C4160">
      <w:pPr>
        <w:rPr>
          <w:rFonts w:ascii="Arial" w:hAnsi="Arial"/>
        </w:rPr>
      </w:pPr>
    </w:p>
    <w:p w:rsidR="003C4160" w:rsidRPr="003C4160" w:rsidRDefault="003C4160" w:rsidP="00F93BD5">
      <w:pPr>
        <w:numPr>
          <w:ilvl w:val="0"/>
          <w:numId w:val="4"/>
        </w:numPr>
        <w:rPr>
          <w:rFonts w:ascii="Arial" w:hAnsi="Arial"/>
        </w:rPr>
      </w:pPr>
      <w:r w:rsidRPr="003C4160">
        <w:rPr>
          <w:rFonts w:ascii="Arial" w:hAnsi="Arial"/>
        </w:rPr>
        <w:t>Date of testing</w:t>
      </w:r>
    </w:p>
    <w:p w:rsidR="003C4160" w:rsidRPr="003C4160" w:rsidRDefault="003C4160" w:rsidP="00550AF6">
      <w:pPr>
        <w:ind w:firstLine="720"/>
        <w:rPr>
          <w:rFonts w:ascii="Arial" w:hAnsi="Arial"/>
        </w:rPr>
      </w:pPr>
    </w:p>
    <w:p w:rsidR="00550AF6" w:rsidRDefault="003C4160" w:rsidP="00F93BD5">
      <w:pPr>
        <w:numPr>
          <w:ilvl w:val="0"/>
          <w:numId w:val="4"/>
        </w:numPr>
        <w:rPr>
          <w:rFonts w:ascii="Arial" w:hAnsi="Arial"/>
        </w:rPr>
      </w:pPr>
      <w:r w:rsidRPr="003C4160">
        <w:rPr>
          <w:rFonts w:ascii="Arial" w:hAnsi="Arial"/>
        </w:rPr>
        <w:t>Result obtained</w:t>
      </w:r>
    </w:p>
    <w:p w:rsidR="00550AF6" w:rsidRDefault="00550AF6" w:rsidP="00550AF6">
      <w:pPr>
        <w:pStyle w:val="ListParagraph"/>
        <w:rPr>
          <w:rFonts w:ascii="Arial" w:hAnsi="Arial"/>
        </w:rPr>
      </w:pPr>
    </w:p>
    <w:p w:rsidR="00550AF6" w:rsidRDefault="003C4160" w:rsidP="00F93BD5">
      <w:pPr>
        <w:numPr>
          <w:ilvl w:val="0"/>
          <w:numId w:val="4"/>
        </w:numPr>
        <w:rPr>
          <w:rFonts w:ascii="Arial" w:hAnsi="Arial"/>
        </w:rPr>
      </w:pPr>
      <w:r w:rsidRPr="00550AF6">
        <w:rPr>
          <w:rFonts w:ascii="Arial" w:hAnsi="Arial"/>
        </w:rPr>
        <w:t>Individual performing the test</w:t>
      </w:r>
    </w:p>
    <w:p w:rsidR="00550AF6" w:rsidRDefault="00550AF6" w:rsidP="00550AF6">
      <w:pPr>
        <w:pStyle w:val="ListParagraph"/>
        <w:rPr>
          <w:rFonts w:ascii="Arial" w:hAnsi="Arial"/>
        </w:rPr>
      </w:pPr>
    </w:p>
    <w:p w:rsidR="00F412D8" w:rsidRDefault="00550AF6" w:rsidP="00F93BD5">
      <w:pPr>
        <w:numPr>
          <w:ilvl w:val="0"/>
          <w:numId w:val="4"/>
        </w:numPr>
        <w:rPr>
          <w:rFonts w:ascii="Arial" w:hAnsi="Arial"/>
        </w:rPr>
      </w:pPr>
      <w:r>
        <w:rPr>
          <w:rFonts w:ascii="Arial" w:hAnsi="Arial"/>
        </w:rPr>
        <w:t>Any follow-up action</w:t>
      </w:r>
    </w:p>
    <w:p w:rsidR="00F412D8" w:rsidRDefault="00F412D8" w:rsidP="00F412D8">
      <w:pPr>
        <w:rPr>
          <w:rFonts w:ascii="Arial" w:hAnsi="Arial"/>
        </w:rPr>
      </w:pPr>
    </w:p>
    <w:p w:rsidR="003C4160" w:rsidRDefault="003C4160" w:rsidP="0005617C">
      <w:pPr>
        <w:numPr>
          <w:ilvl w:val="0"/>
          <w:numId w:val="2"/>
        </w:numPr>
        <w:ind w:left="720" w:hanging="720"/>
        <w:rPr>
          <w:rFonts w:ascii="Arial" w:hAnsi="Arial"/>
          <w:b/>
          <w:sz w:val="28"/>
        </w:rPr>
      </w:pPr>
      <w:r w:rsidRPr="00F412D8">
        <w:rPr>
          <w:rFonts w:ascii="Arial" w:hAnsi="Arial"/>
          <w:b/>
          <w:sz w:val="28"/>
        </w:rPr>
        <w:t>Procedure</w:t>
      </w:r>
    </w:p>
    <w:p w:rsidR="00F412D8" w:rsidRDefault="00F412D8" w:rsidP="003C4160">
      <w:pPr>
        <w:rPr>
          <w:rFonts w:ascii="Arial" w:hAnsi="Arial"/>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048"/>
      </w:tblGrid>
      <w:tr w:rsidR="00F412D8" w:rsidRPr="007F3EC5" w:rsidTr="007F3EC5">
        <w:trPr>
          <w:trHeight w:val="162"/>
          <w:jc w:val="center"/>
        </w:trPr>
        <w:tc>
          <w:tcPr>
            <w:tcW w:w="3240" w:type="dxa"/>
            <w:vMerge w:val="restart"/>
            <w:shd w:val="clear" w:color="auto" w:fill="auto"/>
          </w:tcPr>
          <w:p w:rsidR="00F412D8" w:rsidRPr="007F3EC5" w:rsidRDefault="00F412D8" w:rsidP="00F93BD5">
            <w:pPr>
              <w:numPr>
                <w:ilvl w:val="1"/>
                <w:numId w:val="2"/>
              </w:numPr>
              <w:ind w:left="540" w:hanging="540"/>
              <w:rPr>
                <w:rFonts w:ascii="Arial" w:hAnsi="Arial"/>
                <w:b/>
                <w:sz w:val="28"/>
              </w:rPr>
            </w:pPr>
            <w:r w:rsidRPr="007F3EC5">
              <w:rPr>
                <w:rFonts w:ascii="Arial" w:hAnsi="Arial"/>
              </w:rPr>
              <w:t>Upon receipt:</w:t>
            </w:r>
          </w:p>
        </w:tc>
        <w:tc>
          <w:tcPr>
            <w:tcW w:w="6048" w:type="dxa"/>
            <w:shd w:val="clear" w:color="auto" w:fill="auto"/>
          </w:tcPr>
          <w:p w:rsidR="00F412D8" w:rsidRPr="007F3EC5" w:rsidRDefault="00F412D8" w:rsidP="00F93BD5">
            <w:pPr>
              <w:numPr>
                <w:ilvl w:val="2"/>
                <w:numId w:val="2"/>
              </w:numPr>
              <w:rPr>
                <w:rFonts w:ascii="Arial" w:hAnsi="Arial"/>
                <w:b/>
                <w:sz w:val="28"/>
              </w:rPr>
            </w:pPr>
            <w:r w:rsidRPr="007F3EC5">
              <w:rPr>
                <w:rFonts w:ascii="Arial" w:hAnsi="Arial"/>
              </w:rPr>
              <w:t>A representative vial of each anti-sera reagent received must be visually inspected to ensure that cloudiness, turbidity and/or particulate matter are not present. See Procedural Notes 8.1.</w:t>
            </w:r>
          </w:p>
        </w:tc>
      </w:tr>
      <w:tr w:rsidR="00F412D8" w:rsidRPr="007F3EC5" w:rsidTr="007F3EC5">
        <w:trPr>
          <w:trHeight w:val="550"/>
          <w:jc w:val="center"/>
        </w:trPr>
        <w:tc>
          <w:tcPr>
            <w:tcW w:w="3240" w:type="dxa"/>
            <w:vMerge/>
            <w:shd w:val="clear" w:color="auto" w:fill="auto"/>
          </w:tcPr>
          <w:p w:rsidR="00F412D8" w:rsidRPr="007F3EC5" w:rsidRDefault="00F412D8" w:rsidP="00F93BD5">
            <w:pPr>
              <w:numPr>
                <w:ilvl w:val="1"/>
                <w:numId w:val="2"/>
              </w:numPr>
              <w:ind w:left="540" w:hanging="540"/>
              <w:rPr>
                <w:rFonts w:ascii="Arial" w:hAnsi="Arial"/>
              </w:rPr>
            </w:pPr>
          </w:p>
        </w:tc>
        <w:tc>
          <w:tcPr>
            <w:tcW w:w="6048" w:type="dxa"/>
            <w:shd w:val="clear" w:color="auto" w:fill="auto"/>
          </w:tcPr>
          <w:p w:rsidR="00F412D8" w:rsidRPr="007F3EC5" w:rsidRDefault="00F412D8" w:rsidP="00F93BD5">
            <w:pPr>
              <w:numPr>
                <w:ilvl w:val="2"/>
                <w:numId w:val="2"/>
              </w:numPr>
              <w:rPr>
                <w:rFonts w:ascii="Arial" w:hAnsi="Arial"/>
                <w:b/>
                <w:sz w:val="28"/>
              </w:rPr>
            </w:pPr>
            <w:r w:rsidRPr="007F3EC5">
              <w:rPr>
                <w:rFonts w:ascii="Arial" w:hAnsi="Arial"/>
              </w:rPr>
              <w:t xml:space="preserve">Each vial of reagent red cells when received should be allowed to settle. Once settled the supernatant in each vial must be visually inspected to ensure that hemolysis and/or discoloration is not present. Following gentle </w:t>
            </w:r>
            <w:r w:rsidR="00581FF1">
              <w:rPr>
                <w:rFonts w:ascii="Arial" w:hAnsi="Arial"/>
              </w:rPr>
              <w:t xml:space="preserve"> </w:t>
            </w:r>
            <w:r w:rsidRPr="007F3EC5">
              <w:rPr>
                <w:rFonts w:ascii="Arial" w:hAnsi="Arial"/>
              </w:rPr>
              <w:lastRenderedPageBreak/>
              <w:t>re-suspension of the cells the visual inspection is repeated to ensure discoloration is not present.</w:t>
            </w:r>
          </w:p>
        </w:tc>
      </w:tr>
      <w:tr w:rsidR="00F412D8" w:rsidRPr="007F3EC5" w:rsidTr="007F3EC5">
        <w:trPr>
          <w:trHeight w:val="137"/>
          <w:jc w:val="center"/>
        </w:trPr>
        <w:tc>
          <w:tcPr>
            <w:tcW w:w="3240" w:type="dxa"/>
            <w:vMerge/>
            <w:shd w:val="clear" w:color="auto" w:fill="auto"/>
          </w:tcPr>
          <w:p w:rsidR="00F412D8" w:rsidRPr="007F3EC5" w:rsidRDefault="00F412D8" w:rsidP="00F93BD5">
            <w:pPr>
              <w:numPr>
                <w:ilvl w:val="1"/>
                <w:numId w:val="2"/>
              </w:numPr>
              <w:ind w:left="540" w:hanging="540"/>
              <w:rPr>
                <w:rFonts w:ascii="Arial" w:hAnsi="Arial"/>
              </w:rPr>
            </w:pPr>
          </w:p>
        </w:tc>
        <w:tc>
          <w:tcPr>
            <w:tcW w:w="6048" w:type="dxa"/>
            <w:shd w:val="clear" w:color="auto" w:fill="auto"/>
          </w:tcPr>
          <w:p w:rsidR="00F412D8" w:rsidRPr="007F3EC5" w:rsidRDefault="0060347E" w:rsidP="00F93BD5">
            <w:pPr>
              <w:numPr>
                <w:ilvl w:val="2"/>
                <w:numId w:val="2"/>
              </w:numPr>
              <w:rPr>
                <w:rFonts w:ascii="Arial" w:hAnsi="Arial"/>
                <w:b/>
                <w:sz w:val="28"/>
              </w:rPr>
            </w:pPr>
            <w:r w:rsidRPr="007F3EC5">
              <w:rPr>
                <w:rFonts w:ascii="Arial" w:hAnsi="Arial"/>
              </w:rPr>
              <w:t>The date of receipt and lot numbers of all reagents received must be documented.</w:t>
            </w:r>
          </w:p>
        </w:tc>
      </w:tr>
      <w:tr w:rsidR="00F412D8" w:rsidRPr="007F3EC5" w:rsidTr="007F3EC5">
        <w:trPr>
          <w:trHeight w:val="162"/>
          <w:jc w:val="center"/>
        </w:trPr>
        <w:tc>
          <w:tcPr>
            <w:tcW w:w="3240" w:type="dxa"/>
            <w:vMerge/>
            <w:shd w:val="clear" w:color="auto" w:fill="auto"/>
          </w:tcPr>
          <w:p w:rsidR="00F412D8" w:rsidRPr="007F3EC5" w:rsidRDefault="00F412D8" w:rsidP="00F93BD5">
            <w:pPr>
              <w:numPr>
                <w:ilvl w:val="1"/>
                <w:numId w:val="2"/>
              </w:numPr>
              <w:ind w:left="540" w:hanging="540"/>
              <w:rPr>
                <w:rFonts w:ascii="Arial" w:hAnsi="Arial"/>
              </w:rPr>
            </w:pPr>
          </w:p>
        </w:tc>
        <w:tc>
          <w:tcPr>
            <w:tcW w:w="6048" w:type="dxa"/>
            <w:shd w:val="clear" w:color="auto" w:fill="auto"/>
          </w:tcPr>
          <w:p w:rsidR="00F412D8" w:rsidRPr="007F3EC5" w:rsidRDefault="0060347E" w:rsidP="00F93BD5">
            <w:pPr>
              <w:numPr>
                <w:ilvl w:val="2"/>
                <w:numId w:val="2"/>
              </w:numPr>
              <w:rPr>
                <w:rFonts w:ascii="Arial" w:hAnsi="Arial"/>
                <w:b/>
                <w:sz w:val="28"/>
              </w:rPr>
            </w:pPr>
            <w:r w:rsidRPr="007F3EC5">
              <w:rPr>
                <w:rFonts w:ascii="Arial" w:hAnsi="Arial"/>
              </w:rPr>
              <w:t>The results of the visual inspection must be documented. Document on form QCA 001 F1.</w:t>
            </w:r>
          </w:p>
        </w:tc>
      </w:tr>
      <w:tr w:rsidR="00F412D8" w:rsidRPr="007F3EC5" w:rsidTr="007F3EC5">
        <w:trPr>
          <w:trHeight w:val="147"/>
          <w:jc w:val="center"/>
        </w:trPr>
        <w:tc>
          <w:tcPr>
            <w:tcW w:w="3240" w:type="dxa"/>
            <w:vMerge/>
            <w:shd w:val="clear" w:color="auto" w:fill="auto"/>
          </w:tcPr>
          <w:p w:rsidR="00F412D8" w:rsidRPr="007F3EC5" w:rsidRDefault="00F412D8" w:rsidP="00F93BD5">
            <w:pPr>
              <w:numPr>
                <w:ilvl w:val="1"/>
                <w:numId w:val="2"/>
              </w:numPr>
              <w:ind w:left="540" w:hanging="540"/>
              <w:rPr>
                <w:rFonts w:ascii="Arial" w:hAnsi="Arial"/>
              </w:rPr>
            </w:pPr>
          </w:p>
        </w:tc>
        <w:tc>
          <w:tcPr>
            <w:tcW w:w="6048" w:type="dxa"/>
            <w:shd w:val="clear" w:color="auto" w:fill="auto"/>
          </w:tcPr>
          <w:p w:rsidR="00F412D8" w:rsidRPr="007F3EC5" w:rsidRDefault="0060347E" w:rsidP="00F93BD5">
            <w:pPr>
              <w:numPr>
                <w:ilvl w:val="2"/>
                <w:numId w:val="2"/>
              </w:numPr>
              <w:rPr>
                <w:rFonts w:ascii="Arial" w:hAnsi="Arial"/>
                <w:b/>
                <w:sz w:val="28"/>
              </w:rPr>
            </w:pPr>
            <w:r w:rsidRPr="007F3EC5">
              <w:rPr>
                <w:rFonts w:ascii="Arial" w:hAnsi="Arial"/>
              </w:rPr>
              <w:t>If visual inspection is not acceptable quarantine shipment until the cause has been identified and corrected.</w:t>
            </w:r>
          </w:p>
        </w:tc>
      </w:tr>
      <w:tr w:rsidR="000E143F" w:rsidRPr="007F3EC5" w:rsidTr="007F3EC5">
        <w:trPr>
          <w:trHeight w:val="147"/>
          <w:jc w:val="center"/>
        </w:trPr>
        <w:tc>
          <w:tcPr>
            <w:tcW w:w="3240" w:type="dxa"/>
            <w:vMerge/>
            <w:shd w:val="clear" w:color="auto" w:fill="auto"/>
          </w:tcPr>
          <w:p w:rsidR="000E143F" w:rsidRPr="007F3EC5" w:rsidRDefault="000E143F" w:rsidP="00F93BD5">
            <w:pPr>
              <w:numPr>
                <w:ilvl w:val="1"/>
                <w:numId w:val="2"/>
              </w:numPr>
              <w:ind w:left="540" w:hanging="540"/>
              <w:rPr>
                <w:rFonts w:ascii="Arial" w:hAnsi="Arial"/>
              </w:rPr>
            </w:pPr>
          </w:p>
        </w:tc>
        <w:tc>
          <w:tcPr>
            <w:tcW w:w="6048" w:type="dxa"/>
            <w:shd w:val="clear" w:color="auto" w:fill="auto"/>
          </w:tcPr>
          <w:p w:rsidR="000E143F" w:rsidRPr="007F3EC5" w:rsidRDefault="000E143F" w:rsidP="00396F3C">
            <w:pPr>
              <w:numPr>
                <w:ilvl w:val="2"/>
                <w:numId w:val="2"/>
              </w:numPr>
              <w:rPr>
                <w:rFonts w:ascii="Arial" w:hAnsi="Arial"/>
                <w:b/>
                <w:sz w:val="28"/>
              </w:rPr>
            </w:pPr>
            <w:r w:rsidRPr="007F3EC5">
              <w:rPr>
                <w:rFonts w:ascii="Arial" w:hAnsi="Arial"/>
              </w:rPr>
              <w:t>IgG coated cells must be tested as a positive control for the IgG activity of the reagent; Unsensitised red cells must be tested as a negative control for each reagent and the results documented.</w:t>
            </w:r>
            <w:r w:rsidR="00E72500">
              <w:rPr>
                <w:rFonts w:ascii="Arial" w:hAnsi="Arial"/>
                <w:vertAlign w:val="superscript"/>
              </w:rPr>
              <w:t>9.1</w:t>
            </w:r>
          </w:p>
        </w:tc>
      </w:tr>
      <w:tr w:rsidR="000E143F" w:rsidRPr="007F3EC5" w:rsidTr="007F3EC5">
        <w:trPr>
          <w:trHeight w:val="147"/>
          <w:jc w:val="center"/>
        </w:trPr>
        <w:tc>
          <w:tcPr>
            <w:tcW w:w="3240" w:type="dxa"/>
            <w:vMerge/>
            <w:shd w:val="clear" w:color="auto" w:fill="auto"/>
          </w:tcPr>
          <w:p w:rsidR="000E143F" w:rsidRPr="007F3EC5" w:rsidRDefault="000E143F" w:rsidP="00F93BD5">
            <w:pPr>
              <w:numPr>
                <w:ilvl w:val="1"/>
                <w:numId w:val="2"/>
              </w:numPr>
              <w:ind w:left="540" w:hanging="540"/>
              <w:rPr>
                <w:rFonts w:ascii="Arial" w:hAnsi="Arial"/>
              </w:rPr>
            </w:pPr>
          </w:p>
        </w:tc>
        <w:tc>
          <w:tcPr>
            <w:tcW w:w="6048" w:type="dxa"/>
            <w:shd w:val="clear" w:color="auto" w:fill="auto"/>
          </w:tcPr>
          <w:p w:rsidR="000E143F" w:rsidRPr="007F3EC5" w:rsidRDefault="000E143F" w:rsidP="000E143F">
            <w:pPr>
              <w:numPr>
                <w:ilvl w:val="2"/>
                <w:numId w:val="2"/>
              </w:numPr>
              <w:rPr>
                <w:rFonts w:ascii="Arial" w:hAnsi="Arial"/>
                <w:b/>
                <w:sz w:val="28"/>
              </w:rPr>
            </w:pPr>
            <w:r w:rsidRPr="007F3EC5">
              <w:rPr>
                <w:rFonts w:ascii="Arial" w:hAnsi="Arial"/>
              </w:rPr>
              <w:t>C3d coated cells should be tested as a positive control for the C3d activity of a mono</w:t>
            </w:r>
            <w:r>
              <w:rPr>
                <w:rFonts w:ascii="Arial" w:hAnsi="Arial"/>
              </w:rPr>
              <w:t>-</w:t>
            </w:r>
            <w:r w:rsidRPr="007F3EC5">
              <w:rPr>
                <w:rFonts w:ascii="Arial" w:hAnsi="Arial"/>
              </w:rPr>
              <w:t>specific anti</w:t>
            </w:r>
            <w:r>
              <w:rPr>
                <w:rFonts w:ascii="Arial" w:hAnsi="Arial"/>
              </w:rPr>
              <w:t>-</w:t>
            </w:r>
            <w:r w:rsidRPr="007F3EC5">
              <w:rPr>
                <w:rFonts w:ascii="Arial" w:hAnsi="Arial"/>
              </w:rPr>
              <w:t>comp</w:t>
            </w:r>
            <w:r>
              <w:rPr>
                <w:rFonts w:ascii="Arial" w:hAnsi="Arial"/>
              </w:rPr>
              <w:t>lement</w:t>
            </w:r>
            <w:r w:rsidRPr="007F3EC5">
              <w:rPr>
                <w:rFonts w:ascii="Arial" w:hAnsi="Arial"/>
              </w:rPr>
              <w:t xml:space="preserve"> reagent. Unsensitised red cells must be tested as a negative control and the results documented.</w:t>
            </w:r>
          </w:p>
        </w:tc>
      </w:tr>
      <w:tr w:rsidR="000E143F" w:rsidRPr="007F3EC5" w:rsidTr="007F3EC5">
        <w:trPr>
          <w:trHeight w:val="188"/>
          <w:jc w:val="center"/>
        </w:trPr>
        <w:tc>
          <w:tcPr>
            <w:tcW w:w="3240" w:type="dxa"/>
            <w:vMerge/>
            <w:shd w:val="clear" w:color="auto" w:fill="auto"/>
          </w:tcPr>
          <w:p w:rsidR="000E143F" w:rsidRPr="007F3EC5" w:rsidRDefault="000E143F" w:rsidP="00F93BD5">
            <w:pPr>
              <w:numPr>
                <w:ilvl w:val="1"/>
                <w:numId w:val="2"/>
              </w:numPr>
              <w:ind w:left="540" w:hanging="540"/>
              <w:rPr>
                <w:rFonts w:ascii="Arial" w:hAnsi="Arial"/>
              </w:rPr>
            </w:pPr>
          </w:p>
        </w:tc>
        <w:tc>
          <w:tcPr>
            <w:tcW w:w="6048" w:type="dxa"/>
            <w:shd w:val="clear" w:color="auto" w:fill="auto"/>
          </w:tcPr>
          <w:p w:rsidR="000E143F" w:rsidRPr="007F3EC5" w:rsidRDefault="000E143F" w:rsidP="00F93BD5">
            <w:pPr>
              <w:numPr>
                <w:ilvl w:val="2"/>
                <w:numId w:val="2"/>
              </w:numPr>
              <w:rPr>
                <w:rFonts w:ascii="Arial" w:hAnsi="Arial"/>
                <w:b/>
                <w:sz w:val="28"/>
              </w:rPr>
            </w:pPr>
            <w:r w:rsidRPr="007F3EC5">
              <w:rPr>
                <w:rFonts w:ascii="Arial" w:hAnsi="Arial"/>
              </w:rPr>
              <w:t xml:space="preserve">All QC results must be reviewed and </w:t>
            </w:r>
            <w:r>
              <w:rPr>
                <w:rFonts w:ascii="Arial" w:hAnsi="Arial"/>
              </w:rPr>
              <w:t xml:space="preserve">the review </w:t>
            </w:r>
            <w:r w:rsidRPr="007F3EC5">
              <w:rPr>
                <w:rFonts w:ascii="Arial" w:hAnsi="Arial"/>
              </w:rPr>
              <w:t>documented by a supervisor.</w:t>
            </w:r>
          </w:p>
        </w:tc>
      </w:tr>
      <w:tr w:rsidR="000E143F" w:rsidRPr="007F3EC5" w:rsidTr="007F3EC5">
        <w:trPr>
          <w:trHeight w:val="1102"/>
          <w:jc w:val="center"/>
        </w:trPr>
        <w:tc>
          <w:tcPr>
            <w:tcW w:w="3240" w:type="dxa"/>
            <w:vMerge w:val="restart"/>
            <w:shd w:val="clear" w:color="auto" w:fill="auto"/>
          </w:tcPr>
          <w:p w:rsidR="000E143F" w:rsidRPr="007F3EC5" w:rsidRDefault="000E143F" w:rsidP="00F93BD5">
            <w:pPr>
              <w:numPr>
                <w:ilvl w:val="1"/>
                <w:numId w:val="2"/>
              </w:numPr>
              <w:ind w:left="576" w:hanging="576"/>
              <w:rPr>
                <w:rFonts w:ascii="Arial" w:hAnsi="Arial"/>
                <w:b/>
                <w:sz w:val="28"/>
              </w:rPr>
            </w:pPr>
            <w:r w:rsidRPr="007F3EC5">
              <w:rPr>
                <w:rFonts w:ascii="Arial" w:hAnsi="Arial"/>
              </w:rPr>
              <w:t>Daily QC:</w:t>
            </w:r>
          </w:p>
        </w:tc>
        <w:tc>
          <w:tcPr>
            <w:tcW w:w="6048" w:type="dxa"/>
            <w:shd w:val="clear" w:color="auto" w:fill="auto"/>
          </w:tcPr>
          <w:p w:rsidR="000E143F" w:rsidRPr="007F3EC5" w:rsidRDefault="000E143F" w:rsidP="00F93BD5">
            <w:pPr>
              <w:numPr>
                <w:ilvl w:val="2"/>
                <w:numId w:val="2"/>
              </w:numPr>
              <w:rPr>
                <w:rFonts w:ascii="Arial" w:hAnsi="Arial"/>
                <w:b/>
                <w:sz w:val="28"/>
              </w:rPr>
            </w:pPr>
            <w:r w:rsidRPr="007F3EC5">
              <w:rPr>
                <w:rFonts w:ascii="Arial" w:hAnsi="Arial"/>
              </w:rPr>
              <w:t xml:space="preserve">Each vial of antisera must be visually inspected </w:t>
            </w:r>
            <w:r>
              <w:rPr>
                <w:rFonts w:ascii="Arial" w:hAnsi="Arial"/>
              </w:rPr>
              <w:t xml:space="preserve">each day of use </w:t>
            </w:r>
            <w:r w:rsidRPr="007F3EC5">
              <w:rPr>
                <w:rFonts w:ascii="Arial" w:hAnsi="Arial"/>
              </w:rPr>
              <w:t>to ensure that cloudiness, turbidity and/or particulate matter are not present. See Procedural Notes 8.1.</w:t>
            </w:r>
          </w:p>
        </w:tc>
      </w:tr>
      <w:tr w:rsidR="000E143F" w:rsidRPr="007F3EC5" w:rsidTr="007F3EC5">
        <w:trPr>
          <w:trHeight w:val="113"/>
          <w:jc w:val="center"/>
        </w:trPr>
        <w:tc>
          <w:tcPr>
            <w:tcW w:w="3240" w:type="dxa"/>
            <w:vMerge/>
            <w:shd w:val="clear" w:color="auto" w:fill="auto"/>
          </w:tcPr>
          <w:p w:rsidR="000E143F" w:rsidRPr="007F3EC5" w:rsidRDefault="000E143F" w:rsidP="00F93BD5">
            <w:pPr>
              <w:numPr>
                <w:ilvl w:val="1"/>
                <w:numId w:val="2"/>
              </w:numPr>
              <w:ind w:left="576" w:hanging="576"/>
              <w:rPr>
                <w:rFonts w:ascii="Arial" w:hAnsi="Arial"/>
              </w:rPr>
            </w:pPr>
          </w:p>
        </w:tc>
        <w:tc>
          <w:tcPr>
            <w:tcW w:w="6048" w:type="dxa"/>
            <w:shd w:val="clear" w:color="auto" w:fill="auto"/>
          </w:tcPr>
          <w:p w:rsidR="000E143F" w:rsidRPr="007F3EC5" w:rsidRDefault="000E143F" w:rsidP="00F93BD5">
            <w:pPr>
              <w:numPr>
                <w:ilvl w:val="2"/>
                <w:numId w:val="2"/>
              </w:numPr>
              <w:rPr>
                <w:rFonts w:ascii="Arial" w:hAnsi="Arial"/>
              </w:rPr>
            </w:pPr>
            <w:r w:rsidRPr="007F3EC5">
              <w:rPr>
                <w:rFonts w:ascii="Arial" w:hAnsi="Arial"/>
              </w:rPr>
              <w:t xml:space="preserve">Each vial of reagent red cells must be visually inspected </w:t>
            </w:r>
            <w:r>
              <w:rPr>
                <w:rFonts w:ascii="Arial" w:hAnsi="Arial"/>
              </w:rPr>
              <w:t xml:space="preserve">each day </w:t>
            </w:r>
            <w:r w:rsidRPr="007F3EC5">
              <w:rPr>
                <w:rFonts w:ascii="Arial" w:hAnsi="Arial"/>
              </w:rPr>
              <w:t>to ensure that hemolysis and/or discoloration is not present.</w:t>
            </w:r>
          </w:p>
        </w:tc>
      </w:tr>
      <w:tr w:rsidR="000E143F" w:rsidRPr="007F3EC5" w:rsidTr="007F3EC5">
        <w:trPr>
          <w:trHeight w:val="150"/>
          <w:jc w:val="center"/>
        </w:trPr>
        <w:tc>
          <w:tcPr>
            <w:tcW w:w="3240" w:type="dxa"/>
            <w:vMerge/>
            <w:shd w:val="clear" w:color="auto" w:fill="auto"/>
          </w:tcPr>
          <w:p w:rsidR="000E143F" w:rsidRPr="007F3EC5" w:rsidRDefault="000E143F" w:rsidP="00F93BD5">
            <w:pPr>
              <w:numPr>
                <w:ilvl w:val="1"/>
                <w:numId w:val="2"/>
              </w:numPr>
              <w:ind w:left="576" w:hanging="576"/>
              <w:rPr>
                <w:rFonts w:ascii="Arial" w:hAnsi="Arial"/>
              </w:rPr>
            </w:pPr>
          </w:p>
        </w:tc>
        <w:tc>
          <w:tcPr>
            <w:tcW w:w="6048" w:type="dxa"/>
            <w:shd w:val="clear" w:color="auto" w:fill="auto"/>
          </w:tcPr>
          <w:p w:rsidR="000E143F" w:rsidRPr="007F3EC5" w:rsidRDefault="000E143F" w:rsidP="00F93BD5">
            <w:pPr>
              <w:numPr>
                <w:ilvl w:val="2"/>
                <w:numId w:val="2"/>
              </w:numPr>
              <w:rPr>
                <w:rFonts w:ascii="Arial" w:hAnsi="Arial"/>
              </w:rPr>
            </w:pPr>
            <w:r w:rsidRPr="007F3EC5">
              <w:rPr>
                <w:rFonts w:ascii="Arial" w:hAnsi="Arial"/>
              </w:rPr>
              <w:t>The lot number and expiry date for each reagent that is used, the date of the testing and the individual performing the test must be documented. Document on form QCA.001F2.</w:t>
            </w:r>
          </w:p>
        </w:tc>
      </w:tr>
      <w:tr w:rsidR="000E143F" w:rsidRPr="007F3EC5" w:rsidTr="007F3EC5">
        <w:trPr>
          <w:trHeight w:val="113"/>
          <w:jc w:val="center"/>
        </w:trPr>
        <w:tc>
          <w:tcPr>
            <w:tcW w:w="3240" w:type="dxa"/>
            <w:vMerge/>
            <w:shd w:val="clear" w:color="auto" w:fill="auto"/>
          </w:tcPr>
          <w:p w:rsidR="000E143F" w:rsidRPr="007F3EC5" w:rsidRDefault="000E143F" w:rsidP="00F93BD5">
            <w:pPr>
              <w:numPr>
                <w:ilvl w:val="1"/>
                <w:numId w:val="2"/>
              </w:numPr>
              <w:ind w:left="576" w:hanging="576"/>
              <w:rPr>
                <w:rFonts w:ascii="Arial" w:hAnsi="Arial"/>
              </w:rPr>
            </w:pPr>
          </w:p>
        </w:tc>
        <w:tc>
          <w:tcPr>
            <w:tcW w:w="6048" w:type="dxa"/>
            <w:shd w:val="clear" w:color="auto" w:fill="auto"/>
          </w:tcPr>
          <w:p w:rsidR="000E143F" w:rsidRPr="007F3EC5" w:rsidRDefault="000E143F" w:rsidP="00F93BD5">
            <w:pPr>
              <w:numPr>
                <w:ilvl w:val="2"/>
                <w:numId w:val="2"/>
              </w:numPr>
              <w:rPr>
                <w:rFonts w:ascii="Arial" w:hAnsi="Arial"/>
              </w:rPr>
            </w:pPr>
            <w:r w:rsidRPr="007F3EC5">
              <w:rPr>
                <w:rFonts w:ascii="Arial" w:hAnsi="Arial"/>
              </w:rPr>
              <w:t>Date the vial when opened. Record on vial label.</w:t>
            </w:r>
          </w:p>
        </w:tc>
      </w:tr>
      <w:tr w:rsidR="000E143F" w:rsidRPr="007F3EC5" w:rsidTr="007F3EC5">
        <w:trPr>
          <w:trHeight w:val="150"/>
          <w:jc w:val="center"/>
        </w:trPr>
        <w:tc>
          <w:tcPr>
            <w:tcW w:w="3240" w:type="dxa"/>
            <w:vMerge/>
            <w:shd w:val="clear" w:color="auto" w:fill="auto"/>
          </w:tcPr>
          <w:p w:rsidR="000E143F" w:rsidRPr="007F3EC5" w:rsidRDefault="000E143F" w:rsidP="00F93BD5">
            <w:pPr>
              <w:numPr>
                <w:ilvl w:val="1"/>
                <w:numId w:val="2"/>
              </w:numPr>
              <w:ind w:left="576" w:hanging="576"/>
              <w:rPr>
                <w:rFonts w:ascii="Arial" w:hAnsi="Arial"/>
              </w:rPr>
            </w:pPr>
          </w:p>
        </w:tc>
        <w:tc>
          <w:tcPr>
            <w:tcW w:w="6048" w:type="dxa"/>
            <w:shd w:val="clear" w:color="auto" w:fill="auto"/>
          </w:tcPr>
          <w:p w:rsidR="000E143F" w:rsidRPr="007F3EC5" w:rsidRDefault="000E143F" w:rsidP="00F93BD5">
            <w:pPr>
              <w:numPr>
                <w:ilvl w:val="2"/>
                <w:numId w:val="2"/>
              </w:numPr>
              <w:rPr>
                <w:rFonts w:ascii="Arial" w:hAnsi="Arial"/>
              </w:rPr>
            </w:pPr>
            <w:r w:rsidRPr="007F3EC5">
              <w:rPr>
                <w:rFonts w:ascii="Arial" w:hAnsi="Arial"/>
              </w:rPr>
              <w:t>IgG coated cells must be added to all negative indirect antiglobulin tests which are performed by a tube procedure.</w:t>
            </w:r>
            <w:r w:rsidR="00E72500">
              <w:rPr>
                <w:rFonts w:ascii="Arial" w:hAnsi="Arial"/>
                <w:vertAlign w:val="superscript"/>
              </w:rPr>
              <w:t>9.1</w:t>
            </w:r>
            <w:r w:rsidRPr="007F3EC5">
              <w:rPr>
                <w:rFonts w:ascii="Arial" w:hAnsi="Arial"/>
              </w:rPr>
              <w:br/>
              <w:t>If the reaction following the addition of the cells is weaker than expected, refer to the manufacturer instructions.</w:t>
            </w:r>
          </w:p>
        </w:tc>
      </w:tr>
      <w:tr w:rsidR="000E143F" w:rsidRPr="007F3EC5" w:rsidTr="007F3EC5">
        <w:trPr>
          <w:trHeight w:val="150"/>
          <w:jc w:val="center"/>
        </w:trPr>
        <w:tc>
          <w:tcPr>
            <w:tcW w:w="3240" w:type="dxa"/>
            <w:vMerge/>
            <w:shd w:val="clear" w:color="auto" w:fill="auto"/>
          </w:tcPr>
          <w:p w:rsidR="000E143F" w:rsidRPr="007F3EC5" w:rsidRDefault="000E143F" w:rsidP="00F93BD5">
            <w:pPr>
              <w:numPr>
                <w:ilvl w:val="1"/>
                <w:numId w:val="2"/>
              </w:numPr>
              <w:ind w:left="576" w:hanging="576"/>
              <w:rPr>
                <w:rFonts w:ascii="Arial" w:hAnsi="Arial"/>
              </w:rPr>
            </w:pPr>
          </w:p>
        </w:tc>
        <w:tc>
          <w:tcPr>
            <w:tcW w:w="6048" w:type="dxa"/>
            <w:shd w:val="clear" w:color="auto" w:fill="auto"/>
          </w:tcPr>
          <w:p w:rsidR="000E143F" w:rsidRPr="007F3EC5" w:rsidRDefault="000E143F" w:rsidP="00396F3C">
            <w:pPr>
              <w:numPr>
                <w:ilvl w:val="2"/>
                <w:numId w:val="2"/>
              </w:numPr>
              <w:rPr>
                <w:rFonts w:ascii="Arial" w:hAnsi="Arial"/>
                <w:b/>
                <w:sz w:val="28"/>
              </w:rPr>
            </w:pPr>
            <w:r w:rsidRPr="007F3EC5">
              <w:rPr>
                <w:rFonts w:ascii="Arial" w:hAnsi="Arial"/>
              </w:rPr>
              <w:t>An autocontrol or a direct antiglobulin test shall be performed in conjunction with patient red cell phenotyping that requires an indirect antiglobulin test.</w:t>
            </w:r>
            <w:r w:rsidRPr="007F3EC5">
              <w:rPr>
                <w:rFonts w:ascii="Arial" w:hAnsi="Arial"/>
                <w:vertAlign w:val="superscript"/>
              </w:rPr>
              <w:t>9.1</w:t>
            </w:r>
          </w:p>
        </w:tc>
      </w:tr>
      <w:tr w:rsidR="000E143F" w:rsidRPr="007F3EC5" w:rsidTr="007F3EC5">
        <w:trPr>
          <w:trHeight w:val="113"/>
          <w:jc w:val="center"/>
        </w:trPr>
        <w:tc>
          <w:tcPr>
            <w:tcW w:w="3240" w:type="dxa"/>
            <w:vMerge/>
            <w:shd w:val="clear" w:color="auto" w:fill="auto"/>
          </w:tcPr>
          <w:p w:rsidR="000E143F" w:rsidRPr="007F3EC5" w:rsidRDefault="000E143F" w:rsidP="00F93BD5">
            <w:pPr>
              <w:numPr>
                <w:ilvl w:val="1"/>
                <w:numId w:val="2"/>
              </w:numPr>
              <w:ind w:left="576" w:hanging="576"/>
              <w:rPr>
                <w:rFonts w:ascii="Arial" w:hAnsi="Arial"/>
              </w:rPr>
            </w:pPr>
          </w:p>
        </w:tc>
        <w:tc>
          <w:tcPr>
            <w:tcW w:w="6048" w:type="dxa"/>
            <w:shd w:val="clear" w:color="auto" w:fill="auto"/>
          </w:tcPr>
          <w:p w:rsidR="000E143F" w:rsidRPr="007F3EC5" w:rsidRDefault="000E143F" w:rsidP="00F93BD5">
            <w:pPr>
              <w:numPr>
                <w:ilvl w:val="2"/>
                <w:numId w:val="2"/>
              </w:numPr>
              <w:rPr>
                <w:rFonts w:ascii="Arial" w:hAnsi="Arial"/>
              </w:rPr>
            </w:pPr>
            <w:r w:rsidRPr="007F3EC5">
              <w:rPr>
                <w:rFonts w:ascii="Arial" w:hAnsi="Arial"/>
              </w:rPr>
              <w:t xml:space="preserve">Phenotyping for antigens other than ABO/Rh are not usually performed on a routine basis </w:t>
            </w:r>
            <w:r w:rsidRPr="007F3EC5">
              <w:rPr>
                <w:rFonts w:ascii="Arial" w:hAnsi="Arial"/>
              </w:rPr>
              <w:lastRenderedPageBreak/>
              <w:t>therefore it is important to use appropriate positive and negative controls each time the reagent is used (per test or batch). Red cells used for a positive control should be heterozygous(single expression) for the antigen being tested.</w:t>
            </w:r>
            <w:r w:rsidRPr="007F3EC5">
              <w:rPr>
                <w:rFonts w:ascii="Arial" w:hAnsi="Arial"/>
                <w:vertAlign w:val="superscript"/>
              </w:rPr>
              <w:t>9.</w:t>
            </w:r>
            <w:r>
              <w:rPr>
                <w:rFonts w:ascii="Arial" w:hAnsi="Arial"/>
                <w:vertAlign w:val="superscript"/>
              </w:rPr>
              <w:t>1</w:t>
            </w:r>
          </w:p>
        </w:tc>
      </w:tr>
      <w:tr w:rsidR="000E143F" w:rsidRPr="007F3EC5" w:rsidTr="007F3EC5">
        <w:trPr>
          <w:trHeight w:val="451"/>
          <w:jc w:val="center"/>
        </w:trPr>
        <w:tc>
          <w:tcPr>
            <w:tcW w:w="3240" w:type="dxa"/>
            <w:vMerge/>
            <w:shd w:val="clear" w:color="auto" w:fill="auto"/>
          </w:tcPr>
          <w:p w:rsidR="000E143F" w:rsidRPr="007F3EC5" w:rsidRDefault="000E143F" w:rsidP="00F93BD5">
            <w:pPr>
              <w:numPr>
                <w:ilvl w:val="1"/>
                <w:numId w:val="2"/>
              </w:numPr>
              <w:ind w:left="576" w:hanging="576"/>
              <w:rPr>
                <w:rFonts w:ascii="Arial" w:hAnsi="Arial"/>
              </w:rPr>
            </w:pPr>
          </w:p>
        </w:tc>
        <w:tc>
          <w:tcPr>
            <w:tcW w:w="6048" w:type="dxa"/>
            <w:shd w:val="clear" w:color="auto" w:fill="auto"/>
          </w:tcPr>
          <w:p w:rsidR="000E143F" w:rsidRPr="007F3EC5" w:rsidRDefault="000E143F" w:rsidP="00F93BD5">
            <w:pPr>
              <w:numPr>
                <w:ilvl w:val="2"/>
                <w:numId w:val="2"/>
              </w:numPr>
              <w:rPr>
                <w:rFonts w:ascii="Arial" w:hAnsi="Arial"/>
              </w:rPr>
            </w:pPr>
            <w:r w:rsidRPr="007F3EC5">
              <w:rPr>
                <w:rFonts w:ascii="Arial" w:hAnsi="Arial"/>
              </w:rPr>
              <w:t>Document results on QCA.001F2 or in computer worksheet.</w:t>
            </w:r>
            <w:r>
              <w:rPr>
                <w:rFonts w:ascii="Arial" w:hAnsi="Arial"/>
              </w:rPr>
              <w:t xml:space="preserve"> </w:t>
            </w:r>
            <w:r w:rsidRPr="007F3EC5">
              <w:rPr>
                <w:rFonts w:ascii="Arial" w:hAnsi="Arial"/>
              </w:rPr>
              <w:t xml:space="preserve">All QC results must be reviewed and </w:t>
            </w:r>
            <w:r>
              <w:rPr>
                <w:rFonts w:ascii="Arial" w:hAnsi="Arial"/>
              </w:rPr>
              <w:t xml:space="preserve">the review </w:t>
            </w:r>
            <w:r w:rsidRPr="007F3EC5">
              <w:rPr>
                <w:rFonts w:ascii="Arial" w:hAnsi="Arial"/>
              </w:rPr>
              <w:t>documented by a supervisor.</w:t>
            </w:r>
          </w:p>
        </w:tc>
      </w:tr>
    </w:tbl>
    <w:p w:rsidR="003C4160" w:rsidRPr="003C4160" w:rsidRDefault="003C4160" w:rsidP="003C4160">
      <w:pPr>
        <w:rPr>
          <w:rFonts w:ascii="Arial" w:hAnsi="Arial"/>
        </w:rPr>
      </w:pPr>
    </w:p>
    <w:p w:rsidR="00906568" w:rsidRDefault="003C4160" w:rsidP="0005617C">
      <w:pPr>
        <w:numPr>
          <w:ilvl w:val="0"/>
          <w:numId w:val="2"/>
        </w:numPr>
        <w:spacing w:after="240"/>
        <w:rPr>
          <w:rFonts w:ascii="Arial" w:hAnsi="Arial"/>
          <w:b/>
          <w:sz w:val="28"/>
        </w:rPr>
      </w:pPr>
      <w:r w:rsidRPr="00906568">
        <w:rPr>
          <w:rFonts w:ascii="Arial" w:hAnsi="Arial"/>
          <w:b/>
          <w:sz w:val="28"/>
        </w:rPr>
        <w:t>Reporting</w:t>
      </w:r>
    </w:p>
    <w:p w:rsidR="00906568" w:rsidRDefault="003C4160" w:rsidP="00F93BD5">
      <w:pPr>
        <w:numPr>
          <w:ilvl w:val="1"/>
          <w:numId w:val="2"/>
        </w:numPr>
        <w:ind w:left="1440" w:hanging="720"/>
        <w:rPr>
          <w:rFonts w:ascii="Arial" w:hAnsi="Arial"/>
          <w:b/>
          <w:sz w:val="28"/>
        </w:rPr>
      </w:pPr>
      <w:r w:rsidRPr="00906568">
        <w:rPr>
          <w:rFonts w:ascii="Arial" w:hAnsi="Arial"/>
        </w:rPr>
        <w:t>Upon receipt document results on form QCA.001F1 or electronically.</w:t>
      </w:r>
    </w:p>
    <w:p w:rsidR="00906568" w:rsidRDefault="00906568" w:rsidP="00906568">
      <w:pPr>
        <w:ind w:left="1080"/>
        <w:rPr>
          <w:rFonts w:ascii="Arial" w:hAnsi="Arial"/>
          <w:b/>
          <w:sz w:val="28"/>
        </w:rPr>
      </w:pPr>
    </w:p>
    <w:p w:rsidR="00906568" w:rsidRDefault="003C4160" w:rsidP="00F93BD5">
      <w:pPr>
        <w:numPr>
          <w:ilvl w:val="1"/>
          <w:numId w:val="2"/>
        </w:numPr>
        <w:ind w:left="1440" w:hanging="720"/>
        <w:rPr>
          <w:rFonts w:ascii="Arial" w:hAnsi="Arial"/>
          <w:b/>
          <w:sz w:val="28"/>
        </w:rPr>
      </w:pPr>
      <w:r w:rsidRPr="00906568">
        <w:rPr>
          <w:rFonts w:ascii="Arial" w:hAnsi="Arial"/>
        </w:rPr>
        <w:t>Review all results obtained on QCA.001F2 or electronically to ensure results are satisfactory and test results are reacting as expected.</w:t>
      </w:r>
    </w:p>
    <w:p w:rsidR="00906568" w:rsidRDefault="00906568" w:rsidP="00906568">
      <w:pPr>
        <w:pStyle w:val="ListParagraph"/>
        <w:rPr>
          <w:rFonts w:ascii="Arial" w:hAnsi="Arial"/>
        </w:rPr>
      </w:pPr>
    </w:p>
    <w:p w:rsidR="00906568" w:rsidRDefault="003C4160" w:rsidP="00F93BD5">
      <w:pPr>
        <w:numPr>
          <w:ilvl w:val="2"/>
          <w:numId w:val="2"/>
        </w:numPr>
        <w:ind w:left="2160"/>
        <w:rPr>
          <w:rFonts w:ascii="Arial" w:hAnsi="Arial"/>
          <w:b/>
          <w:sz w:val="28"/>
        </w:rPr>
      </w:pPr>
      <w:r w:rsidRPr="00906568">
        <w:rPr>
          <w:rFonts w:ascii="Arial" w:hAnsi="Arial"/>
        </w:rPr>
        <w:t>If repeated testing does not react as expected, quarantine the vial(s) until the cause has been identified and corrected.</w:t>
      </w:r>
    </w:p>
    <w:p w:rsidR="00906568" w:rsidRDefault="00906568" w:rsidP="00906568">
      <w:pPr>
        <w:ind w:left="2160"/>
        <w:rPr>
          <w:rFonts w:ascii="Arial" w:hAnsi="Arial"/>
          <w:b/>
          <w:sz w:val="28"/>
        </w:rPr>
      </w:pPr>
    </w:p>
    <w:p w:rsidR="00906568" w:rsidRDefault="003C4160" w:rsidP="00F93BD5">
      <w:pPr>
        <w:numPr>
          <w:ilvl w:val="2"/>
          <w:numId w:val="2"/>
        </w:numPr>
        <w:ind w:left="2160"/>
        <w:rPr>
          <w:rFonts w:ascii="Arial" w:hAnsi="Arial"/>
          <w:b/>
          <w:sz w:val="28"/>
        </w:rPr>
      </w:pPr>
      <w:r w:rsidRPr="00906568">
        <w:rPr>
          <w:rFonts w:ascii="Arial" w:hAnsi="Arial"/>
        </w:rPr>
        <w:t>Corrective action must be documented.</w:t>
      </w:r>
    </w:p>
    <w:p w:rsidR="00906568" w:rsidRDefault="00906568" w:rsidP="00906568">
      <w:pPr>
        <w:pStyle w:val="ListParagraph"/>
        <w:rPr>
          <w:rFonts w:ascii="Arial" w:hAnsi="Arial"/>
        </w:rPr>
      </w:pPr>
    </w:p>
    <w:p w:rsidR="00906568" w:rsidRDefault="003C4160" w:rsidP="00F93BD5">
      <w:pPr>
        <w:numPr>
          <w:ilvl w:val="1"/>
          <w:numId w:val="2"/>
        </w:numPr>
        <w:ind w:left="1440" w:hanging="720"/>
        <w:rPr>
          <w:rFonts w:ascii="Arial" w:hAnsi="Arial"/>
          <w:b/>
          <w:sz w:val="28"/>
        </w:rPr>
      </w:pPr>
      <w:r w:rsidRPr="00906568">
        <w:rPr>
          <w:rFonts w:ascii="Arial" w:hAnsi="Arial"/>
        </w:rPr>
        <w:t>All quality control results mus</w:t>
      </w:r>
      <w:r w:rsidR="00906568">
        <w:rPr>
          <w:rFonts w:ascii="Arial" w:hAnsi="Arial"/>
        </w:rPr>
        <w:t xml:space="preserve">t be reviewed by a supervisor. </w:t>
      </w:r>
      <w:r w:rsidRPr="00906568">
        <w:rPr>
          <w:rFonts w:ascii="Arial" w:hAnsi="Arial"/>
        </w:rPr>
        <w:t>This review must be documented.</w:t>
      </w:r>
    </w:p>
    <w:p w:rsidR="00906568" w:rsidRDefault="00906568" w:rsidP="00906568">
      <w:pPr>
        <w:ind w:left="360"/>
        <w:rPr>
          <w:rFonts w:ascii="Arial" w:hAnsi="Arial"/>
          <w:b/>
          <w:sz w:val="28"/>
        </w:rPr>
      </w:pPr>
    </w:p>
    <w:p w:rsidR="00906568" w:rsidRDefault="003C4160" w:rsidP="0005617C">
      <w:pPr>
        <w:numPr>
          <w:ilvl w:val="0"/>
          <w:numId w:val="2"/>
        </w:numPr>
        <w:spacing w:after="240"/>
        <w:rPr>
          <w:rFonts w:ascii="Arial" w:hAnsi="Arial"/>
          <w:b/>
          <w:sz w:val="32"/>
        </w:rPr>
      </w:pPr>
      <w:r w:rsidRPr="00906568">
        <w:rPr>
          <w:rFonts w:ascii="Arial" w:hAnsi="Arial"/>
          <w:b/>
          <w:sz w:val="28"/>
        </w:rPr>
        <w:t>Procedural Notes</w:t>
      </w:r>
    </w:p>
    <w:p w:rsidR="00906568" w:rsidRDefault="003C4160" w:rsidP="00F93BD5">
      <w:pPr>
        <w:numPr>
          <w:ilvl w:val="1"/>
          <w:numId w:val="2"/>
        </w:numPr>
        <w:ind w:left="1440" w:hanging="720"/>
        <w:rPr>
          <w:rFonts w:ascii="Arial" w:hAnsi="Arial"/>
          <w:b/>
          <w:sz w:val="32"/>
        </w:rPr>
      </w:pPr>
      <w:r w:rsidRPr="00906568">
        <w:rPr>
          <w:rFonts w:ascii="Arial" w:hAnsi="Arial"/>
        </w:rPr>
        <w:t>If the potency of the anti-sera or red cell reagent has deteriorated, a false negative result may be obtained.</w:t>
      </w:r>
    </w:p>
    <w:p w:rsidR="00906568" w:rsidRDefault="003C4160" w:rsidP="00906568">
      <w:pPr>
        <w:ind w:left="1440"/>
        <w:rPr>
          <w:rFonts w:ascii="Arial" w:hAnsi="Arial"/>
          <w:b/>
          <w:sz w:val="32"/>
        </w:rPr>
      </w:pPr>
      <w:r w:rsidRPr="00906568">
        <w:rPr>
          <w:rFonts w:ascii="Arial" w:hAnsi="Arial"/>
        </w:rPr>
        <w:t>In many instances contaminated antisera, and deterioration of red cell reagents, can be detected by visual inspection.</w:t>
      </w:r>
    </w:p>
    <w:p w:rsidR="00906568" w:rsidRPr="00906568" w:rsidRDefault="00906568" w:rsidP="00906568">
      <w:pPr>
        <w:ind w:left="1440"/>
        <w:rPr>
          <w:rFonts w:ascii="Arial" w:hAnsi="Arial"/>
          <w:b/>
          <w:sz w:val="32"/>
        </w:rPr>
      </w:pPr>
    </w:p>
    <w:p w:rsidR="00355F51" w:rsidRDefault="003C4160" w:rsidP="003C4160">
      <w:pPr>
        <w:numPr>
          <w:ilvl w:val="1"/>
          <w:numId w:val="2"/>
        </w:numPr>
        <w:ind w:left="1440" w:hanging="720"/>
        <w:rPr>
          <w:rFonts w:ascii="Arial" w:hAnsi="Arial"/>
          <w:b/>
          <w:sz w:val="32"/>
        </w:rPr>
      </w:pPr>
      <w:r w:rsidRPr="00906568">
        <w:rPr>
          <w:rFonts w:ascii="Arial" w:hAnsi="Arial"/>
        </w:rPr>
        <w:t xml:space="preserve">False negative reactions with anti-IgG antiglobulin reagents can be easily detected by the routine addition of IgG coated cells to all negative antiglobulin tube tests. If the potency of the reagent has deteriorated the IgG sensitised cells will be non-reactive or give weaker reactions than expected. However weak or non-reactive IgG coated cells could also indicate inadequate washing or failure to add the reagent. Thus the test is controlled each time a negative reaction is obtained. </w:t>
      </w:r>
    </w:p>
    <w:p w:rsidR="00355F51" w:rsidRDefault="00355F51" w:rsidP="00355F51">
      <w:pPr>
        <w:ind w:left="1440"/>
        <w:rPr>
          <w:rFonts w:ascii="Arial" w:hAnsi="Arial"/>
        </w:rPr>
      </w:pPr>
    </w:p>
    <w:p w:rsidR="00355F51" w:rsidRDefault="003C4160" w:rsidP="00355F51">
      <w:pPr>
        <w:ind w:left="1440"/>
        <w:rPr>
          <w:rFonts w:ascii="Arial" w:hAnsi="Arial"/>
          <w:b/>
          <w:sz w:val="32"/>
        </w:rPr>
      </w:pPr>
      <w:r w:rsidRPr="00355F51">
        <w:rPr>
          <w:rFonts w:ascii="Arial" w:hAnsi="Arial"/>
        </w:rPr>
        <w:t xml:space="preserve">False positives can occur if the antisera become contaminated. In many instances contaminated antisera can be detected by visual </w:t>
      </w:r>
      <w:r w:rsidRPr="00355F51">
        <w:rPr>
          <w:rFonts w:ascii="Arial" w:hAnsi="Arial"/>
        </w:rPr>
        <w:lastRenderedPageBreak/>
        <w:t xml:space="preserve">inspection and all tests would appear positive thus alerting the technologist to a problem. </w:t>
      </w:r>
    </w:p>
    <w:p w:rsidR="00355F51" w:rsidRPr="00355F51" w:rsidRDefault="00355F51" w:rsidP="00355F51">
      <w:pPr>
        <w:ind w:left="1440"/>
        <w:rPr>
          <w:rFonts w:ascii="Arial" w:hAnsi="Arial"/>
          <w:b/>
          <w:sz w:val="32"/>
        </w:rPr>
      </w:pPr>
    </w:p>
    <w:p w:rsidR="00355F51" w:rsidRPr="00355F51" w:rsidRDefault="003C4160" w:rsidP="003C4160">
      <w:pPr>
        <w:numPr>
          <w:ilvl w:val="1"/>
          <w:numId w:val="2"/>
        </w:numPr>
        <w:ind w:left="1440" w:hanging="720"/>
        <w:rPr>
          <w:rFonts w:ascii="Arial" w:hAnsi="Arial"/>
          <w:b/>
          <w:sz w:val="32"/>
        </w:rPr>
      </w:pPr>
      <w:r w:rsidRPr="00355F51">
        <w:rPr>
          <w:rFonts w:ascii="Arial" w:hAnsi="Arial"/>
        </w:rPr>
        <w:t xml:space="preserve">If a polyspecific reagent is used, anti-C3b is not controlled by the above procedure. Provided the reagent is stored under controlled conditions it is not necessary to retest the anti-C3b activity during routine use, as the C3b component is very stable. </w:t>
      </w:r>
    </w:p>
    <w:p w:rsidR="00355F51" w:rsidRPr="0005617C" w:rsidRDefault="00355F51" w:rsidP="00355F51">
      <w:pPr>
        <w:ind w:left="1440"/>
        <w:rPr>
          <w:rFonts w:ascii="Arial" w:hAnsi="Arial"/>
          <w:b/>
        </w:rPr>
      </w:pPr>
    </w:p>
    <w:p w:rsidR="00355F51" w:rsidRDefault="003C4160" w:rsidP="00581FF1">
      <w:pPr>
        <w:numPr>
          <w:ilvl w:val="0"/>
          <w:numId w:val="2"/>
        </w:numPr>
        <w:spacing w:after="240"/>
        <w:ind w:left="720" w:hanging="720"/>
        <w:rPr>
          <w:rFonts w:ascii="Arial" w:hAnsi="Arial"/>
          <w:b/>
          <w:sz w:val="36"/>
        </w:rPr>
      </w:pPr>
      <w:r w:rsidRPr="00355F51">
        <w:rPr>
          <w:rFonts w:ascii="Arial" w:hAnsi="Arial"/>
          <w:b/>
          <w:sz w:val="28"/>
        </w:rPr>
        <w:t>References</w:t>
      </w:r>
    </w:p>
    <w:p w:rsidR="00355F51" w:rsidRDefault="003C4160" w:rsidP="003C4160">
      <w:pPr>
        <w:numPr>
          <w:ilvl w:val="1"/>
          <w:numId w:val="2"/>
        </w:numPr>
        <w:ind w:left="1440" w:hanging="720"/>
        <w:rPr>
          <w:rFonts w:ascii="Arial" w:hAnsi="Arial"/>
          <w:b/>
          <w:sz w:val="36"/>
        </w:rPr>
      </w:pPr>
      <w:r w:rsidRPr="00355F51">
        <w:rPr>
          <w:rFonts w:ascii="Arial" w:hAnsi="Arial"/>
        </w:rPr>
        <w:t>Standards for Hospital Transfusion Services Version 3 – February 2011. Canadian So</w:t>
      </w:r>
      <w:r w:rsidR="00E72500">
        <w:rPr>
          <w:rFonts w:ascii="Arial" w:hAnsi="Arial"/>
        </w:rPr>
        <w:t>ciety for Transfusion Medicine (</w:t>
      </w:r>
      <w:r w:rsidRPr="00355F51">
        <w:rPr>
          <w:rFonts w:ascii="Arial" w:hAnsi="Arial"/>
        </w:rPr>
        <w:t>5.3.1.1, 5.3.1.2, 5.3.4.2, 5.3.4.3</w:t>
      </w:r>
      <w:r w:rsidR="00E72500">
        <w:rPr>
          <w:rFonts w:ascii="Arial" w:hAnsi="Arial"/>
        </w:rPr>
        <w:t>)</w:t>
      </w:r>
    </w:p>
    <w:p w:rsidR="00355F51" w:rsidRDefault="00355F51" w:rsidP="00355F51">
      <w:pPr>
        <w:ind w:left="1440"/>
        <w:rPr>
          <w:rFonts w:ascii="Arial" w:hAnsi="Arial"/>
          <w:b/>
          <w:sz w:val="36"/>
        </w:rPr>
      </w:pPr>
    </w:p>
    <w:p w:rsidR="003C4160" w:rsidRPr="00355F51" w:rsidRDefault="00A77844" w:rsidP="003C4160">
      <w:pPr>
        <w:numPr>
          <w:ilvl w:val="1"/>
          <w:numId w:val="2"/>
        </w:numPr>
        <w:ind w:left="1440" w:hanging="720"/>
        <w:rPr>
          <w:rFonts w:ascii="Arial" w:hAnsi="Arial"/>
          <w:b/>
          <w:sz w:val="36"/>
        </w:rPr>
      </w:pPr>
      <w:r>
        <w:rPr>
          <w:rFonts w:ascii="Arial" w:hAnsi="Arial"/>
        </w:rPr>
        <w:t>IQMH</w:t>
      </w:r>
      <w:r w:rsidR="003C4160" w:rsidRPr="00355F51">
        <w:rPr>
          <w:rFonts w:ascii="Arial" w:hAnsi="Arial"/>
        </w:rPr>
        <w:t xml:space="preserve"> requirements. Version6.0, December 2013.</w:t>
      </w:r>
      <w:r w:rsidR="00E72500">
        <w:rPr>
          <w:rFonts w:ascii="Arial" w:hAnsi="Arial"/>
        </w:rPr>
        <w:t xml:space="preserve"> (IV. 4; </w:t>
      </w:r>
      <w:r w:rsidR="003C4160" w:rsidRPr="00355F51">
        <w:rPr>
          <w:rFonts w:ascii="Arial" w:hAnsi="Arial"/>
        </w:rPr>
        <w:t>IV.4.2</w:t>
      </w:r>
      <w:r w:rsidR="00E72500">
        <w:rPr>
          <w:rFonts w:ascii="Arial" w:hAnsi="Arial"/>
        </w:rPr>
        <w:t>)</w:t>
      </w:r>
    </w:p>
    <w:p w:rsidR="00355F51" w:rsidRDefault="00355F51" w:rsidP="00355F51">
      <w:pPr>
        <w:pStyle w:val="ListParagraph"/>
        <w:rPr>
          <w:rFonts w:ascii="Arial" w:hAnsi="Arial"/>
          <w:b/>
          <w:sz w:val="36"/>
        </w:rPr>
      </w:pPr>
    </w:p>
    <w:p w:rsidR="00355F51" w:rsidRPr="00355F51" w:rsidRDefault="00355F51" w:rsidP="0005617C">
      <w:pPr>
        <w:numPr>
          <w:ilvl w:val="0"/>
          <w:numId w:val="2"/>
        </w:numPr>
        <w:spacing w:after="240"/>
        <w:rPr>
          <w:rFonts w:ascii="Arial" w:hAnsi="Arial"/>
          <w:b/>
          <w:sz w:val="36"/>
        </w:rPr>
      </w:pPr>
      <w:r>
        <w:rPr>
          <w:rFonts w:ascii="Arial" w:hAnsi="Arial"/>
          <w:b/>
          <w:sz w:val="28"/>
          <w:szCs w:val="28"/>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598"/>
      </w:tblGrid>
      <w:tr w:rsidR="00355F51" w:rsidRPr="004D432F" w:rsidTr="00D34BBD">
        <w:tc>
          <w:tcPr>
            <w:tcW w:w="3258" w:type="dxa"/>
            <w:shd w:val="clear" w:color="auto" w:fill="F2F2F2"/>
          </w:tcPr>
          <w:p w:rsidR="00355F51" w:rsidRPr="004D432F" w:rsidRDefault="00355F51" w:rsidP="004D432F">
            <w:pPr>
              <w:jc w:val="center"/>
              <w:rPr>
                <w:rFonts w:ascii="Arial" w:hAnsi="Arial"/>
                <w:b/>
                <w:sz w:val="22"/>
              </w:rPr>
            </w:pPr>
            <w:r w:rsidRPr="004D432F">
              <w:rPr>
                <w:rFonts w:ascii="Arial" w:hAnsi="Arial"/>
                <w:b/>
                <w:sz w:val="22"/>
              </w:rPr>
              <w:t>Revision Date</w:t>
            </w:r>
          </w:p>
        </w:tc>
        <w:tc>
          <w:tcPr>
            <w:tcW w:w="5598" w:type="dxa"/>
            <w:shd w:val="clear" w:color="auto" w:fill="F2F2F2"/>
          </w:tcPr>
          <w:p w:rsidR="00355F51" w:rsidRPr="004D432F" w:rsidRDefault="00355F51" w:rsidP="004D432F">
            <w:pPr>
              <w:jc w:val="center"/>
              <w:rPr>
                <w:rFonts w:ascii="Arial" w:hAnsi="Arial"/>
                <w:b/>
                <w:sz w:val="22"/>
              </w:rPr>
            </w:pPr>
            <w:r w:rsidRPr="004D432F">
              <w:rPr>
                <w:rFonts w:ascii="Arial" w:hAnsi="Arial"/>
                <w:b/>
                <w:sz w:val="22"/>
              </w:rPr>
              <w:t>Summary of Revision</w:t>
            </w:r>
          </w:p>
        </w:tc>
      </w:tr>
      <w:tr w:rsidR="00355F51" w:rsidRPr="004D432F" w:rsidTr="004D432F">
        <w:tc>
          <w:tcPr>
            <w:tcW w:w="3258" w:type="dxa"/>
            <w:shd w:val="clear" w:color="auto" w:fill="auto"/>
          </w:tcPr>
          <w:p w:rsidR="00355F51" w:rsidRPr="004D432F" w:rsidRDefault="003844C6" w:rsidP="00355F51">
            <w:pPr>
              <w:rPr>
                <w:rFonts w:ascii="Arial" w:hAnsi="Arial"/>
                <w:sz w:val="22"/>
              </w:rPr>
            </w:pPr>
            <w:r>
              <w:rPr>
                <w:rFonts w:ascii="Arial" w:hAnsi="Arial"/>
                <w:sz w:val="22"/>
              </w:rPr>
              <w:t>September 1, 2015</w:t>
            </w:r>
          </w:p>
        </w:tc>
        <w:tc>
          <w:tcPr>
            <w:tcW w:w="5598" w:type="dxa"/>
            <w:shd w:val="clear" w:color="auto" w:fill="auto"/>
          </w:tcPr>
          <w:p w:rsidR="00355F51" w:rsidRPr="004D432F" w:rsidRDefault="00355F51" w:rsidP="004D432F">
            <w:pPr>
              <w:numPr>
                <w:ilvl w:val="0"/>
                <w:numId w:val="5"/>
              </w:numPr>
              <w:rPr>
                <w:rFonts w:ascii="Arial" w:hAnsi="Arial"/>
                <w:sz w:val="22"/>
              </w:rPr>
            </w:pPr>
            <w:r w:rsidRPr="004D432F">
              <w:rPr>
                <w:rFonts w:ascii="Arial" w:hAnsi="Arial"/>
                <w:sz w:val="22"/>
              </w:rPr>
              <w:t>Revised name of manual</w:t>
            </w:r>
          </w:p>
          <w:p w:rsidR="00355F51" w:rsidRDefault="00355F51" w:rsidP="004D432F">
            <w:pPr>
              <w:numPr>
                <w:ilvl w:val="0"/>
                <w:numId w:val="5"/>
              </w:numPr>
              <w:rPr>
                <w:rFonts w:ascii="Arial" w:hAnsi="Arial"/>
                <w:sz w:val="22"/>
              </w:rPr>
            </w:pPr>
            <w:r w:rsidRPr="004D432F">
              <w:rPr>
                <w:rFonts w:ascii="Arial" w:hAnsi="Arial"/>
                <w:sz w:val="22"/>
              </w:rPr>
              <w:t xml:space="preserve">Revised wording </w:t>
            </w:r>
            <w:r w:rsidR="00C15B76">
              <w:rPr>
                <w:rFonts w:ascii="Arial" w:hAnsi="Arial"/>
                <w:sz w:val="22"/>
              </w:rPr>
              <w:t>of section 2.0</w:t>
            </w:r>
          </w:p>
          <w:p w:rsidR="00C15B76" w:rsidRDefault="00C15B76" w:rsidP="004D432F">
            <w:pPr>
              <w:numPr>
                <w:ilvl w:val="0"/>
                <w:numId w:val="5"/>
              </w:numPr>
              <w:rPr>
                <w:rFonts w:ascii="Arial" w:hAnsi="Arial"/>
                <w:sz w:val="22"/>
              </w:rPr>
            </w:pPr>
            <w:r>
              <w:rPr>
                <w:rFonts w:ascii="Arial" w:hAnsi="Arial"/>
                <w:sz w:val="22"/>
              </w:rPr>
              <w:t xml:space="preserve">Revised and renumbered section 6.0 </w:t>
            </w:r>
          </w:p>
          <w:p w:rsidR="00C15B76" w:rsidRPr="00C15B76" w:rsidRDefault="00C15B76" w:rsidP="00C15B76">
            <w:pPr>
              <w:numPr>
                <w:ilvl w:val="0"/>
                <w:numId w:val="5"/>
              </w:numPr>
              <w:rPr>
                <w:rFonts w:ascii="Arial" w:hAnsi="Arial"/>
                <w:sz w:val="22"/>
              </w:rPr>
            </w:pPr>
            <w:r>
              <w:rPr>
                <w:rFonts w:ascii="Arial" w:hAnsi="Arial"/>
                <w:sz w:val="22"/>
              </w:rPr>
              <w:t>Updated list of references to include most recent editions</w:t>
            </w:r>
          </w:p>
        </w:tc>
      </w:tr>
    </w:tbl>
    <w:p w:rsidR="00355F51" w:rsidRPr="00355F51" w:rsidRDefault="00355F51" w:rsidP="00355F51">
      <w:pPr>
        <w:rPr>
          <w:rFonts w:ascii="Arial" w:hAnsi="Arial"/>
          <w:sz w:val="22"/>
        </w:rPr>
      </w:pPr>
    </w:p>
    <w:p w:rsidR="005A0BC8" w:rsidRDefault="005A0BC8" w:rsidP="003C4160">
      <w:pPr>
        <w:rPr>
          <w:rFonts w:ascii="Arial" w:hAnsi="Arial"/>
        </w:rPr>
      </w:pPr>
    </w:p>
    <w:sectPr w:rsidR="005A0BC8" w:rsidSect="00581FF1">
      <w:headerReference w:type="default" r:id="rId8"/>
      <w:footerReference w:type="default" r:id="rId9"/>
      <w:headerReference w:type="first" r:id="rId10"/>
      <w:footerReference w:type="first" r:id="rId11"/>
      <w:type w:val="oddPage"/>
      <w:pgSz w:w="12240" w:h="15840" w:code="1"/>
      <w:pgMar w:top="1354" w:right="1800" w:bottom="245" w:left="180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150" w:rsidRDefault="00311150">
      <w:r>
        <w:separator/>
      </w:r>
    </w:p>
  </w:endnote>
  <w:endnote w:type="continuationSeparator" w:id="0">
    <w:p w:rsidR="00311150" w:rsidRDefault="0031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20" w:type="dxa"/>
      <w:tblInd w:w="18" w:type="dxa"/>
      <w:tblBorders>
        <w:top w:val="single" w:sz="4" w:space="0" w:color="auto"/>
      </w:tblBorders>
      <w:tblLayout w:type="fixed"/>
      <w:tblLook w:val="0000" w:firstRow="0" w:lastRow="0" w:firstColumn="0" w:lastColumn="0" w:noHBand="0" w:noVBand="0"/>
    </w:tblPr>
    <w:tblGrid>
      <w:gridCol w:w="1473"/>
      <w:gridCol w:w="5907"/>
      <w:gridCol w:w="1440"/>
    </w:tblGrid>
    <w:tr w:rsidR="00356513">
      <w:tblPrEx>
        <w:tblCellMar>
          <w:top w:w="0" w:type="dxa"/>
          <w:bottom w:w="0" w:type="dxa"/>
        </w:tblCellMar>
      </w:tblPrEx>
      <w:trPr>
        <w:trHeight w:val="979"/>
      </w:trPr>
      <w:tc>
        <w:tcPr>
          <w:tcW w:w="1473" w:type="dxa"/>
        </w:tcPr>
        <w:p w:rsidR="00356513" w:rsidRDefault="00356513">
          <w:pPr>
            <w:pStyle w:val="Footer"/>
            <w:jc w:val="center"/>
            <w:rPr>
              <w:rFonts w:ascii="Verdana" w:hAnsi="Verdana"/>
              <w:sz w:val="8"/>
            </w:rPr>
          </w:pPr>
        </w:p>
        <w:p w:rsidR="00356513" w:rsidRDefault="00537B39">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v:imagedata r:id="rId1" o:title="ORBCON"/>
              </v:shape>
            </w:pict>
          </w:r>
        </w:p>
      </w:tc>
      <w:tc>
        <w:tcPr>
          <w:tcW w:w="5907" w:type="dxa"/>
        </w:tcPr>
        <w:p w:rsidR="00537B39" w:rsidRDefault="00356513">
          <w:pPr>
            <w:pStyle w:val="Footer"/>
            <w:jc w:val="center"/>
            <w:rPr>
              <w:rFonts w:ascii="Arial" w:hAnsi="Arial"/>
              <w:sz w:val="18"/>
            </w:rPr>
          </w:pPr>
          <w:r>
            <w:rPr>
              <w:rFonts w:ascii="Verdana" w:hAnsi="Verdana"/>
              <w:sz w:val="16"/>
            </w:rPr>
            <w:br/>
          </w:r>
          <w:smartTag w:uri="urn:schemas-microsoft-com:office:smarttags" w:element="State">
            <w:smartTag w:uri="urn:schemas-microsoft-com:office:smarttags" w:element="place">
              <w:r w:rsidR="00537B39">
                <w:rPr>
                  <w:rFonts w:ascii="Arial" w:hAnsi="Arial"/>
                  <w:sz w:val="18"/>
                </w:rPr>
                <w:t>Ontario</w:t>
              </w:r>
            </w:smartTag>
          </w:smartTag>
          <w:r w:rsidR="00537B39">
            <w:rPr>
              <w:rFonts w:ascii="Arial" w:hAnsi="Arial"/>
              <w:sz w:val="18"/>
            </w:rPr>
            <w:t xml:space="preserve"> Regional Blood Coordinating Network</w:t>
          </w:r>
        </w:p>
        <w:p w:rsidR="00356513" w:rsidRDefault="00A07D8E" w:rsidP="00355F51">
          <w:pPr>
            <w:pStyle w:val="Footer"/>
            <w:jc w:val="center"/>
            <w:rPr>
              <w:rFonts w:ascii="Verdana" w:hAnsi="Verdana"/>
              <w:sz w:val="16"/>
            </w:rPr>
          </w:pPr>
          <w:r>
            <w:rPr>
              <w:rFonts w:ascii="Arial" w:hAnsi="Arial"/>
              <w:sz w:val="18"/>
            </w:rPr>
            <w:t>Transfusion Technical Resource</w:t>
          </w:r>
          <w:r w:rsidR="00356513">
            <w:rPr>
              <w:rFonts w:ascii="Arial" w:hAnsi="Arial"/>
              <w:sz w:val="18"/>
            </w:rPr>
            <w:t xml:space="preserve"> Manual</w:t>
          </w:r>
        </w:p>
      </w:tc>
      <w:tc>
        <w:tcPr>
          <w:tcW w:w="1440" w:type="dxa"/>
        </w:tcPr>
        <w:p w:rsidR="00356513" w:rsidRDefault="00356513">
          <w:pPr>
            <w:pStyle w:val="Footer"/>
            <w:jc w:val="center"/>
            <w:rPr>
              <w:rFonts w:ascii="Arial" w:hAnsi="Arial"/>
              <w:sz w:val="18"/>
            </w:rPr>
          </w:pPr>
        </w:p>
        <w:p w:rsidR="00356513" w:rsidRDefault="00356513">
          <w:pPr>
            <w:pStyle w:val="Footer"/>
            <w:jc w:val="right"/>
            <w:rPr>
              <w:rFonts w:ascii="Arial" w:hAnsi="Arial"/>
              <w:sz w:val="18"/>
            </w:rPr>
          </w:pPr>
          <w:r>
            <w:rPr>
              <w:rFonts w:ascii="Arial" w:hAnsi="Arial"/>
              <w:sz w:val="18"/>
            </w:rPr>
            <w:t>QCA.001</w:t>
          </w:r>
        </w:p>
        <w:p w:rsidR="00356513" w:rsidRDefault="00356513">
          <w:pPr>
            <w:pStyle w:val="Footer"/>
            <w:jc w:val="right"/>
            <w:rPr>
              <w:rFonts w:ascii="Arial" w:hAnsi="Arial"/>
              <w:sz w:val="18"/>
            </w:rPr>
          </w:pPr>
        </w:p>
        <w:p w:rsidR="00356513" w:rsidRDefault="00356513">
          <w:pPr>
            <w:pStyle w:val="Footer"/>
            <w:jc w:val="right"/>
            <w:rPr>
              <w:rFonts w:ascii="Verdana" w:hAnsi="Verdana"/>
              <w:sz w:val="16"/>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871C25">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871C25">
            <w:rPr>
              <w:rFonts w:ascii="Arial" w:hAnsi="Arial"/>
              <w:noProof/>
              <w:snapToGrid w:val="0"/>
              <w:sz w:val="18"/>
            </w:rPr>
            <w:t>5</w:t>
          </w:r>
          <w:r>
            <w:rPr>
              <w:rFonts w:ascii="Arial" w:hAnsi="Arial"/>
              <w:snapToGrid w:val="0"/>
              <w:sz w:val="18"/>
            </w:rPr>
            <w:fldChar w:fldCharType="end"/>
          </w:r>
        </w:p>
      </w:tc>
    </w:tr>
  </w:tbl>
  <w:p w:rsidR="00356513" w:rsidRDefault="00356513">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20" w:type="dxa"/>
      <w:tblInd w:w="18" w:type="dxa"/>
      <w:tblBorders>
        <w:top w:val="single" w:sz="4" w:space="0" w:color="auto"/>
      </w:tblBorders>
      <w:tblLayout w:type="fixed"/>
      <w:tblLook w:val="0000" w:firstRow="0" w:lastRow="0" w:firstColumn="0" w:lastColumn="0" w:noHBand="0" w:noVBand="0"/>
    </w:tblPr>
    <w:tblGrid>
      <w:gridCol w:w="1473"/>
      <w:gridCol w:w="5907"/>
      <w:gridCol w:w="1440"/>
    </w:tblGrid>
    <w:tr w:rsidR="00356513">
      <w:tblPrEx>
        <w:tblCellMar>
          <w:top w:w="0" w:type="dxa"/>
          <w:bottom w:w="0" w:type="dxa"/>
        </w:tblCellMar>
      </w:tblPrEx>
      <w:trPr>
        <w:trHeight w:val="979"/>
      </w:trPr>
      <w:tc>
        <w:tcPr>
          <w:tcW w:w="1473" w:type="dxa"/>
        </w:tcPr>
        <w:p w:rsidR="00356513" w:rsidRDefault="00356513">
          <w:pPr>
            <w:pStyle w:val="Footer"/>
            <w:jc w:val="center"/>
            <w:rPr>
              <w:rFonts w:ascii="Verdana" w:hAnsi="Verdana"/>
              <w:sz w:val="8"/>
            </w:rPr>
          </w:pPr>
        </w:p>
        <w:p w:rsidR="00356513" w:rsidRDefault="00537B39">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v:imagedata r:id="rId1" o:title="ORBCON"/>
              </v:shape>
            </w:pict>
          </w:r>
        </w:p>
      </w:tc>
      <w:tc>
        <w:tcPr>
          <w:tcW w:w="5907" w:type="dxa"/>
        </w:tcPr>
        <w:p w:rsidR="00537B39" w:rsidRDefault="00356513">
          <w:pPr>
            <w:pStyle w:val="Footer"/>
            <w:jc w:val="center"/>
            <w:rPr>
              <w:rFonts w:ascii="Arial" w:hAnsi="Arial"/>
              <w:sz w:val="18"/>
            </w:rPr>
          </w:pPr>
          <w:r>
            <w:rPr>
              <w:rFonts w:ascii="Verdana" w:hAnsi="Verdana"/>
              <w:sz w:val="16"/>
            </w:rPr>
            <w:br/>
          </w:r>
          <w:smartTag w:uri="urn:schemas-microsoft-com:office:smarttags" w:element="State">
            <w:smartTag w:uri="urn:schemas-microsoft-com:office:smarttags" w:element="place">
              <w:r w:rsidR="00537B39">
                <w:rPr>
                  <w:rFonts w:ascii="Arial" w:hAnsi="Arial"/>
                  <w:sz w:val="18"/>
                </w:rPr>
                <w:t>Ontario</w:t>
              </w:r>
            </w:smartTag>
          </w:smartTag>
          <w:r w:rsidR="00537B39">
            <w:rPr>
              <w:rFonts w:ascii="Arial" w:hAnsi="Arial"/>
              <w:sz w:val="18"/>
            </w:rPr>
            <w:t xml:space="preserve"> Regional Blood Coordinating Network</w:t>
          </w:r>
        </w:p>
        <w:p w:rsidR="00356513" w:rsidRDefault="00F87768">
          <w:pPr>
            <w:pStyle w:val="Footer"/>
            <w:jc w:val="center"/>
            <w:rPr>
              <w:rFonts w:ascii="Verdana" w:hAnsi="Verdana"/>
              <w:sz w:val="16"/>
            </w:rPr>
          </w:pPr>
          <w:r>
            <w:rPr>
              <w:rFonts w:ascii="Arial" w:hAnsi="Arial"/>
              <w:sz w:val="18"/>
            </w:rPr>
            <w:t>Transfusion Technical Resource</w:t>
          </w:r>
          <w:r w:rsidR="00355F51">
            <w:rPr>
              <w:rFonts w:ascii="Arial" w:hAnsi="Arial"/>
              <w:sz w:val="18"/>
            </w:rPr>
            <w:t xml:space="preserve"> </w:t>
          </w:r>
          <w:r w:rsidR="00356513">
            <w:rPr>
              <w:rFonts w:ascii="Arial" w:hAnsi="Arial"/>
              <w:sz w:val="18"/>
            </w:rPr>
            <w:t>Manual</w:t>
          </w:r>
        </w:p>
      </w:tc>
      <w:tc>
        <w:tcPr>
          <w:tcW w:w="1440" w:type="dxa"/>
        </w:tcPr>
        <w:p w:rsidR="00356513" w:rsidRDefault="00356513">
          <w:pPr>
            <w:pStyle w:val="Footer"/>
            <w:jc w:val="center"/>
            <w:rPr>
              <w:rFonts w:ascii="Arial" w:hAnsi="Arial"/>
              <w:sz w:val="18"/>
            </w:rPr>
          </w:pPr>
        </w:p>
        <w:p w:rsidR="00356513" w:rsidRDefault="00356513">
          <w:pPr>
            <w:pStyle w:val="Footer"/>
            <w:jc w:val="right"/>
            <w:rPr>
              <w:rFonts w:ascii="Arial" w:hAnsi="Arial"/>
              <w:sz w:val="18"/>
            </w:rPr>
          </w:pPr>
          <w:r>
            <w:rPr>
              <w:rFonts w:ascii="Arial" w:hAnsi="Arial"/>
              <w:sz w:val="18"/>
            </w:rPr>
            <w:t>QCA.001</w:t>
          </w:r>
        </w:p>
        <w:p w:rsidR="00356513" w:rsidRDefault="00356513">
          <w:pPr>
            <w:pStyle w:val="Footer"/>
            <w:jc w:val="center"/>
            <w:rPr>
              <w:rFonts w:ascii="Arial" w:hAnsi="Arial"/>
              <w:sz w:val="18"/>
            </w:rPr>
          </w:pPr>
        </w:p>
        <w:p w:rsidR="00356513" w:rsidRDefault="00356513">
          <w:pPr>
            <w:pStyle w:val="Footer"/>
            <w:jc w:val="right"/>
            <w:rPr>
              <w:rFonts w:ascii="Verdana" w:hAnsi="Verdana"/>
              <w:sz w:val="16"/>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871C25">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871C25">
            <w:rPr>
              <w:rFonts w:ascii="Arial" w:hAnsi="Arial"/>
              <w:noProof/>
              <w:snapToGrid w:val="0"/>
              <w:sz w:val="18"/>
            </w:rPr>
            <w:t>3</w:t>
          </w:r>
          <w:r>
            <w:rPr>
              <w:rFonts w:ascii="Arial" w:hAnsi="Arial"/>
              <w:snapToGrid w:val="0"/>
              <w:sz w:val="18"/>
            </w:rPr>
            <w:fldChar w:fldCharType="end"/>
          </w:r>
        </w:p>
      </w:tc>
    </w:tr>
  </w:tbl>
  <w:p w:rsidR="00356513" w:rsidRDefault="00356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150" w:rsidRDefault="00311150">
      <w:r>
        <w:separator/>
      </w:r>
    </w:p>
  </w:footnote>
  <w:footnote w:type="continuationSeparator" w:id="0">
    <w:p w:rsidR="00311150" w:rsidRDefault="0031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83" w:type="dxa"/>
      <w:jc w:val="center"/>
      <w:tblLayout w:type="fixed"/>
      <w:tblLook w:val="0000" w:firstRow="0" w:lastRow="0" w:firstColumn="0" w:lastColumn="0" w:noHBand="0" w:noVBand="0"/>
    </w:tblPr>
    <w:tblGrid>
      <w:gridCol w:w="8883"/>
    </w:tblGrid>
    <w:tr w:rsidR="00356513">
      <w:tblPrEx>
        <w:tblCellMar>
          <w:top w:w="0" w:type="dxa"/>
          <w:bottom w:w="0" w:type="dxa"/>
        </w:tblCellMar>
      </w:tblPrEx>
      <w:trPr>
        <w:jc w:val="center"/>
      </w:trPr>
      <w:tc>
        <w:tcPr>
          <w:tcW w:w="8883" w:type="dxa"/>
        </w:tcPr>
        <w:p w:rsidR="00356513" w:rsidRDefault="00356513">
          <w:pPr>
            <w:pStyle w:val="Header"/>
            <w:jc w:val="center"/>
            <w:rPr>
              <w:rFonts w:ascii="Arial" w:hAnsi="Arial"/>
              <w:b/>
              <w:sz w:val="28"/>
            </w:rPr>
          </w:pPr>
          <w:r>
            <w:rPr>
              <w:rFonts w:ascii="Arial" w:hAnsi="Arial"/>
              <w:b/>
              <w:sz w:val="28"/>
            </w:rPr>
            <w:t>Quality Control of Reagent Red Cells and Antisera</w:t>
          </w:r>
        </w:p>
      </w:tc>
    </w:tr>
  </w:tbl>
  <w:p w:rsidR="00356513" w:rsidRDefault="00356513">
    <w:pPr>
      <w:pStyle w:val="Heade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513" w:rsidRDefault="00355F51">
    <w:pPr>
      <w:pStyle w:val="Header"/>
      <w:tabs>
        <w:tab w:val="clear" w:pos="8640"/>
        <w:tab w:val="left" w:pos="4783"/>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36.75pt">
          <v:imagedata r:id="rId1" o:title="ORBCoN Logo_EN"/>
        </v:shape>
      </w:pict>
    </w:r>
  </w:p>
  <w:p w:rsidR="00356513" w:rsidRDefault="00356513">
    <w:pPr>
      <w:pStyle w:val="Header"/>
      <w:tabs>
        <w:tab w:val="clear" w:pos="8640"/>
        <w:tab w:val="left" w:pos="4783"/>
      </w:tabs>
      <w:rPr>
        <w:rFonts w:ascii="Arial" w:hAnsi="Arial" w:cs="Arial"/>
        <w:b/>
        <w:bCs/>
        <w:sz w:val="22"/>
      </w:rPr>
    </w:pPr>
  </w:p>
  <w:p w:rsidR="00356513" w:rsidRPr="00581FF1" w:rsidRDefault="00355F51">
    <w:pPr>
      <w:pStyle w:val="Header"/>
      <w:jc w:val="center"/>
      <w:rPr>
        <w:rFonts w:ascii="Arial" w:hAnsi="Arial" w:cs="Arial"/>
        <w:b/>
        <w:bCs/>
      </w:rPr>
    </w:pPr>
    <w:r w:rsidRPr="00581FF1">
      <w:rPr>
        <w:rFonts w:ascii="Arial" w:hAnsi="Arial" w:cs="Arial"/>
        <w:b/>
        <w:bCs/>
      </w:rPr>
      <w:t xml:space="preserve">Ontario Regional Blood Coordinating Network </w:t>
    </w:r>
  </w:p>
  <w:p w:rsidR="00355F51" w:rsidRPr="00581FF1" w:rsidRDefault="00355F51">
    <w:pPr>
      <w:pStyle w:val="Header"/>
      <w:jc w:val="center"/>
      <w:rPr>
        <w:rFonts w:ascii="Arial" w:hAnsi="Arial" w:cs="Arial"/>
        <w:b/>
        <w:bCs/>
      </w:rPr>
    </w:pPr>
    <w:r w:rsidRPr="00581FF1">
      <w:rPr>
        <w:rFonts w:ascii="Arial" w:hAnsi="Arial" w:cs="Arial"/>
        <w:b/>
        <w:bCs/>
      </w:rPr>
      <w:t>Transfusion Technical Resource Manual</w:t>
    </w:r>
  </w:p>
  <w:p w:rsidR="00356513" w:rsidRDefault="00356513">
    <w:pPr>
      <w:pStyle w:val="Header"/>
      <w:jc w:val="center"/>
      <w:rPr>
        <w:rFonts w:ascii="Arial" w:hAnsi="Arial"/>
        <w:b/>
        <w:sz w:val="28"/>
      </w:rPr>
    </w:pPr>
  </w:p>
  <w:p w:rsidR="00356513" w:rsidRDefault="00356513">
    <w:pPr>
      <w:pStyle w:val="Header"/>
      <w:jc w:val="center"/>
      <w:rPr>
        <w:rFonts w:ascii="Arial" w:hAnsi="Arial"/>
        <w:b/>
        <w:sz w:val="28"/>
      </w:rPr>
    </w:pPr>
    <w:r>
      <w:rPr>
        <w:rFonts w:ascii="Arial" w:hAnsi="Arial"/>
        <w:b/>
        <w:sz w:val="28"/>
      </w:rPr>
      <w:t>Quality Control of Reagent Red Cells and Antisera</w:t>
    </w:r>
  </w:p>
  <w:p w:rsidR="00356513" w:rsidRDefault="00356513">
    <w:pPr>
      <w:pStyle w:val="Header"/>
      <w:jc w:val="center"/>
      <w:rPr>
        <w:rFonts w:ascii="Arial" w:hAnsi="Arial"/>
        <w:b/>
        <w:sz w:val="28"/>
      </w:rPr>
    </w:pPr>
  </w:p>
  <w:p w:rsidR="00356513" w:rsidRDefault="00356513">
    <w:pPr>
      <w:pStyle w:val="Header"/>
      <w:jc w:val="center"/>
      <w:rPr>
        <w:rFonts w:ascii="Arial" w:hAnsi="Arial" w:cs="Arial"/>
        <w:b/>
        <w:bCs/>
        <w:sz w:val="20"/>
      </w:rPr>
    </w:pPr>
    <w:r>
      <w:rPr>
        <w:rFonts w:ascii="Arial" w:hAnsi="Arial" w:cs="Arial"/>
        <w:b/>
        <w:bCs/>
        <w:sz w:val="20"/>
      </w:rPr>
      <w:tab/>
    </w:r>
    <w:r>
      <w:rPr>
        <w:rFonts w:ascii="Arial" w:hAnsi="Arial" w:cs="Arial"/>
        <w:sz w:val="20"/>
      </w:rPr>
      <w:pict>
        <v:line id="_x0000_s2049" style="position:absolute;left:0;text-align:left;z-index:1;mso-position-horizontal-relative:text;mso-position-vertical-relative:text" from="-4.95pt,1.65pt" to="436.05pt,1.65pt"/>
      </w:pict>
    </w:r>
  </w:p>
  <w:tbl>
    <w:tblPr>
      <w:tblW w:w="0" w:type="auto"/>
      <w:tblLook w:val="0000" w:firstRow="0" w:lastRow="0" w:firstColumn="0" w:lastColumn="0" w:noHBand="0" w:noVBand="0"/>
    </w:tblPr>
    <w:tblGrid>
      <w:gridCol w:w="4428"/>
      <w:gridCol w:w="4428"/>
    </w:tblGrid>
    <w:tr w:rsidR="00356513">
      <w:tc>
        <w:tcPr>
          <w:tcW w:w="4428" w:type="dxa"/>
        </w:tcPr>
        <w:p w:rsidR="00356513" w:rsidRDefault="00356513" w:rsidP="00355F51">
          <w:pPr>
            <w:pStyle w:val="Header"/>
            <w:rPr>
              <w:rFonts w:ascii="Arial" w:hAnsi="Arial" w:cs="Arial"/>
              <w:sz w:val="20"/>
            </w:rPr>
          </w:pPr>
          <w:r>
            <w:rPr>
              <w:rFonts w:ascii="Arial" w:hAnsi="Arial" w:cs="Arial"/>
              <w:sz w:val="20"/>
            </w:rPr>
            <w:t>Approved By:</w:t>
          </w:r>
          <w:r w:rsidR="00537B39">
            <w:rPr>
              <w:rFonts w:ascii="Arial" w:hAnsi="Arial" w:cs="Arial"/>
              <w:sz w:val="20"/>
            </w:rPr>
            <w:t xml:space="preserve">  </w:t>
          </w:r>
        </w:p>
      </w:tc>
      <w:tc>
        <w:tcPr>
          <w:tcW w:w="4428" w:type="dxa"/>
        </w:tcPr>
        <w:p w:rsidR="00356513" w:rsidRDefault="00356513">
          <w:pPr>
            <w:pStyle w:val="Header"/>
            <w:rPr>
              <w:rFonts w:ascii="Arial" w:hAnsi="Arial" w:cs="Arial"/>
              <w:sz w:val="20"/>
            </w:rPr>
          </w:pPr>
          <w:r>
            <w:rPr>
              <w:rFonts w:ascii="Arial" w:hAnsi="Arial" w:cs="Arial"/>
              <w:sz w:val="20"/>
            </w:rPr>
            <w:t>Document No: QCA.001</w:t>
          </w:r>
        </w:p>
      </w:tc>
    </w:tr>
    <w:tr w:rsidR="00356513">
      <w:tc>
        <w:tcPr>
          <w:tcW w:w="4428" w:type="dxa"/>
        </w:tcPr>
        <w:p w:rsidR="00356513" w:rsidRDefault="00356513">
          <w:pPr>
            <w:pStyle w:val="Header"/>
            <w:rPr>
              <w:rFonts w:ascii="Arial" w:hAnsi="Arial" w:cs="Arial"/>
              <w:sz w:val="20"/>
            </w:rPr>
          </w:pPr>
          <w:r>
            <w:rPr>
              <w:rFonts w:ascii="Arial" w:hAnsi="Arial" w:cs="Arial"/>
              <w:sz w:val="20"/>
            </w:rPr>
            <w:t>Date Issued:  2004/04/05</w:t>
          </w:r>
        </w:p>
      </w:tc>
      <w:tc>
        <w:tcPr>
          <w:tcW w:w="4428" w:type="dxa"/>
        </w:tcPr>
        <w:p w:rsidR="00356513" w:rsidRDefault="00356513">
          <w:pPr>
            <w:pStyle w:val="Header"/>
            <w:rPr>
              <w:rFonts w:ascii="Arial" w:hAnsi="Arial" w:cs="Arial"/>
              <w:sz w:val="20"/>
            </w:rPr>
          </w:pPr>
          <w:r>
            <w:rPr>
              <w:rFonts w:ascii="Arial" w:hAnsi="Arial" w:cs="Arial"/>
              <w:sz w:val="20"/>
            </w:rPr>
            <w:t>Category:  Quality Control, Assurance</w:t>
          </w:r>
        </w:p>
      </w:tc>
    </w:tr>
    <w:tr w:rsidR="00356513">
      <w:tc>
        <w:tcPr>
          <w:tcW w:w="4428" w:type="dxa"/>
        </w:tcPr>
        <w:p w:rsidR="00356513" w:rsidRDefault="00356513" w:rsidP="005E1CD2">
          <w:pPr>
            <w:pStyle w:val="Header"/>
            <w:rPr>
              <w:rFonts w:ascii="Arial" w:hAnsi="Arial" w:cs="Arial"/>
              <w:sz w:val="20"/>
            </w:rPr>
          </w:pPr>
          <w:r>
            <w:rPr>
              <w:rFonts w:ascii="Arial" w:hAnsi="Arial" w:cs="Arial"/>
              <w:sz w:val="20"/>
            </w:rPr>
            <w:t>Date Revised:</w:t>
          </w:r>
          <w:r w:rsidR="00537B39">
            <w:rPr>
              <w:rFonts w:ascii="Arial" w:hAnsi="Arial" w:cs="Arial"/>
              <w:sz w:val="20"/>
            </w:rPr>
            <w:t xml:space="preserve"> </w:t>
          </w:r>
          <w:r w:rsidR="005E1CD2">
            <w:rPr>
              <w:rFonts w:ascii="Arial" w:hAnsi="Arial" w:cs="Arial"/>
              <w:sz w:val="20"/>
            </w:rPr>
            <w:t xml:space="preserve"> 2009/09/01; </w:t>
          </w:r>
          <w:r w:rsidR="00537B39">
            <w:rPr>
              <w:rFonts w:ascii="Arial" w:hAnsi="Arial" w:cs="Arial"/>
              <w:sz w:val="20"/>
            </w:rPr>
            <w:t>20</w:t>
          </w:r>
          <w:r w:rsidR="003844C6">
            <w:rPr>
              <w:rFonts w:ascii="Arial" w:hAnsi="Arial" w:cs="Arial"/>
              <w:sz w:val="20"/>
            </w:rPr>
            <w:t>15</w:t>
          </w:r>
          <w:r w:rsidR="00F87768">
            <w:rPr>
              <w:rFonts w:ascii="Arial" w:hAnsi="Arial" w:cs="Arial"/>
              <w:sz w:val="20"/>
            </w:rPr>
            <w:t>/0</w:t>
          </w:r>
          <w:r w:rsidR="000E143F">
            <w:rPr>
              <w:rFonts w:ascii="Arial" w:hAnsi="Arial" w:cs="Arial"/>
              <w:sz w:val="20"/>
            </w:rPr>
            <w:t>9/01</w:t>
          </w:r>
        </w:p>
      </w:tc>
      <w:tc>
        <w:tcPr>
          <w:tcW w:w="4428" w:type="dxa"/>
        </w:tcPr>
        <w:p w:rsidR="00356513" w:rsidRDefault="00356513">
          <w:pPr>
            <w:pStyle w:val="Head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871C25">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871C25">
            <w:rPr>
              <w:rFonts w:ascii="Arial" w:hAnsi="Arial" w:cs="Arial"/>
              <w:noProof/>
              <w:sz w:val="20"/>
            </w:rPr>
            <w:t>3</w:t>
          </w:r>
          <w:r>
            <w:rPr>
              <w:rFonts w:ascii="Arial" w:hAnsi="Arial" w:cs="Arial"/>
              <w:sz w:val="20"/>
            </w:rPr>
            <w:fldChar w:fldCharType="end"/>
          </w:r>
        </w:p>
      </w:tc>
    </w:tr>
  </w:tbl>
  <w:p w:rsidR="00356513" w:rsidRDefault="00356513">
    <w:pPr>
      <w:pStyle w:val="Header"/>
      <w:rPr>
        <w:sz w:val="20"/>
      </w:rPr>
    </w:pPr>
    <w:r>
      <w:rPr>
        <w:rFonts w:ascii="Arial" w:hAnsi="Arial" w:cs="Arial"/>
        <w:sz w:val="20"/>
      </w:rPr>
      <w:pict>
        <v:line id="_x0000_s2050" style="position:absolute;z-index:2;mso-position-horizontal-relative:text;mso-position-vertical-relative:text" from="-4.95pt,9.65pt" to="436.05pt,9.65pt"/>
      </w:pict>
    </w:r>
    <w:r>
      <w:rPr>
        <w:rFonts w:ascii="Arial" w:hAnsi="Arial" w:cs="Arial"/>
        <w:sz w:val="20"/>
      </w:rPr>
      <w:tab/>
    </w:r>
  </w:p>
  <w:p w:rsidR="00356513" w:rsidRDefault="0035651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26397"/>
    <w:multiLevelType w:val="hybridMultilevel"/>
    <w:tmpl w:val="1BC498A4"/>
    <w:lvl w:ilvl="0" w:tplc="10090017">
      <w:start w:val="1"/>
      <w:numFmt w:val="lowerLetter"/>
      <w:lvlText w:val="%1)"/>
      <w:lvlJc w:val="left"/>
      <w:pPr>
        <w:ind w:left="1890" w:hanging="360"/>
      </w:pPr>
      <w:rPr>
        <w:rFonts w:hint="default"/>
        <w:b w:val="0"/>
      </w:rPr>
    </w:lvl>
    <w:lvl w:ilvl="1" w:tplc="10090019" w:tentative="1">
      <w:start w:val="1"/>
      <w:numFmt w:val="lowerLetter"/>
      <w:lvlText w:val="%2."/>
      <w:lvlJc w:val="left"/>
      <w:pPr>
        <w:ind w:left="2610" w:hanging="360"/>
      </w:pPr>
    </w:lvl>
    <w:lvl w:ilvl="2" w:tplc="1009001B" w:tentative="1">
      <w:start w:val="1"/>
      <w:numFmt w:val="lowerRoman"/>
      <w:lvlText w:val="%3."/>
      <w:lvlJc w:val="right"/>
      <w:pPr>
        <w:ind w:left="3330" w:hanging="180"/>
      </w:pPr>
    </w:lvl>
    <w:lvl w:ilvl="3" w:tplc="1009000F" w:tentative="1">
      <w:start w:val="1"/>
      <w:numFmt w:val="decimal"/>
      <w:lvlText w:val="%4."/>
      <w:lvlJc w:val="left"/>
      <w:pPr>
        <w:ind w:left="4050" w:hanging="360"/>
      </w:pPr>
    </w:lvl>
    <w:lvl w:ilvl="4" w:tplc="10090019" w:tentative="1">
      <w:start w:val="1"/>
      <w:numFmt w:val="lowerLetter"/>
      <w:lvlText w:val="%5."/>
      <w:lvlJc w:val="left"/>
      <w:pPr>
        <w:ind w:left="4770" w:hanging="360"/>
      </w:pPr>
    </w:lvl>
    <w:lvl w:ilvl="5" w:tplc="1009001B" w:tentative="1">
      <w:start w:val="1"/>
      <w:numFmt w:val="lowerRoman"/>
      <w:lvlText w:val="%6."/>
      <w:lvlJc w:val="right"/>
      <w:pPr>
        <w:ind w:left="5490" w:hanging="180"/>
      </w:pPr>
    </w:lvl>
    <w:lvl w:ilvl="6" w:tplc="1009000F" w:tentative="1">
      <w:start w:val="1"/>
      <w:numFmt w:val="decimal"/>
      <w:lvlText w:val="%7."/>
      <w:lvlJc w:val="left"/>
      <w:pPr>
        <w:ind w:left="6210" w:hanging="360"/>
      </w:pPr>
    </w:lvl>
    <w:lvl w:ilvl="7" w:tplc="10090019" w:tentative="1">
      <w:start w:val="1"/>
      <w:numFmt w:val="lowerLetter"/>
      <w:lvlText w:val="%8."/>
      <w:lvlJc w:val="left"/>
      <w:pPr>
        <w:ind w:left="6930" w:hanging="360"/>
      </w:pPr>
    </w:lvl>
    <w:lvl w:ilvl="8" w:tplc="1009001B" w:tentative="1">
      <w:start w:val="1"/>
      <w:numFmt w:val="lowerRoman"/>
      <w:lvlText w:val="%9."/>
      <w:lvlJc w:val="right"/>
      <w:pPr>
        <w:ind w:left="7650" w:hanging="180"/>
      </w:pPr>
    </w:lvl>
  </w:abstractNum>
  <w:abstractNum w:abstractNumId="1" w15:restartNumberingAfterBreak="0">
    <w:nsid w:val="314D09CB"/>
    <w:multiLevelType w:val="multilevel"/>
    <w:tmpl w:val="19B4856A"/>
    <w:lvl w:ilvl="0">
      <w:start w:val="1"/>
      <w:numFmt w:val="decimal"/>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45EB7D22"/>
    <w:multiLevelType w:val="multilevel"/>
    <w:tmpl w:val="5238C3A0"/>
    <w:lvl w:ilvl="0">
      <w:start w:val="1"/>
      <w:numFmt w:val="decimal"/>
      <w:lvlText w:val="%1.0"/>
      <w:lvlJc w:val="left"/>
      <w:pPr>
        <w:ind w:left="360" w:hanging="360"/>
      </w:pPr>
      <w:rPr>
        <w:rFonts w:hint="default"/>
        <w:sz w:val="28"/>
      </w:rPr>
    </w:lvl>
    <w:lvl w:ilvl="1">
      <w:start w:val="1"/>
      <w:numFmt w:val="decimal"/>
      <w:lvlText w:val="%1.%2"/>
      <w:lvlJc w:val="left"/>
      <w:pPr>
        <w:ind w:left="1080" w:hanging="360"/>
      </w:pPr>
      <w:rPr>
        <w:rFonts w:hint="default"/>
        <w:b w:val="0"/>
        <w:sz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3DD12D6"/>
    <w:multiLevelType w:val="hybridMultilevel"/>
    <w:tmpl w:val="1D3E15F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6F8166BE"/>
    <w:multiLevelType w:val="hybridMultilevel"/>
    <w:tmpl w:val="C5A263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B39"/>
    <w:rsid w:val="0005617C"/>
    <w:rsid w:val="000E143F"/>
    <w:rsid w:val="001E1A96"/>
    <w:rsid w:val="001F1618"/>
    <w:rsid w:val="00205DBB"/>
    <w:rsid w:val="00234717"/>
    <w:rsid w:val="00256E5A"/>
    <w:rsid w:val="0026744F"/>
    <w:rsid w:val="0027070C"/>
    <w:rsid w:val="002A2C19"/>
    <w:rsid w:val="002D21B7"/>
    <w:rsid w:val="002E704F"/>
    <w:rsid w:val="00305283"/>
    <w:rsid w:val="00311150"/>
    <w:rsid w:val="00355F51"/>
    <w:rsid w:val="00356513"/>
    <w:rsid w:val="003844C6"/>
    <w:rsid w:val="00384AB4"/>
    <w:rsid w:val="00386600"/>
    <w:rsid w:val="00396F3C"/>
    <w:rsid w:val="003B26E6"/>
    <w:rsid w:val="003C4160"/>
    <w:rsid w:val="003F2869"/>
    <w:rsid w:val="00455E87"/>
    <w:rsid w:val="004D432F"/>
    <w:rsid w:val="00523646"/>
    <w:rsid w:val="00537B39"/>
    <w:rsid w:val="00541712"/>
    <w:rsid w:val="00550AF6"/>
    <w:rsid w:val="00581FF1"/>
    <w:rsid w:val="005A0BC8"/>
    <w:rsid w:val="005D3673"/>
    <w:rsid w:val="005E1CD2"/>
    <w:rsid w:val="00600488"/>
    <w:rsid w:val="0060347E"/>
    <w:rsid w:val="006616F4"/>
    <w:rsid w:val="00661CBA"/>
    <w:rsid w:val="006A4E07"/>
    <w:rsid w:val="00793597"/>
    <w:rsid w:val="007D56A7"/>
    <w:rsid w:val="007F249E"/>
    <w:rsid w:val="007F3EC5"/>
    <w:rsid w:val="00821096"/>
    <w:rsid w:val="00871C25"/>
    <w:rsid w:val="00906568"/>
    <w:rsid w:val="00A07D8E"/>
    <w:rsid w:val="00A53F97"/>
    <w:rsid w:val="00A77844"/>
    <w:rsid w:val="00BB57F7"/>
    <w:rsid w:val="00BD3B6E"/>
    <w:rsid w:val="00C15B76"/>
    <w:rsid w:val="00CC3248"/>
    <w:rsid w:val="00CC5307"/>
    <w:rsid w:val="00D34BBD"/>
    <w:rsid w:val="00E42C56"/>
    <w:rsid w:val="00E67260"/>
    <w:rsid w:val="00E72500"/>
    <w:rsid w:val="00F412D8"/>
    <w:rsid w:val="00F87768"/>
    <w:rsid w:val="00F93BD5"/>
    <w:rsid w:val="00F9581B"/>
    <w:rsid w:val="00FD3DEB"/>
    <w:rsid w:val="00FE4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5:chartTrackingRefBased/>
  <w15:docId w15:val="{4B972B7E-3D11-49DF-9459-445533CB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hAnsi="Georgia"/>
      <w:kern w:val="24"/>
      <w:sz w:val="24"/>
      <w:lang w:eastAsia="en-US"/>
    </w:rPr>
  </w:style>
  <w:style w:type="paragraph" w:styleId="Heading1">
    <w:name w:val="heading 1"/>
    <w:basedOn w:val="Normal"/>
    <w:next w:val="Normal"/>
    <w:autoRedefine/>
    <w:qFormat/>
    <w:pPr>
      <w:keepNext/>
      <w:spacing w:after="240"/>
      <w:outlineLvl w:val="0"/>
    </w:pPr>
    <w:rPr>
      <w:rFonts w:ascii="Arial" w:hAnsi="Arial"/>
      <w:b/>
      <w:kern w:val="32"/>
      <w:sz w:val="28"/>
    </w:rPr>
  </w:style>
  <w:style w:type="paragraph" w:styleId="Heading2">
    <w:name w:val="heading 2"/>
    <w:basedOn w:val="Normal"/>
    <w:next w:val="Normal"/>
    <w:qFormat/>
    <w:pPr>
      <w:keepNext/>
      <w:numPr>
        <w:ilvl w:val="1"/>
        <w:numId w:val="1"/>
      </w:numPr>
      <w:spacing w:after="240"/>
      <w:outlineLvl w:val="1"/>
    </w:pPr>
    <w:rPr>
      <w:rFonts w:ascii="Verdana" w:hAnsi="Verdana"/>
      <w:snapToGrid w:val="0"/>
      <w:sz w:val="28"/>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numPr>
        <w:ilvl w:val="3"/>
        <w:numId w:val="1"/>
      </w:numPr>
      <w:spacing w:after="240"/>
      <w:outlineLvl w:val="3"/>
    </w:pPr>
    <w:rPr>
      <w:snapToGrid w:val="0"/>
    </w:rPr>
  </w:style>
  <w:style w:type="paragraph" w:styleId="Heading5">
    <w:name w:val="heading 5"/>
    <w:basedOn w:val="Normal"/>
    <w:next w:val="Normal"/>
    <w:qFormat/>
    <w:pPr>
      <w:keepNext/>
      <w:numPr>
        <w:ilvl w:val="4"/>
        <w:numId w:val="1"/>
      </w:numPr>
      <w:spacing w:after="240"/>
      <w:outlineLvl w:val="4"/>
    </w:pPr>
    <w:rPr>
      <w:rFonts w:ascii="Verdana" w:hAnsi="Verdana"/>
      <w:i/>
      <w:snapToGrid w:val="0"/>
    </w:rPr>
  </w:style>
  <w:style w:type="paragraph" w:styleId="Heading6">
    <w:name w:val="heading 6"/>
    <w:basedOn w:val="Normal"/>
    <w:next w:val="Normal"/>
    <w:qFormat/>
    <w:pPr>
      <w:keepNext/>
      <w:numPr>
        <w:ilvl w:val="5"/>
        <w:numId w:val="1"/>
      </w:numPr>
      <w:spacing w:after="240"/>
      <w:outlineLvl w:val="5"/>
    </w:pPr>
    <w:rPr>
      <w:b/>
      <w:snapToGrid w:val="0"/>
    </w:rPr>
  </w:style>
  <w:style w:type="paragraph" w:styleId="Heading7">
    <w:name w:val="heading 7"/>
    <w:basedOn w:val="Normal"/>
    <w:next w:val="Normal"/>
    <w:qFormat/>
    <w:pPr>
      <w:keepNext/>
      <w:outlineLvl w:val="6"/>
    </w:pPr>
    <w:rPr>
      <w:rFonts w:ascii="Verdana" w:hAnsi="Verdana"/>
      <w:b/>
      <w:sz w:val="28"/>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440"/>
    </w:pPr>
    <w:rPr>
      <w:rFonts w:ascii="Arial" w:hAnsi="Arial"/>
      <w:kern w:val="0"/>
    </w:rPr>
  </w:style>
  <w:style w:type="character" w:styleId="PageNumber">
    <w:name w:val="page number"/>
    <w:basedOn w:val="DefaultParagraphFont"/>
  </w:style>
  <w:style w:type="paragraph" w:styleId="BodyText">
    <w:name w:val="Body Text"/>
    <w:basedOn w:val="Normal"/>
    <w:pPr>
      <w:jc w:val="center"/>
    </w:pPr>
    <w:rPr>
      <w:b/>
    </w:rPr>
  </w:style>
  <w:style w:type="paragraph" w:styleId="BalloonText">
    <w:name w:val="Balloon Text"/>
    <w:basedOn w:val="Normal"/>
    <w:link w:val="BalloonTextChar"/>
    <w:uiPriority w:val="99"/>
    <w:semiHidden/>
    <w:unhideWhenUsed/>
    <w:rsid w:val="00384AB4"/>
    <w:rPr>
      <w:rFonts w:ascii="Tahoma" w:hAnsi="Tahoma" w:cs="Tahoma"/>
      <w:sz w:val="16"/>
      <w:szCs w:val="16"/>
    </w:rPr>
  </w:style>
  <w:style w:type="character" w:customStyle="1" w:styleId="BalloonTextChar">
    <w:name w:val="Balloon Text Char"/>
    <w:link w:val="BalloonText"/>
    <w:uiPriority w:val="99"/>
    <w:semiHidden/>
    <w:rsid w:val="00384AB4"/>
    <w:rPr>
      <w:rFonts w:ascii="Tahoma" w:hAnsi="Tahoma" w:cs="Tahoma"/>
      <w:kern w:val="24"/>
      <w:sz w:val="16"/>
      <w:szCs w:val="16"/>
      <w:lang w:val="en-CA"/>
    </w:rPr>
  </w:style>
  <w:style w:type="character" w:styleId="CommentReference">
    <w:name w:val="annotation reference"/>
    <w:uiPriority w:val="99"/>
    <w:semiHidden/>
    <w:unhideWhenUsed/>
    <w:rsid w:val="006616F4"/>
    <w:rPr>
      <w:sz w:val="16"/>
      <w:szCs w:val="16"/>
    </w:rPr>
  </w:style>
  <w:style w:type="paragraph" w:styleId="CommentText">
    <w:name w:val="annotation text"/>
    <w:basedOn w:val="Normal"/>
    <w:link w:val="CommentTextChar"/>
    <w:uiPriority w:val="99"/>
    <w:semiHidden/>
    <w:unhideWhenUsed/>
    <w:rsid w:val="006616F4"/>
    <w:rPr>
      <w:sz w:val="20"/>
    </w:rPr>
  </w:style>
  <w:style w:type="character" w:customStyle="1" w:styleId="CommentTextChar">
    <w:name w:val="Comment Text Char"/>
    <w:link w:val="CommentText"/>
    <w:uiPriority w:val="99"/>
    <w:semiHidden/>
    <w:rsid w:val="006616F4"/>
    <w:rPr>
      <w:rFonts w:ascii="Georgia" w:hAnsi="Georgia"/>
      <w:kern w:val="24"/>
      <w:lang w:val="en-CA"/>
    </w:rPr>
  </w:style>
  <w:style w:type="paragraph" w:styleId="CommentSubject">
    <w:name w:val="annotation subject"/>
    <w:basedOn w:val="CommentText"/>
    <w:next w:val="CommentText"/>
    <w:link w:val="CommentSubjectChar"/>
    <w:uiPriority w:val="99"/>
    <w:semiHidden/>
    <w:unhideWhenUsed/>
    <w:rsid w:val="006616F4"/>
    <w:rPr>
      <w:b/>
      <w:bCs/>
    </w:rPr>
  </w:style>
  <w:style w:type="character" w:customStyle="1" w:styleId="CommentSubjectChar">
    <w:name w:val="Comment Subject Char"/>
    <w:link w:val="CommentSubject"/>
    <w:uiPriority w:val="99"/>
    <w:semiHidden/>
    <w:rsid w:val="006616F4"/>
    <w:rPr>
      <w:rFonts w:ascii="Georgia" w:hAnsi="Georgia"/>
      <w:b/>
      <w:bCs/>
      <w:kern w:val="24"/>
      <w:lang w:val="en-CA"/>
    </w:rPr>
  </w:style>
  <w:style w:type="paragraph" w:styleId="ListParagraph">
    <w:name w:val="List Paragraph"/>
    <w:basedOn w:val="Normal"/>
    <w:uiPriority w:val="34"/>
    <w:qFormat/>
    <w:rsid w:val="005A0BC8"/>
    <w:pPr>
      <w:ind w:left="720"/>
    </w:pPr>
  </w:style>
  <w:style w:type="table" w:styleId="TableGrid">
    <w:name w:val="Table Grid"/>
    <w:basedOn w:val="TableNormal"/>
    <w:uiPriority w:val="59"/>
    <w:rsid w:val="00F4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BCO%20Template%20for%20preparing%20Web%20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93DF-E872-4191-8070-99A1D583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PBCO Template for preparing Web documents</Template>
  <TotalTime>0</TotalTime>
  <Pages>5</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QCA.001 - Quality Control of Reagent Red Cells and Antisera</vt:lpstr>
    </vt:vector>
  </TitlesOfParts>
  <Company>HealthPro Computer Services</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QCA.001 - Quality Control of Reagent Red Cells and Antisera</dc:title>
  <dc:subject/>
  <dc:creator>TOPO</dc:creator>
  <cp:keywords/>
  <cp:lastModifiedBy>Nesrallah, Heather</cp:lastModifiedBy>
  <cp:revision>2</cp:revision>
  <cp:lastPrinted>2015-09-01T18:05:00Z</cp:lastPrinted>
  <dcterms:created xsi:type="dcterms:W3CDTF">2019-01-22T14:04:00Z</dcterms:created>
  <dcterms:modified xsi:type="dcterms:W3CDTF">2019-01-22T14:04:00Z</dcterms:modified>
</cp:coreProperties>
</file>