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C" w:rsidRPr="0078455D" w:rsidRDefault="009950B9" w:rsidP="00BD6C6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Nursing P</w:t>
      </w:r>
      <w:r w:rsidR="0021136C" w:rsidRPr="0078455D">
        <w:rPr>
          <w:sz w:val="44"/>
          <w:szCs w:val="44"/>
        </w:rPr>
        <w:t xml:space="preserve">olicy </w:t>
      </w:r>
      <w:r w:rsidR="0078455D" w:rsidRPr="0078455D">
        <w:rPr>
          <w:sz w:val="44"/>
          <w:szCs w:val="44"/>
        </w:rPr>
        <w:t xml:space="preserve">and Procedure </w:t>
      </w:r>
      <w:r w:rsidR="0021136C" w:rsidRPr="0078455D">
        <w:rPr>
          <w:sz w:val="44"/>
          <w:szCs w:val="44"/>
        </w:rPr>
        <w:t xml:space="preserve">for Subcutaneous </w:t>
      </w:r>
      <w:r>
        <w:rPr>
          <w:sz w:val="44"/>
          <w:szCs w:val="44"/>
        </w:rPr>
        <w:t xml:space="preserve">Immune Globulin </w:t>
      </w:r>
      <w:r w:rsidR="0021136C" w:rsidRPr="0078455D">
        <w:rPr>
          <w:sz w:val="44"/>
          <w:szCs w:val="44"/>
        </w:rPr>
        <w:t>Home Infusion</w:t>
      </w:r>
    </w:p>
    <w:p w:rsidR="0021136C" w:rsidRDefault="0021136C" w:rsidP="0021136C">
      <w:pPr>
        <w:rPr>
          <w:sz w:val="24"/>
          <w:szCs w:val="24"/>
        </w:rPr>
      </w:pPr>
      <w:r w:rsidRPr="004208D0">
        <w:rPr>
          <w:sz w:val="28"/>
          <w:szCs w:val="28"/>
        </w:rPr>
        <w:t>Policy statement</w:t>
      </w:r>
      <w:r>
        <w:rPr>
          <w:sz w:val="24"/>
          <w:szCs w:val="24"/>
        </w:rPr>
        <w:t>:</w:t>
      </w:r>
    </w:p>
    <w:p w:rsidR="0021136C" w:rsidRDefault="0021136C" w:rsidP="00211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physician order and Blood consent is required to administer Subcutaneous Immune Globulin</w:t>
      </w:r>
      <w:r w:rsidR="00D333AB">
        <w:rPr>
          <w:sz w:val="24"/>
          <w:szCs w:val="24"/>
        </w:rPr>
        <w:t xml:space="preserve"> (</w:t>
      </w:r>
      <w:proofErr w:type="spellStart"/>
      <w:r w:rsidR="00D333AB">
        <w:rPr>
          <w:sz w:val="24"/>
          <w:szCs w:val="24"/>
        </w:rPr>
        <w:t>SCIg</w:t>
      </w:r>
      <w:proofErr w:type="spellEnd"/>
      <w:r w:rsidR="00D333AB">
        <w:rPr>
          <w:sz w:val="24"/>
          <w:szCs w:val="24"/>
        </w:rPr>
        <w:t>)</w:t>
      </w:r>
      <w:r>
        <w:rPr>
          <w:sz w:val="24"/>
          <w:szCs w:val="24"/>
        </w:rPr>
        <w:t xml:space="preserve"> to </w:t>
      </w:r>
      <w:r w:rsidR="00D333AB">
        <w:rPr>
          <w:sz w:val="24"/>
          <w:szCs w:val="24"/>
        </w:rPr>
        <w:t xml:space="preserve">a </w:t>
      </w:r>
      <w:r>
        <w:rPr>
          <w:sz w:val="24"/>
          <w:szCs w:val="24"/>
        </w:rPr>
        <w:t>patient</w:t>
      </w:r>
      <w:r w:rsidR="00D333AB">
        <w:rPr>
          <w:sz w:val="24"/>
          <w:szCs w:val="24"/>
        </w:rPr>
        <w:t>.</w:t>
      </w:r>
    </w:p>
    <w:p w:rsidR="0021136C" w:rsidRDefault="0021136C" w:rsidP="00211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patient or his delegate is taught how to safely administer Immune Globulin subcutaneously</w:t>
      </w:r>
      <w:r w:rsidR="004208D0">
        <w:rPr>
          <w:sz w:val="24"/>
          <w:szCs w:val="24"/>
        </w:rPr>
        <w:t xml:space="preserve"> (</w:t>
      </w:r>
      <w:proofErr w:type="spellStart"/>
      <w:r w:rsidR="004208D0">
        <w:rPr>
          <w:sz w:val="24"/>
          <w:szCs w:val="24"/>
        </w:rPr>
        <w:t>SCIg</w:t>
      </w:r>
      <w:proofErr w:type="spellEnd"/>
      <w:r w:rsidR="004208D0">
        <w:rPr>
          <w:sz w:val="24"/>
          <w:szCs w:val="24"/>
        </w:rPr>
        <w:t>) in the home</w:t>
      </w:r>
    </w:p>
    <w:p w:rsidR="0021136C" w:rsidRDefault="0021136C" w:rsidP="00211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admitted the patient or his delegate can infuse immune globulin on their own or with assistance from the Nurse</w:t>
      </w:r>
      <w:r w:rsidR="00D333AB">
        <w:rPr>
          <w:sz w:val="24"/>
          <w:szCs w:val="24"/>
        </w:rPr>
        <w:t>.</w:t>
      </w:r>
    </w:p>
    <w:p w:rsidR="004208D0" w:rsidRDefault="004208D0" w:rsidP="00420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 or delegate is re-evaluated</w:t>
      </w:r>
      <w:r w:rsidR="00E42920">
        <w:rPr>
          <w:sz w:val="24"/>
          <w:szCs w:val="24"/>
        </w:rPr>
        <w:t xml:space="preserve"> on a regular</w:t>
      </w:r>
      <w:r w:rsidR="00361DF3">
        <w:rPr>
          <w:sz w:val="24"/>
          <w:szCs w:val="24"/>
        </w:rPr>
        <w:t xml:space="preserve"> basis</w:t>
      </w:r>
      <w:r>
        <w:rPr>
          <w:sz w:val="24"/>
          <w:szCs w:val="24"/>
        </w:rPr>
        <w:t xml:space="preserve"> after 1 month/ 3 months than 6 months for </w:t>
      </w:r>
      <w:r w:rsidR="00361DF3">
        <w:rPr>
          <w:sz w:val="24"/>
          <w:szCs w:val="24"/>
        </w:rPr>
        <w:t xml:space="preserve">continued </w:t>
      </w:r>
      <w:r>
        <w:rPr>
          <w:sz w:val="24"/>
          <w:szCs w:val="24"/>
        </w:rPr>
        <w:t xml:space="preserve">proficiency and safety of </w:t>
      </w:r>
      <w:r w:rsidR="00AE6A43">
        <w:rPr>
          <w:sz w:val="24"/>
          <w:szCs w:val="24"/>
        </w:rPr>
        <w:t>home</w:t>
      </w:r>
      <w:r>
        <w:rPr>
          <w:sz w:val="24"/>
          <w:szCs w:val="24"/>
        </w:rPr>
        <w:t xml:space="preserve"> infusion of blood product.</w:t>
      </w:r>
      <w:r w:rsidR="00E42920">
        <w:rPr>
          <w:sz w:val="24"/>
          <w:szCs w:val="24"/>
        </w:rPr>
        <w:t xml:space="preserve"> Then periodically for continued safety in </w:t>
      </w:r>
      <w:proofErr w:type="gramStart"/>
      <w:r w:rsidR="00E42920">
        <w:rPr>
          <w:sz w:val="24"/>
          <w:szCs w:val="24"/>
        </w:rPr>
        <w:t>the  home</w:t>
      </w:r>
      <w:proofErr w:type="gramEnd"/>
      <w:r w:rsidR="00E42920">
        <w:rPr>
          <w:sz w:val="24"/>
          <w:szCs w:val="24"/>
        </w:rPr>
        <w:t xml:space="preserve">. </w:t>
      </w:r>
    </w:p>
    <w:p w:rsidR="0021136C" w:rsidRDefault="0021136C" w:rsidP="0021136C">
      <w:pPr>
        <w:pStyle w:val="ListParagraph"/>
        <w:rPr>
          <w:sz w:val="24"/>
          <w:szCs w:val="24"/>
        </w:rPr>
      </w:pPr>
    </w:p>
    <w:p w:rsidR="0021136C" w:rsidRPr="004208D0" w:rsidRDefault="0021136C" w:rsidP="0021136C">
      <w:pPr>
        <w:rPr>
          <w:sz w:val="28"/>
          <w:szCs w:val="28"/>
        </w:rPr>
      </w:pPr>
      <w:r w:rsidRPr="004208D0">
        <w:rPr>
          <w:sz w:val="28"/>
          <w:szCs w:val="28"/>
        </w:rPr>
        <w:t>Definitions:</w:t>
      </w:r>
    </w:p>
    <w:p w:rsidR="00D55144" w:rsidRPr="00D55144" w:rsidRDefault="00D55144" w:rsidP="00D551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Immune globulin is given to people who have a Primary Immune </w:t>
      </w:r>
      <w:proofErr w:type="gramStart"/>
      <w:r>
        <w:rPr>
          <w:sz w:val="24"/>
          <w:szCs w:val="24"/>
        </w:rPr>
        <w:t>Deficiency(</w:t>
      </w:r>
      <w:proofErr w:type="gramEnd"/>
      <w:r>
        <w:rPr>
          <w:sz w:val="24"/>
          <w:szCs w:val="24"/>
        </w:rPr>
        <w:t xml:space="preserve"> PID) or Secondary Immune deficiency (SID)</w:t>
      </w:r>
      <w:r w:rsidR="00B50544">
        <w:rPr>
          <w:sz w:val="24"/>
          <w:szCs w:val="24"/>
        </w:rPr>
        <w:t xml:space="preserve">. </w:t>
      </w:r>
      <w:r w:rsidR="00656F31">
        <w:rPr>
          <w:sz w:val="24"/>
          <w:szCs w:val="24"/>
        </w:rPr>
        <w:t>It greatly r</w:t>
      </w:r>
      <w:r w:rsidR="00B50544">
        <w:rPr>
          <w:sz w:val="24"/>
          <w:szCs w:val="24"/>
        </w:rPr>
        <w:t>educes the risk of serious bacterial infections.</w:t>
      </w:r>
    </w:p>
    <w:p w:rsidR="00D55144" w:rsidRPr="00D55144" w:rsidRDefault="00D55144" w:rsidP="00D551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5144">
        <w:rPr>
          <w:sz w:val="24"/>
          <w:szCs w:val="24"/>
        </w:rPr>
        <w:t>For the majority of p</w:t>
      </w:r>
      <w:r w:rsidR="0021136C" w:rsidRPr="00D55144">
        <w:rPr>
          <w:sz w:val="24"/>
          <w:szCs w:val="24"/>
        </w:rPr>
        <w:t xml:space="preserve">atients </w:t>
      </w:r>
      <w:proofErr w:type="spellStart"/>
      <w:r w:rsidR="0021136C" w:rsidRPr="00D55144">
        <w:rPr>
          <w:sz w:val="24"/>
          <w:szCs w:val="24"/>
        </w:rPr>
        <w:t>IVIg</w:t>
      </w:r>
      <w:proofErr w:type="spellEnd"/>
      <w:r w:rsidR="0021136C" w:rsidRPr="00D55144">
        <w:rPr>
          <w:sz w:val="24"/>
          <w:szCs w:val="24"/>
        </w:rPr>
        <w:t xml:space="preserve"> and </w:t>
      </w:r>
      <w:proofErr w:type="spellStart"/>
      <w:r w:rsidR="0021136C" w:rsidRPr="00D55144">
        <w:rPr>
          <w:sz w:val="24"/>
          <w:szCs w:val="24"/>
        </w:rPr>
        <w:t>SCIg</w:t>
      </w:r>
      <w:proofErr w:type="spellEnd"/>
      <w:r w:rsidR="0021136C" w:rsidRPr="00D55144">
        <w:rPr>
          <w:sz w:val="24"/>
          <w:szCs w:val="24"/>
        </w:rPr>
        <w:t xml:space="preserve"> are equally effective, however there are differences </w:t>
      </w:r>
      <w:r w:rsidR="00D333AB" w:rsidRPr="00D55144">
        <w:rPr>
          <w:sz w:val="24"/>
          <w:szCs w:val="24"/>
        </w:rPr>
        <w:t xml:space="preserve">between therapies </w:t>
      </w:r>
      <w:proofErr w:type="spellStart"/>
      <w:r w:rsidR="00D333AB" w:rsidRPr="00D55144">
        <w:rPr>
          <w:sz w:val="24"/>
          <w:szCs w:val="24"/>
        </w:rPr>
        <w:t>IVIg</w:t>
      </w:r>
      <w:proofErr w:type="spellEnd"/>
      <w:r w:rsidR="00D333AB" w:rsidRPr="00D55144">
        <w:rPr>
          <w:sz w:val="24"/>
          <w:szCs w:val="24"/>
        </w:rPr>
        <w:t xml:space="preserve"> is given as a single large infusion </w:t>
      </w:r>
      <w:r>
        <w:rPr>
          <w:sz w:val="24"/>
          <w:szCs w:val="24"/>
        </w:rPr>
        <w:t xml:space="preserve">every </w:t>
      </w:r>
      <w:r w:rsidR="00D333AB" w:rsidRPr="00D55144">
        <w:rPr>
          <w:sz w:val="24"/>
          <w:szCs w:val="24"/>
        </w:rPr>
        <w:t xml:space="preserve">q3-4 </w:t>
      </w:r>
      <w:proofErr w:type="spellStart"/>
      <w:r w:rsidR="00D333AB" w:rsidRPr="00D55144">
        <w:rPr>
          <w:sz w:val="24"/>
          <w:szCs w:val="24"/>
        </w:rPr>
        <w:t>wks</w:t>
      </w:r>
      <w:proofErr w:type="spellEnd"/>
      <w:r w:rsidR="00D333AB" w:rsidRPr="00D55144">
        <w:rPr>
          <w:sz w:val="24"/>
          <w:szCs w:val="24"/>
        </w:rPr>
        <w:t xml:space="preserve"> and </w:t>
      </w:r>
      <w:proofErr w:type="spellStart"/>
      <w:r w:rsidR="00D333AB" w:rsidRPr="00D55144">
        <w:rPr>
          <w:sz w:val="24"/>
          <w:szCs w:val="24"/>
        </w:rPr>
        <w:t>SCIg</w:t>
      </w:r>
      <w:proofErr w:type="spellEnd"/>
      <w:r w:rsidR="00D333AB" w:rsidRPr="00D55144">
        <w:rPr>
          <w:sz w:val="24"/>
          <w:szCs w:val="24"/>
        </w:rPr>
        <w:t xml:space="preserve"> involves smaller doses more often 1-2 infusions a week</w:t>
      </w:r>
      <w:r w:rsidRPr="00D55144">
        <w:rPr>
          <w:sz w:val="24"/>
          <w:szCs w:val="24"/>
        </w:rPr>
        <w:t>.</w:t>
      </w:r>
    </w:p>
    <w:p w:rsidR="00D333AB" w:rsidRDefault="00D55144" w:rsidP="002113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SCI</w:t>
      </w:r>
      <w:r w:rsidR="00D333AB">
        <w:rPr>
          <w:sz w:val="24"/>
          <w:szCs w:val="24"/>
        </w:rPr>
        <w:t>g</w:t>
      </w:r>
      <w:proofErr w:type="spellEnd"/>
      <w:r w:rsidR="00D333AB">
        <w:rPr>
          <w:sz w:val="24"/>
          <w:szCs w:val="24"/>
        </w:rPr>
        <w:t xml:space="preserve"> </w:t>
      </w:r>
      <w:r>
        <w:rPr>
          <w:sz w:val="24"/>
          <w:szCs w:val="24"/>
        </w:rPr>
        <w:t>is self-administered by the patient or deleg</w:t>
      </w:r>
      <w:r w:rsidR="00BA775F">
        <w:rPr>
          <w:sz w:val="24"/>
          <w:szCs w:val="24"/>
        </w:rPr>
        <w:t>ate either by push method or via</w:t>
      </w:r>
      <w:r>
        <w:rPr>
          <w:sz w:val="24"/>
          <w:szCs w:val="24"/>
        </w:rPr>
        <w:t xml:space="preserve"> a pump.</w:t>
      </w:r>
    </w:p>
    <w:p w:rsidR="00BA775F" w:rsidRDefault="00BA775F" w:rsidP="00BA775F">
      <w:pPr>
        <w:rPr>
          <w:sz w:val="24"/>
          <w:szCs w:val="24"/>
        </w:rPr>
      </w:pPr>
      <w:r w:rsidRPr="004208D0">
        <w:rPr>
          <w:sz w:val="28"/>
          <w:szCs w:val="28"/>
        </w:rPr>
        <w:t>Nursing Alerts</w:t>
      </w:r>
      <w:r>
        <w:rPr>
          <w:sz w:val="24"/>
          <w:szCs w:val="24"/>
        </w:rPr>
        <w:t>:</w:t>
      </w:r>
    </w:p>
    <w:p w:rsidR="002D63D0" w:rsidRDefault="002D63D0" w:rsidP="002D63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nursing role in SCIG is primarily that of educator and facilitator.</w:t>
      </w:r>
    </w:p>
    <w:p w:rsidR="002D63D0" w:rsidRDefault="002D63D0" w:rsidP="002D63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Patient and caregivers will need to be taught the skills necessary to administer their infusions in a safe and aseptic manner.</w:t>
      </w:r>
    </w:p>
    <w:p w:rsidR="002D63D0" w:rsidRDefault="002D63D0" w:rsidP="002D63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nurse will demonstrate procedure, then allowing patient to practice the procedure and skill and finally observing a return demonstration by the patient or caregiver to demonstrate proficiency.</w:t>
      </w:r>
    </w:p>
    <w:p w:rsidR="002D63D0" w:rsidRDefault="002D63D0" w:rsidP="002D63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 patient is independent, follow up support are critical in managing issues and problems related to injection of immune globulin.</w:t>
      </w:r>
    </w:p>
    <w:p w:rsidR="00944CED" w:rsidRDefault="00944CED" w:rsidP="002D63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Patient or delegate is re-evaluated in 1 month/ 3 months than 6 months for proficiency and safety of injection technique.</w:t>
      </w:r>
    </w:p>
    <w:p w:rsidR="002D63D0" w:rsidRPr="002D63D0" w:rsidRDefault="002D63D0" w:rsidP="002D63D0">
      <w:pPr>
        <w:pStyle w:val="ListParagraph"/>
        <w:rPr>
          <w:sz w:val="24"/>
          <w:szCs w:val="24"/>
        </w:rPr>
      </w:pPr>
    </w:p>
    <w:p w:rsidR="0021136C" w:rsidRDefault="00754138" w:rsidP="0021136C">
      <w:pPr>
        <w:rPr>
          <w:sz w:val="24"/>
          <w:szCs w:val="24"/>
        </w:rPr>
      </w:pPr>
      <w:r w:rsidRPr="004208D0">
        <w:rPr>
          <w:sz w:val="28"/>
          <w:szCs w:val="28"/>
        </w:rPr>
        <w:t>Teaching topics include</w:t>
      </w:r>
      <w:r>
        <w:rPr>
          <w:sz w:val="24"/>
          <w:szCs w:val="24"/>
        </w:rPr>
        <w:t>:</w:t>
      </w:r>
    </w:p>
    <w:p w:rsidR="00754138" w:rsidRDefault="00754138" w:rsidP="007541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Storage and </w:t>
      </w:r>
      <w:r w:rsidR="004D141B">
        <w:rPr>
          <w:sz w:val="24"/>
          <w:szCs w:val="24"/>
        </w:rPr>
        <w:t xml:space="preserve">safe </w:t>
      </w:r>
      <w:r>
        <w:rPr>
          <w:sz w:val="24"/>
          <w:szCs w:val="24"/>
        </w:rPr>
        <w:t>handling of blood product</w:t>
      </w:r>
    </w:p>
    <w:p w:rsidR="00656F31" w:rsidRDefault="00E74574" w:rsidP="007541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Appropriate</w:t>
      </w:r>
      <w:r w:rsidR="00656F31">
        <w:rPr>
          <w:sz w:val="24"/>
          <w:szCs w:val="24"/>
        </w:rPr>
        <w:t xml:space="preserve"> doc</w:t>
      </w:r>
      <w:r>
        <w:rPr>
          <w:sz w:val="24"/>
          <w:szCs w:val="24"/>
        </w:rPr>
        <w:t>umentation of product infused and wasted on log sheets</w:t>
      </w:r>
    </w:p>
    <w:p w:rsidR="00754138" w:rsidRDefault="00754138" w:rsidP="007541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Traveling with </w:t>
      </w:r>
      <w:r w:rsidR="004D141B">
        <w:rPr>
          <w:sz w:val="24"/>
          <w:szCs w:val="24"/>
        </w:rPr>
        <w:t>medication</w:t>
      </w:r>
    </w:p>
    <w:p w:rsidR="00754138" w:rsidRDefault="00754138" w:rsidP="007541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Appropriate disposal</w:t>
      </w:r>
    </w:p>
    <w:p w:rsidR="004D141B" w:rsidRDefault="004D141B" w:rsidP="0075413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Technique for drawing up, priming and injection of </w:t>
      </w:r>
      <w:r w:rsidR="003C4A46">
        <w:rPr>
          <w:sz w:val="24"/>
          <w:szCs w:val="24"/>
        </w:rPr>
        <w:t xml:space="preserve">product </w:t>
      </w:r>
    </w:p>
    <w:p w:rsidR="004D141B" w:rsidRDefault="004D141B" w:rsidP="004D14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Subcutaneous site selection</w:t>
      </w:r>
    </w:p>
    <w:p w:rsidR="004D141B" w:rsidRDefault="004D141B" w:rsidP="004D14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Setting up pump</w:t>
      </w:r>
    </w:p>
    <w:p w:rsidR="004D141B" w:rsidRDefault="004D141B" w:rsidP="004D14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Trouble shooting infusion problems</w:t>
      </w:r>
    </w:p>
    <w:p w:rsidR="00366B2B" w:rsidRDefault="004D141B" w:rsidP="00366B2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Managing adverse events</w:t>
      </w:r>
    </w:p>
    <w:p w:rsidR="00E42920" w:rsidRPr="00366B2B" w:rsidRDefault="00E42920" w:rsidP="00366B2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Importance of reporting adverse events </w:t>
      </w:r>
    </w:p>
    <w:p w:rsidR="004208D0" w:rsidRPr="004208D0" w:rsidRDefault="004208D0" w:rsidP="004208D0">
      <w:pPr>
        <w:rPr>
          <w:sz w:val="28"/>
          <w:szCs w:val="28"/>
        </w:rPr>
      </w:pPr>
      <w:r w:rsidRPr="004208D0">
        <w:rPr>
          <w:sz w:val="28"/>
          <w:szCs w:val="28"/>
        </w:rPr>
        <w:t>Equipment</w:t>
      </w:r>
      <w:r w:rsidR="00E7457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25"/>
        <w:tblOverlap w:val="never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5143"/>
      </w:tblGrid>
      <w:tr w:rsidR="00A32AF9" w:rsidRPr="00A32AF9" w:rsidTr="00A32AF9">
        <w:trPr>
          <w:trHeight w:val="89"/>
        </w:trPr>
        <w:tc>
          <w:tcPr>
            <w:tcW w:w="10561" w:type="dxa"/>
            <w:gridSpan w:val="2"/>
            <w:vAlign w:val="center"/>
          </w:tcPr>
          <w:p w:rsidR="00A32AF9" w:rsidRPr="00A32AF9" w:rsidRDefault="00A32AF9" w:rsidP="00A32AF9">
            <w:pPr>
              <w:tabs>
                <w:tab w:val="center" w:pos="5130"/>
                <w:tab w:val="left" w:pos="82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AF9">
              <w:rPr>
                <w:rFonts w:ascii="Arial" w:hAnsi="Arial" w:cs="Arial"/>
                <w:b/>
                <w:sz w:val="24"/>
                <w:szCs w:val="24"/>
              </w:rPr>
              <w:t>PUSH and Pump supplies</w:t>
            </w:r>
          </w:p>
        </w:tc>
      </w:tr>
      <w:tr w:rsidR="00A32AF9" w:rsidRPr="00A32AF9" w:rsidTr="00A32AF9">
        <w:trPr>
          <w:trHeight w:val="264"/>
        </w:trPr>
        <w:tc>
          <w:tcPr>
            <w:tcW w:w="5418" w:type="dxa"/>
            <w:shd w:val="clear" w:color="auto" w:fill="943634"/>
            <w:vAlign w:val="bottom"/>
          </w:tcPr>
          <w:p w:rsidR="00A32AF9" w:rsidRPr="00A32AF9" w:rsidRDefault="00A32AF9" w:rsidP="00A32A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Push</w:t>
            </w:r>
          </w:p>
        </w:tc>
        <w:tc>
          <w:tcPr>
            <w:tcW w:w="5143" w:type="dxa"/>
            <w:shd w:val="clear" w:color="auto" w:fill="943634"/>
            <w:noWrap/>
            <w:vAlign w:val="bottom"/>
          </w:tcPr>
          <w:p w:rsidR="00A32AF9" w:rsidRPr="00A32AF9" w:rsidRDefault="00A32AF9" w:rsidP="00A32A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Pump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cc syringe   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AF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Freedom 60 pump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7D01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20cc syringe  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Regulator 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2A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 cc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syringe 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ml Syringe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2A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x 1 ½” 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18g needle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2A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23g x ¾”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Butterfly </w:t>
            </w:r>
            <w:r w:rsidR="00AE6A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infusion set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EMED Bi, tri, quad furcated injection tubing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25g x ¾” Butterfly </w:t>
            </w:r>
            <w:r w:rsidRPr="00A32A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E6A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infusion set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Gauze, alcohol swabs</w:t>
            </w:r>
          </w:p>
        </w:tc>
      </w:tr>
      <w:tr w:rsidR="00A32AF9" w:rsidRPr="00A32AF9" w:rsidTr="00A32AF9">
        <w:trPr>
          <w:trHeight w:val="286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25g x ½” Butterfly  </w:t>
            </w:r>
            <w:r w:rsidR="00AE6A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infusion set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2AF9" w:rsidRPr="00A32AF9" w:rsidTr="00A32AF9">
        <w:trPr>
          <w:trHeight w:val="452"/>
        </w:trPr>
        <w:tc>
          <w:tcPr>
            <w:tcW w:w="5418" w:type="dxa"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Gauze,  alcohol swabs </w:t>
            </w:r>
          </w:p>
        </w:tc>
        <w:tc>
          <w:tcPr>
            <w:tcW w:w="5143" w:type="dxa"/>
            <w:noWrap/>
            <w:vAlign w:val="bottom"/>
          </w:tcPr>
          <w:p w:rsidR="00A32AF9" w:rsidRPr="00A32AF9" w:rsidRDefault="00A32AF9" w:rsidP="00A32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44CED" w:rsidRDefault="00944CED" w:rsidP="007D01C4">
      <w:pPr>
        <w:rPr>
          <w:sz w:val="24"/>
          <w:szCs w:val="24"/>
        </w:rPr>
      </w:pPr>
    </w:p>
    <w:p w:rsidR="00944CED" w:rsidRPr="004208D0" w:rsidRDefault="00944CED" w:rsidP="007D01C4">
      <w:pPr>
        <w:rPr>
          <w:sz w:val="28"/>
          <w:szCs w:val="28"/>
        </w:rPr>
      </w:pPr>
      <w:r w:rsidRPr="004208D0">
        <w:rPr>
          <w:sz w:val="28"/>
          <w:szCs w:val="28"/>
        </w:rPr>
        <w:t xml:space="preserve">Procedure:      </w:t>
      </w:r>
    </w:p>
    <w:p w:rsidR="00944CED" w:rsidRPr="004208D0" w:rsidRDefault="007F7963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>Wash hands before handling any supplies</w:t>
      </w:r>
    </w:p>
    <w:p w:rsidR="007F7963" w:rsidRPr="004208D0" w:rsidRDefault="007F7963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>Load syringe with Immune Globulin</w:t>
      </w:r>
    </w:p>
    <w:p w:rsidR="007F7963" w:rsidRPr="004208D0" w:rsidRDefault="007F7963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lastRenderedPageBreak/>
        <w:t xml:space="preserve">Connect </w:t>
      </w:r>
      <w:r w:rsidR="00470282" w:rsidRPr="004208D0">
        <w:rPr>
          <w:sz w:val="24"/>
          <w:szCs w:val="24"/>
        </w:rPr>
        <w:t>infusion set to the syringe and prime the tubing</w:t>
      </w:r>
      <w:r w:rsidR="00470282" w:rsidRPr="004208D0">
        <w:rPr>
          <w:sz w:val="24"/>
          <w:szCs w:val="24"/>
        </w:rPr>
        <w:tab/>
      </w:r>
      <w:r w:rsidR="00470282" w:rsidRPr="004208D0">
        <w:rPr>
          <w:sz w:val="24"/>
          <w:szCs w:val="24"/>
        </w:rPr>
        <w:tab/>
      </w:r>
    </w:p>
    <w:p w:rsidR="00470282" w:rsidRPr="004208D0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>Select the site of subcutaneous infusion at least 1” apart from the previous site.</w:t>
      </w:r>
    </w:p>
    <w:p w:rsidR="00470282" w:rsidRPr="004208D0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 xml:space="preserve">Clean injection site with alcohol </w:t>
      </w:r>
    </w:p>
    <w:p w:rsidR="00470282" w:rsidRPr="004208D0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 xml:space="preserve">Grasp subcutaneous tissue. Insert needle 60 to 90 degree and place </w:t>
      </w:r>
      <w:proofErr w:type="spellStart"/>
      <w:r w:rsidRPr="004208D0">
        <w:rPr>
          <w:sz w:val="24"/>
          <w:szCs w:val="24"/>
        </w:rPr>
        <w:t>drsg</w:t>
      </w:r>
      <w:proofErr w:type="spellEnd"/>
      <w:r w:rsidRPr="004208D0">
        <w:rPr>
          <w:sz w:val="24"/>
          <w:szCs w:val="24"/>
        </w:rPr>
        <w:t xml:space="preserve"> to secure in place.</w:t>
      </w:r>
    </w:p>
    <w:p w:rsidR="00470282" w:rsidRPr="004208D0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>Make sure you are not injecting in a blood vessel, pull back on plunger.</w:t>
      </w:r>
    </w:p>
    <w:p w:rsidR="00470282" w:rsidRPr="004208D0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>If using a pump, load as per instruction provided.</w:t>
      </w:r>
    </w:p>
    <w:p w:rsidR="00470282" w:rsidRDefault="00470282" w:rsidP="004208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08D0">
        <w:rPr>
          <w:sz w:val="24"/>
          <w:szCs w:val="24"/>
        </w:rPr>
        <w:t xml:space="preserve">Once finished remove and dispose in appropriate waste container. </w:t>
      </w:r>
    </w:p>
    <w:p w:rsidR="00656F31" w:rsidRDefault="00656F31" w:rsidP="00656F31">
      <w:pPr>
        <w:pStyle w:val="ListParagraph"/>
        <w:rPr>
          <w:sz w:val="24"/>
          <w:szCs w:val="24"/>
        </w:rPr>
      </w:pPr>
    </w:p>
    <w:p w:rsidR="003C4A46" w:rsidRDefault="003C4A46" w:rsidP="00656F31">
      <w:pPr>
        <w:pStyle w:val="ListParagraph"/>
        <w:rPr>
          <w:sz w:val="24"/>
          <w:szCs w:val="24"/>
        </w:rPr>
      </w:pPr>
    </w:p>
    <w:p w:rsidR="003C4A46" w:rsidRDefault="003C4A46" w:rsidP="006D0C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Patient is then monitored post dose for one hour and made aware of potential adverse events and appropriate actions needed to alleviate reactions. </w:t>
      </w:r>
      <w:r w:rsidR="006D0CC2">
        <w:rPr>
          <w:sz w:val="24"/>
          <w:szCs w:val="24"/>
        </w:rPr>
        <w:t xml:space="preserve">Patient is aware to report to </w:t>
      </w:r>
      <w:proofErr w:type="spellStart"/>
      <w:r w:rsidR="006D0CC2">
        <w:rPr>
          <w:sz w:val="24"/>
          <w:szCs w:val="24"/>
        </w:rPr>
        <w:t>SCIg</w:t>
      </w:r>
      <w:proofErr w:type="spellEnd"/>
      <w:r w:rsidR="006D0CC2">
        <w:rPr>
          <w:sz w:val="24"/>
          <w:szCs w:val="24"/>
        </w:rPr>
        <w:t xml:space="preserve"> program nurse if</w:t>
      </w:r>
      <w:r w:rsidR="00256503">
        <w:rPr>
          <w:sz w:val="24"/>
          <w:szCs w:val="24"/>
        </w:rPr>
        <w:t xml:space="preserve"> any issues or concerns arise in the</w:t>
      </w:r>
      <w:r w:rsidR="006D0CC2">
        <w:rPr>
          <w:sz w:val="24"/>
          <w:szCs w:val="24"/>
        </w:rPr>
        <w:t xml:space="preserve"> home.</w:t>
      </w:r>
      <w:r w:rsidR="00256503">
        <w:rPr>
          <w:sz w:val="24"/>
          <w:szCs w:val="24"/>
        </w:rPr>
        <w:t xml:space="preserve"> </w:t>
      </w:r>
    </w:p>
    <w:p w:rsidR="006D0CC2" w:rsidRDefault="006D0CC2" w:rsidP="006D0CC2">
      <w:pPr>
        <w:pStyle w:val="ListParagraph"/>
        <w:jc w:val="both"/>
        <w:rPr>
          <w:sz w:val="24"/>
          <w:szCs w:val="24"/>
        </w:rPr>
      </w:pPr>
    </w:p>
    <w:p w:rsidR="006D0CC2" w:rsidRDefault="006D0CC2" w:rsidP="006D0C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Author:</w:t>
      </w:r>
    </w:p>
    <w:p w:rsidR="006D0CC2" w:rsidRDefault="006D0CC2" w:rsidP="006D0C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Lynda </w:t>
      </w:r>
      <w:proofErr w:type="spellStart"/>
      <w:r>
        <w:rPr>
          <w:sz w:val="24"/>
          <w:szCs w:val="24"/>
        </w:rPr>
        <w:t>Theoret</w:t>
      </w:r>
      <w:proofErr w:type="spellEnd"/>
      <w:r>
        <w:rPr>
          <w:sz w:val="24"/>
          <w:szCs w:val="24"/>
        </w:rPr>
        <w:t xml:space="preserve"> RN </w:t>
      </w:r>
      <w:proofErr w:type="spellStart"/>
      <w:r>
        <w:rPr>
          <w:sz w:val="24"/>
          <w:szCs w:val="24"/>
        </w:rPr>
        <w:t>BScN</w:t>
      </w:r>
      <w:proofErr w:type="spellEnd"/>
      <w:r>
        <w:rPr>
          <w:sz w:val="24"/>
          <w:szCs w:val="24"/>
        </w:rPr>
        <w:t xml:space="preserve"> </w:t>
      </w:r>
    </w:p>
    <w:p w:rsidR="006D0CC2" w:rsidRDefault="006D0CC2" w:rsidP="006D0CC2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SCIg</w:t>
      </w:r>
      <w:proofErr w:type="spellEnd"/>
      <w:r>
        <w:rPr>
          <w:sz w:val="24"/>
          <w:szCs w:val="24"/>
        </w:rPr>
        <w:t xml:space="preserve"> Program Nurse Coordinator/ Educator</w:t>
      </w:r>
    </w:p>
    <w:p w:rsidR="00656F31" w:rsidRDefault="00656F31" w:rsidP="00656F31">
      <w:pPr>
        <w:pStyle w:val="ListParagraph"/>
        <w:rPr>
          <w:sz w:val="24"/>
          <w:szCs w:val="24"/>
        </w:rPr>
      </w:pPr>
    </w:p>
    <w:p w:rsidR="00656F31" w:rsidRPr="004208D0" w:rsidRDefault="00656F31" w:rsidP="00656F31">
      <w:pPr>
        <w:pStyle w:val="ListParagraph"/>
        <w:rPr>
          <w:sz w:val="24"/>
          <w:szCs w:val="24"/>
        </w:rPr>
      </w:pPr>
    </w:p>
    <w:p w:rsidR="00944CED" w:rsidRDefault="00944CED" w:rsidP="007D01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44CED" w:rsidRDefault="00944CED" w:rsidP="007D01C4">
      <w:pPr>
        <w:rPr>
          <w:sz w:val="24"/>
          <w:szCs w:val="24"/>
        </w:rPr>
      </w:pPr>
    </w:p>
    <w:p w:rsidR="00B50544" w:rsidRPr="007D01C4" w:rsidRDefault="00B50544" w:rsidP="007D01C4">
      <w:pPr>
        <w:rPr>
          <w:sz w:val="24"/>
          <w:szCs w:val="24"/>
        </w:rPr>
      </w:pPr>
      <w:r w:rsidRPr="007D01C4">
        <w:rPr>
          <w:sz w:val="24"/>
          <w:szCs w:val="24"/>
        </w:rPr>
        <w:t xml:space="preserve">        </w:t>
      </w:r>
      <w:r w:rsidR="007D01C4">
        <w:rPr>
          <w:sz w:val="24"/>
          <w:szCs w:val="24"/>
        </w:rPr>
        <w:t xml:space="preserve"> </w:t>
      </w:r>
      <w:r w:rsidRPr="007D01C4">
        <w:rPr>
          <w:sz w:val="24"/>
          <w:szCs w:val="24"/>
        </w:rPr>
        <w:t xml:space="preserve">                          </w:t>
      </w:r>
    </w:p>
    <w:p w:rsidR="00313C02" w:rsidRPr="00313C02" w:rsidRDefault="00313C02" w:rsidP="00313C02">
      <w:pPr>
        <w:rPr>
          <w:sz w:val="24"/>
          <w:szCs w:val="24"/>
        </w:rPr>
      </w:pPr>
    </w:p>
    <w:p w:rsidR="00B50544" w:rsidRPr="00313C02" w:rsidRDefault="00313C02" w:rsidP="00313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0544" w:rsidRPr="00313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F" w:rsidRDefault="00563C4F" w:rsidP="003E495C">
      <w:pPr>
        <w:spacing w:after="0" w:line="240" w:lineRule="auto"/>
      </w:pPr>
      <w:r>
        <w:separator/>
      </w:r>
    </w:p>
  </w:endnote>
  <w:endnote w:type="continuationSeparator" w:id="0">
    <w:p w:rsidR="00563C4F" w:rsidRDefault="00563C4F" w:rsidP="003E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Sept 16 2014 SCIG Home Infusion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17310" w:rsidRPr="001173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E495C" w:rsidRDefault="003E4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F" w:rsidRDefault="00563C4F" w:rsidP="003E495C">
      <w:pPr>
        <w:spacing w:after="0" w:line="240" w:lineRule="auto"/>
      </w:pPr>
      <w:r>
        <w:separator/>
      </w:r>
    </w:p>
  </w:footnote>
  <w:footnote w:type="continuationSeparator" w:id="0">
    <w:p w:rsidR="00563C4F" w:rsidRDefault="00563C4F" w:rsidP="003E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5C" w:rsidRDefault="003E4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27D"/>
    <w:multiLevelType w:val="hybridMultilevel"/>
    <w:tmpl w:val="ED6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C11"/>
    <w:multiLevelType w:val="hybridMultilevel"/>
    <w:tmpl w:val="DE46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D0C"/>
    <w:multiLevelType w:val="hybridMultilevel"/>
    <w:tmpl w:val="498A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1E94"/>
    <w:multiLevelType w:val="hybridMultilevel"/>
    <w:tmpl w:val="BA481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84602"/>
    <w:multiLevelType w:val="hybridMultilevel"/>
    <w:tmpl w:val="E83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4A6"/>
    <w:multiLevelType w:val="hybridMultilevel"/>
    <w:tmpl w:val="D0CE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7CB9"/>
    <w:multiLevelType w:val="hybridMultilevel"/>
    <w:tmpl w:val="2A00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987"/>
    <w:multiLevelType w:val="hybridMultilevel"/>
    <w:tmpl w:val="E05A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B59CB"/>
    <w:multiLevelType w:val="hybridMultilevel"/>
    <w:tmpl w:val="CE5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349E5"/>
    <w:multiLevelType w:val="hybridMultilevel"/>
    <w:tmpl w:val="8942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05412"/>
    <w:multiLevelType w:val="hybridMultilevel"/>
    <w:tmpl w:val="1A14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5B7C"/>
    <w:multiLevelType w:val="hybridMultilevel"/>
    <w:tmpl w:val="F65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0BDF"/>
    <w:multiLevelType w:val="hybridMultilevel"/>
    <w:tmpl w:val="57DE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C"/>
    <w:rsid w:val="00002626"/>
    <w:rsid w:val="00117310"/>
    <w:rsid w:val="001512D2"/>
    <w:rsid w:val="001C4EC1"/>
    <w:rsid w:val="0021136C"/>
    <w:rsid w:val="00256503"/>
    <w:rsid w:val="002D63D0"/>
    <w:rsid w:val="00313C02"/>
    <w:rsid w:val="00361DF3"/>
    <w:rsid w:val="00366B2B"/>
    <w:rsid w:val="003C4A46"/>
    <w:rsid w:val="003E495C"/>
    <w:rsid w:val="004208D0"/>
    <w:rsid w:val="00470282"/>
    <w:rsid w:val="004D141B"/>
    <w:rsid w:val="00563C4F"/>
    <w:rsid w:val="00656F31"/>
    <w:rsid w:val="006D0CC2"/>
    <w:rsid w:val="00754138"/>
    <w:rsid w:val="0078455D"/>
    <w:rsid w:val="007D01C4"/>
    <w:rsid w:val="007F7963"/>
    <w:rsid w:val="0081259A"/>
    <w:rsid w:val="00884DD8"/>
    <w:rsid w:val="00944CED"/>
    <w:rsid w:val="00954581"/>
    <w:rsid w:val="009950B9"/>
    <w:rsid w:val="00A32AF9"/>
    <w:rsid w:val="00AE6A43"/>
    <w:rsid w:val="00B50544"/>
    <w:rsid w:val="00B94639"/>
    <w:rsid w:val="00BA775F"/>
    <w:rsid w:val="00BC1316"/>
    <w:rsid w:val="00BD6C6A"/>
    <w:rsid w:val="00D333AB"/>
    <w:rsid w:val="00D55144"/>
    <w:rsid w:val="00D64A05"/>
    <w:rsid w:val="00DB621B"/>
    <w:rsid w:val="00E42920"/>
    <w:rsid w:val="00E651E4"/>
    <w:rsid w:val="00E70492"/>
    <w:rsid w:val="00E74574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5C"/>
  </w:style>
  <w:style w:type="paragraph" w:styleId="Footer">
    <w:name w:val="footer"/>
    <w:basedOn w:val="Normal"/>
    <w:link w:val="FooterChar"/>
    <w:uiPriority w:val="99"/>
    <w:unhideWhenUsed/>
    <w:rsid w:val="003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5C"/>
  </w:style>
  <w:style w:type="paragraph" w:styleId="Footer">
    <w:name w:val="footer"/>
    <w:basedOn w:val="Normal"/>
    <w:link w:val="FooterChar"/>
    <w:uiPriority w:val="99"/>
    <w:unhideWhenUsed/>
    <w:rsid w:val="003E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7BBB-6D4E-4A4F-BCAB-A9EE4B21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Theoret, Lynda</dc:creator>
  <cp:lastModifiedBy>Nesrallah, Heather</cp:lastModifiedBy>
  <cp:revision>2</cp:revision>
  <dcterms:created xsi:type="dcterms:W3CDTF">2015-02-23T15:37:00Z</dcterms:created>
  <dcterms:modified xsi:type="dcterms:W3CDTF">2015-02-23T15:37:00Z</dcterms:modified>
</cp:coreProperties>
</file>