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706"/>
        <w:gridCol w:w="445"/>
        <w:gridCol w:w="6300"/>
      </w:tblGrid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 w:rsidP="00374553">
            <w:pPr>
              <w:pStyle w:val="Heading1"/>
            </w:pPr>
            <w:bookmarkStart w:id="0" w:name="_GoBack"/>
            <w:bookmarkEnd w:id="0"/>
            <w:r w:rsidRPr="00000AB6">
              <w:t>Principe</w:t>
            </w: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A4551B">
            <w:p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 xml:space="preserve">Pour dresser une liste des </w:t>
            </w:r>
            <w:r w:rsidR="00E95016" w:rsidRPr="00000AB6">
              <w:rPr>
                <w:rFonts w:ascii="Arial" w:hAnsi="Arial"/>
                <w:color w:val="000000"/>
                <w:lang w:val="fr-CA"/>
              </w:rPr>
              <w:t xml:space="preserve">situations, </w:t>
            </w:r>
            <w:r w:rsidRPr="00000AB6">
              <w:rPr>
                <w:rFonts w:ascii="Arial" w:hAnsi="Arial"/>
                <w:color w:val="000000"/>
                <w:lang w:val="fr-CA"/>
              </w:rPr>
              <w:t>demandes et procédures qui exigent l</w:t>
            </w:r>
            <w:r w:rsidR="00315FF2" w:rsidRPr="00000AB6">
              <w:rPr>
                <w:rFonts w:ascii="Arial" w:hAnsi="Arial"/>
                <w:color w:val="000000"/>
                <w:lang w:val="fr-CA"/>
              </w:rPr>
              <w:t>a consultation ou la prise de déc</w:t>
            </w:r>
            <w:r w:rsidRPr="00000AB6">
              <w:rPr>
                <w:rFonts w:ascii="Arial" w:hAnsi="Arial"/>
                <w:color w:val="000000"/>
                <w:lang w:val="fr-CA"/>
              </w:rPr>
              <w:t xml:space="preserve">ision du médecin qualifié qui est en charge du </w:t>
            </w:r>
            <w:r w:rsidR="008726A4">
              <w:rPr>
                <w:rFonts w:ascii="Arial" w:hAnsi="Arial"/>
                <w:color w:val="000000"/>
                <w:lang w:val="fr-CA"/>
              </w:rPr>
              <w:t xml:space="preserve">laboratoire de médecine </w:t>
            </w:r>
            <w:r w:rsidRPr="00000AB6">
              <w:rPr>
                <w:rFonts w:ascii="Arial" w:hAnsi="Arial"/>
                <w:color w:val="000000"/>
                <w:lang w:val="fr-CA"/>
              </w:rPr>
              <w:t>transfusionnel</w:t>
            </w:r>
            <w:r w:rsidR="008726A4">
              <w:rPr>
                <w:rFonts w:ascii="Arial" w:hAnsi="Arial"/>
                <w:color w:val="000000"/>
                <w:lang w:val="fr-CA"/>
              </w:rPr>
              <w:t>le (LMT)</w:t>
            </w:r>
            <w:r w:rsidRPr="00000AB6">
              <w:rPr>
                <w:rFonts w:ascii="Arial" w:hAnsi="Arial"/>
                <w:color w:val="000000"/>
                <w:lang w:val="fr-CA"/>
              </w:rPr>
              <w:t xml:space="preserve"> de l’établissement. </w:t>
            </w:r>
          </w:p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  <w:p w:rsidR="00E95016" w:rsidRPr="00000AB6" w:rsidRDefault="00315FF2">
            <w:p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 xml:space="preserve">La reconnaissance des domaines qui exigent l’intervention d’un médecin devrait faire partie intégrante du mécanisme de consultation et de formation </w:t>
            </w:r>
            <w:r w:rsidR="008C2EF5">
              <w:rPr>
                <w:rFonts w:ascii="Arial" w:hAnsi="Arial"/>
                <w:color w:val="000000"/>
                <w:lang w:val="fr-CA"/>
              </w:rPr>
              <w:t>en médecine transfusionnelle.</w:t>
            </w:r>
            <w:r w:rsidRPr="00000AB6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B45601" w:rsidP="00374553">
            <w:pPr>
              <w:pStyle w:val="Heading1"/>
            </w:pPr>
            <w:r w:rsidRPr="00000AB6">
              <w:t>Portée et politiques connexes</w:t>
            </w: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>2.1</w:t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CD1655" w:rsidP="00CD1655">
            <w:p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 xml:space="preserve">Toutes les politiques et procédures du </w:t>
            </w:r>
            <w:r w:rsidR="004A1433">
              <w:rPr>
                <w:rFonts w:ascii="Arial" w:hAnsi="Arial"/>
                <w:color w:val="000000"/>
                <w:lang w:val="fr-CA"/>
              </w:rPr>
              <w:t>LMT</w:t>
            </w:r>
            <w:r w:rsidRPr="00000AB6">
              <w:rPr>
                <w:rFonts w:ascii="Arial" w:hAnsi="Arial"/>
                <w:color w:val="000000"/>
                <w:lang w:val="fr-CA"/>
              </w:rPr>
              <w:t xml:space="preserve"> seront établies </w:t>
            </w:r>
            <w:r w:rsidR="008C2EF5">
              <w:rPr>
                <w:rFonts w:ascii="Arial" w:hAnsi="Arial"/>
                <w:color w:val="000000"/>
                <w:lang w:val="fr-CA"/>
              </w:rPr>
              <w:t>sous la direction d’</w:t>
            </w:r>
            <w:r w:rsidRPr="00000AB6">
              <w:rPr>
                <w:rFonts w:ascii="Arial" w:hAnsi="Arial"/>
                <w:color w:val="000000"/>
                <w:lang w:val="fr-CA"/>
              </w:rPr>
              <w:t xml:space="preserve">un médecin autorisé </w:t>
            </w:r>
            <w:r w:rsidR="00881FE9">
              <w:rPr>
                <w:rFonts w:ascii="Arial" w:hAnsi="Arial"/>
                <w:color w:val="000000"/>
                <w:lang w:val="fr-CA"/>
              </w:rPr>
              <w:t>qui aura</w:t>
            </w:r>
            <w:r w:rsidRPr="00000AB6">
              <w:rPr>
                <w:rFonts w:ascii="Arial" w:hAnsi="Arial"/>
                <w:color w:val="000000"/>
                <w:lang w:val="fr-CA"/>
              </w:rPr>
              <w:t xml:space="preserve"> une formation et de l'expérience </w:t>
            </w:r>
            <w:r w:rsidR="008C2EF5">
              <w:rPr>
                <w:rFonts w:ascii="Arial" w:hAnsi="Arial"/>
                <w:color w:val="000000"/>
                <w:lang w:val="fr-CA"/>
              </w:rPr>
              <w:t>en</w:t>
            </w:r>
            <w:r w:rsidRPr="00000AB6">
              <w:rPr>
                <w:rFonts w:ascii="Arial" w:hAnsi="Arial"/>
                <w:color w:val="000000"/>
                <w:lang w:val="fr-CA"/>
              </w:rPr>
              <w:t xml:space="preserve"> médecine transfusionnelle</w:t>
            </w:r>
            <w:r w:rsidRPr="00000AB6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Pr="00000AB6">
              <w:rPr>
                <w:rFonts w:ascii="Arial" w:hAnsi="Arial"/>
                <w:color w:val="000000"/>
                <w:lang w:val="fr-CA"/>
              </w:rPr>
              <w:t>.</w:t>
            </w:r>
          </w:p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>2.2</w:t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881FE9" w:rsidP="00CD1655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Le directeur médical ou son représentant supervisera l’élaboration et l’approbation de toute politique ou procédure, technique ou clinique, qui a un lien avec les soins et la sécurité du patient </w:t>
            </w:r>
            <w:r w:rsidR="008C2EF5">
              <w:rPr>
                <w:rFonts w:ascii="Arial" w:hAnsi="Arial"/>
                <w:color w:val="000000"/>
                <w:lang w:val="fr-CA"/>
              </w:rPr>
              <w:t>t</w:t>
            </w:r>
            <w:r>
              <w:rPr>
                <w:rFonts w:ascii="Arial" w:hAnsi="Arial"/>
                <w:color w:val="000000"/>
                <w:lang w:val="fr-CA"/>
              </w:rPr>
              <w:t>ransfus</w:t>
            </w:r>
            <w:r w:rsidR="008C2EF5">
              <w:rPr>
                <w:rFonts w:ascii="Arial" w:hAnsi="Arial"/>
                <w:color w:val="000000"/>
                <w:lang w:val="fr-CA"/>
              </w:rPr>
              <w:t>é</w:t>
            </w:r>
            <w:r w:rsidR="00CD1655" w:rsidRPr="00000AB6">
              <w:rPr>
                <w:rFonts w:ascii="Arial" w:hAnsi="Arial"/>
                <w:color w:val="000000"/>
                <w:vertAlign w:val="superscript"/>
                <w:lang w:val="fr-CA"/>
              </w:rPr>
              <w:t>9.</w:t>
            </w:r>
            <w:r>
              <w:rPr>
                <w:rFonts w:ascii="Arial" w:hAnsi="Arial"/>
                <w:color w:val="000000"/>
                <w:vertAlign w:val="superscript"/>
                <w:lang w:val="fr-CA"/>
              </w:rPr>
              <w:t>2</w:t>
            </w:r>
            <w:r w:rsidR="00CD1655" w:rsidRPr="00000AB6">
              <w:rPr>
                <w:rFonts w:ascii="Arial" w:hAnsi="Arial"/>
                <w:color w:val="000000"/>
                <w:lang w:val="fr-CA"/>
              </w:rPr>
              <w:t>.</w:t>
            </w:r>
          </w:p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>2.3</w:t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CD1655" w:rsidP="00957BE1">
            <w:p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 xml:space="preserve">L'éventail des procédures ou des services offerts dans l'établissement dictera les situations exigeant la consultation du directeur médical ou de </w:t>
            </w:r>
            <w:r w:rsidR="008C2EF5">
              <w:rPr>
                <w:rFonts w:ascii="Arial" w:hAnsi="Arial"/>
                <w:color w:val="000000"/>
                <w:lang w:val="fr-CA"/>
              </w:rPr>
              <w:t>son représentant</w:t>
            </w:r>
            <w:r w:rsidRPr="00000AB6">
              <w:rPr>
                <w:rFonts w:ascii="Arial" w:hAnsi="Arial"/>
                <w:color w:val="000000"/>
                <w:lang w:val="fr-CA"/>
              </w:rPr>
              <w:t>.</w:t>
            </w:r>
            <w:r w:rsidR="0037455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957BE1" w:rsidRPr="00000AB6">
              <w:rPr>
                <w:rFonts w:ascii="Arial" w:hAnsi="Arial"/>
                <w:color w:val="000000"/>
                <w:lang w:val="fr-CA"/>
              </w:rPr>
              <w:t>Ce protocole n'est qu'une ligne directrice et un outil d'uniformisation; il ne s'agit pas d'une tentative d'établir une norme.</w:t>
            </w:r>
            <w:r w:rsidR="0037455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000AB6">
              <w:rPr>
                <w:rFonts w:ascii="Arial" w:hAnsi="Arial"/>
                <w:color w:val="000000"/>
                <w:lang w:val="fr-CA"/>
              </w:rPr>
              <w:t>D’autres circonstances peuvent s’y ajouter</w:t>
            </w:r>
            <w:r w:rsidR="00E95016" w:rsidRPr="00000AB6">
              <w:rPr>
                <w:rFonts w:ascii="Arial" w:hAnsi="Arial"/>
                <w:color w:val="000000"/>
                <w:lang w:val="fr-CA"/>
              </w:rPr>
              <w:t xml:space="preserve">. </w:t>
            </w:r>
          </w:p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>2.4</w:t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957BE1" w:rsidP="00957BE1">
            <w:p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>Diverses situations de pratique de la médecine transfusionnelle exigent une prise de décision découlant d'une collaboration entre le médecin et le laboratoire.</w:t>
            </w:r>
            <w:r w:rsidR="00E95016" w:rsidRPr="00000AB6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000AB6">
              <w:rPr>
                <w:rFonts w:ascii="Arial" w:hAnsi="Arial"/>
                <w:color w:val="000000"/>
                <w:lang w:val="fr-CA"/>
              </w:rPr>
              <w:t>Dans de telles circonstances, un médecin en charge du laboratoire pourrait fournir des conseils et doit être consulté ou avisé.</w:t>
            </w:r>
          </w:p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>2.5</w:t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016" w:rsidRPr="00000AB6" w:rsidRDefault="00957BE1" w:rsidP="00957BE1">
            <w:p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 xml:space="preserve">S'il est impossible de communiquer avec le directeur médical ou </w:t>
            </w:r>
            <w:r w:rsidR="00881FE9">
              <w:rPr>
                <w:rFonts w:ascii="Arial" w:hAnsi="Arial"/>
                <w:color w:val="000000"/>
                <w:lang w:val="fr-CA"/>
              </w:rPr>
              <w:t>son représentant</w:t>
            </w:r>
            <w:r w:rsidRPr="00000AB6">
              <w:rPr>
                <w:rFonts w:ascii="Arial" w:hAnsi="Arial"/>
                <w:color w:val="000000"/>
                <w:lang w:val="fr-CA"/>
              </w:rPr>
              <w:t xml:space="preserve"> et que la transfusion est requise d'urgence, les produits doivent être préparés et mis en circulation </w:t>
            </w:r>
            <w:r w:rsidR="004A1433">
              <w:rPr>
                <w:rFonts w:ascii="Arial" w:hAnsi="Arial"/>
                <w:color w:val="000000"/>
                <w:lang w:val="fr-CA"/>
              </w:rPr>
              <w:t>conformément aux demandes</w:t>
            </w:r>
            <w:r w:rsidRPr="00000AB6">
              <w:rPr>
                <w:rFonts w:ascii="Arial" w:hAnsi="Arial"/>
                <w:color w:val="000000"/>
                <w:lang w:val="fr-CA"/>
              </w:rPr>
              <w:t>.</w:t>
            </w:r>
            <w:r w:rsidR="0037455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000AB6">
              <w:rPr>
                <w:rFonts w:ascii="Arial" w:hAnsi="Arial"/>
                <w:color w:val="000000"/>
                <w:lang w:val="fr-CA"/>
              </w:rPr>
              <w:t>Il faut consulter le directeur médical ou son représentant dès que possible.</w:t>
            </w:r>
            <w:r w:rsidR="0037455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000AB6">
              <w:rPr>
                <w:rFonts w:ascii="Arial" w:hAnsi="Arial"/>
                <w:color w:val="000000"/>
                <w:lang w:val="fr-CA"/>
              </w:rPr>
              <w:t>S'il est impossible de trouver du sang compatible, il faut communiquer sans délai avec le médecin du patient.</w:t>
            </w:r>
          </w:p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374553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>2.6</w:t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016" w:rsidRPr="00374553" w:rsidRDefault="00957BE1" w:rsidP="00957BE1">
            <w:p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 xml:space="preserve">Le directeur </w:t>
            </w:r>
            <w:r w:rsidR="008726A4">
              <w:rPr>
                <w:rFonts w:ascii="Arial" w:hAnsi="Arial"/>
                <w:color w:val="000000"/>
                <w:lang w:val="fr-CA"/>
              </w:rPr>
              <w:t xml:space="preserve">médical </w:t>
            </w:r>
            <w:r w:rsidRPr="00374553">
              <w:rPr>
                <w:rFonts w:ascii="Arial" w:hAnsi="Arial"/>
                <w:color w:val="000000"/>
                <w:lang w:val="fr-CA"/>
              </w:rPr>
              <w:t xml:space="preserve">responsable du </w:t>
            </w:r>
            <w:r w:rsidR="008726A4">
              <w:rPr>
                <w:rFonts w:ascii="Arial" w:hAnsi="Arial"/>
                <w:color w:val="000000"/>
                <w:lang w:val="fr-CA"/>
              </w:rPr>
              <w:t>LMT d</w:t>
            </w:r>
            <w:r w:rsidRPr="00374553">
              <w:rPr>
                <w:rFonts w:ascii="Arial" w:hAnsi="Arial"/>
                <w:color w:val="000000"/>
                <w:lang w:val="fr-CA"/>
              </w:rPr>
              <w:t>e l'établissement ou son représentant doit étudier toutes les erreurs et tous les incidents.</w:t>
            </w:r>
            <w:r w:rsidR="00374553" w:rsidRPr="00374553">
              <w:rPr>
                <w:rFonts w:ascii="Arial" w:hAnsi="Arial"/>
                <w:color w:val="000000"/>
                <w:lang w:val="fr-CA"/>
              </w:rPr>
              <w:t xml:space="preserve"> La gestion des erreurs devrait faire partie de tous les rapports d’assurance de qualité du laboratoire</w:t>
            </w:r>
            <w:r w:rsidR="00881FE9">
              <w:rPr>
                <w:rFonts w:ascii="Arial" w:hAnsi="Arial"/>
                <w:color w:val="000000"/>
                <w:vertAlign w:val="superscript"/>
                <w:lang w:val="fr-CA"/>
              </w:rPr>
              <w:t>9.2</w:t>
            </w:r>
            <w:r w:rsidR="00374553" w:rsidRPr="00374553">
              <w:rPr>
                <w:rFonts w:ascii="Arial" w:hAnsi="Arial"/>
                <w:color w:val="000000"/>
                <w:lang w:val="fr-CA"/>
              </w:rPr>
              <w:t xml:space="preserve">. </w:t>
            </w:r>
          </w:p>
          <w:p w:rsidR="00E95016" w:rsidRPr="0037455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16" w:rsidRPr="00374553" w:rsidRDefault="00E95016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>2.6.1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374553" w:rsidRDefault="00374553">
            <w:p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 xml:space="preserve">Il faut qu’il y ait en place un système de révision des procédures lorsqu’un incident est signalé pour s’assurer que la cause des erreurs </w:t>
            </w:r>
            <w:r w:rsidR="004A1433">
              <w:rPr>
                <w:rFonts w:ascii="Arial" w:hAnsi="Arial"/>
                <w:color w:val="000000"/>
                <w:lang w:val="fr-CA"/>
              </w:rPr>
              <w:t>soit</w:t>
            </w:r>
            <w:r w:rsidRPr="00374553">
              <w:rPr>
                <w:rFonts w:ascii="Arial" w:hAnsi="Arial"/>
                <w:color w:val="000000"/>
                <w:lang w:val="fr-CA"/>
              </w:rPr>
              <w:t xml:space="preserve"> déterminée et que, le cas échéant, les procédures et processus soient </w:t>
            </w:r>
            <w:r w:rsidR="00645D37">
              <w:rPr>
                <w:rFonts w:ascii="Arial" w:hAnsi="Arial"/>
                <w:color w:val="000000"/>
                <w:lang w:val="fr-CA"/>
              </w:rPr>
              <w:t>révisés</w:t>
            </w:r>
            <w:r w:rsidR="00645D37" w:rsidRPr="0037455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374553">
              <w:rPr>
                <w:rFonts w:ascii="Arial" w:hAnsi="Arial"/>
                <w:color w:val="000000"/>
                <w:lang w:val="fr-CA"/>
              </w:rPr>
              <w:t>pour éviter toute récurrence</w:t>
            </w:r>
            <w:r w:rsidR="00881FE9">
              <w:rPr>
                <w:rFonts w:ascii="Arial" w:hAnsi="Arial"/>
                <w:color w:val="000000"/>
                <w:vertAlign w:val="superscript"/>
                <w:lang w:val="fr-CA"/>
              </w:rPr>
              <w:t>9.2</w:t>
            </w:r>
            <w:r w:rsidRPr="00374553">
              <w:rPr>
                <w:rFonts w:ascii="Arial" w:hAnsi="Arial"/>
                <w:color w:val="000000"/>
                <w:lang w:val="fr-CA"/>
              </w:rPr>
              <w:t xml:space="preserve">. </w:t>
            </w:r>
          </w:p>
          <w:p w:rsidR="00E95016" w:rsidRPr="0037455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A4551B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4551B">
              <w:rPr>
                <w:rFonts w:ascii="Arial" w:hAnsi="Arial"/>
                <w:lang w:val="fr-CA"/>
              </w:rPr>
              <w:t>2.7</w:t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016" w:rsidRPr="00374553" w:rsidRDefault="00F51A00" w:rsidP="00F51A00">
            <w:p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 xml:space="preserve">S'il est impossible de communiquer avec un médecin du </w:t>
            </w:r>
            <w:r w:rsidR="004A1433">
              <w:rPr>
                <w:rFonts w:ascii="Arial" w:hAnsi="Arial"/>
                <w:color w:val="000000"/>
                <w:lang w:val="fr-CA"/>
              </w:rPr>
              <w:t xml:space="preserve">LMT </w:t>
            </w:r>
            <w:r w:rsidRPr="00374553">
              <w:rPr>
                <w:rFonts w:ascii="Arial" w:hAnsi="Arial"/>
                <w:color w:val="000000"/>
                <w:lang w:val="fr-CA"/>
              </w:rPr>
              <w:t xml:space="preserve">sur place, il faut aviser rapidement le médecin du patient </w:t>
            </w:r>
            <w:r w:rsidR="004A1433">
              <w:rPr>
                <w:rFonts w:ascii="Arial" w:hAnsi="Arial"/>
                <w:color w:val="000000"/>
                <w:lang w:val="fr-CA"/>
              </w:rPr>
              <w:t>lorsqu’une</w:t>
            </w:r>
            <w:r w:rsidRPr="00374553">
              <w:rPr>
                <w:rFonts w:ascii="Arial" w:hAnsi="Arial"/>
                <w:color w:val="000000"/>
                <w:lang w:val="fr-CA"/>
              </w:rPr>
              <w:t xml:space="preserve"> intervention médicale peut être nécessaire. </w:t>
            </w:r>
          </w:p>
          <w:p w:rsidR="00E95016" w:rsidRPr="0037455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16" w:rsidRPr="00374553" w:rsidRDefault="00E95016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>2.7.1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95016" w:rsidRPr="00374553" w:rsidRDefault="00374553" w:rsidP="00F51A00">
            <w:p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>En cas d’urgence médicale, si le patient risque de subir une réaction transfusionnelle hémolytique</w:t>
            </w:r>
            <w:r w:rsidR="00CB216A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E95016" w:rsidRPr="00374553">
              <w:rPr>
                <w:rFonts w:ascii="Arial" w:hAnsi="Arial"/>
                <w:color w:val="000000"/>
                <w:lang w:val="fr-CA"/>
              </w:rPr>
              <w:t>imm</w:t>
            </w:r>
            <w:r w:rsidRPr="00374553">
              <w:rPr>
                <w:rFonts w:ascii="Arial" w:hAnsi="Arial"/>
                <w:color w:val="000000"/>
                <w:lang w:val="fr-CA"/>
              </w:rPr>
              <w:t>é</w:t>
            </w:r>
            <w:r w:rsidR="00E95016" w:rsidRPr="00374553">
              <w:rPr>
                <w:rFonts w:ascii="Arial" w:hAnsi="Arial"/>
                <w:color w:val="000000"/>
                <w:lang w:val="fr-CA"/>
              </w:rPr>
              <w:t xml:space="preserve">diate </w:t>
            </w:r>
            <w:r w:rsidRPr="00374553">
              <w:rPr>
                <w:rFonts w:ascii="Arial" w:hAnsi="Arial"/>
                <w:color w:val="000000"/>
                <w:lang w:val="fr-CA"/>
              </w:rPr>
              <w:t xml:space="preserve">ou s’il est en danger en raison de la transfusion, le technologue médical peut entrer directement en contact avec l’unité de soins du patient. </w:t>
            </w:r>
            <w:r w:rsidR="00F51A00" w:rsidRPr="00374553">
              <w:rPr>
                <w:rFonts w:ascii="Arial" w:hAnsi="Arial"/>
                <w:color w:val="000000"/>
                <w:lang w:val="fr-CA"/>
              </w:rPr>
              <w:t>Cette personne</w:t>
            </w:r>
            <w:r w:rsidRPr="00374553">
              <w:rPr>
                <w:rFonts w:ascii="Arial" w:hAnsi="Arial"/>
                <w:color w:val="000000"/>
                <w:lang w:val="fr-CA"/>
              </w:rPr>
              <w:t xml:space="preserve"> d</w:t>
            </w:r>
            <w:r w:rsidR="00F51A00" w:rsidRPr="00374553">
              <w:rPr>
                <w:rFonts w:ascii="Arial" w:hAnsi="Arial"/>
                <w:color w:val="000000"/>
                <w:lang w:val="fr-CA"/>
              </w:rPr>
              <w:t xml:space="preserve">evra aviser le personnel d'arrêter immédiatement la transfusion. 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1" w:type="dxa"/>
            <w:gridSpan w:val="5"/>
          </w:tcPr>
          <w:p w:rsidR="00E95016" w:rsidRPr="00374553" w:rsidRDefault="00F51A00" w:rsidP="00374553">
            <w:pPr>
              <w:pStyle w:val="Heading1"/>
            </w:pPr>
            <w:r w:rsidRPr="00374553">
              <w:t>Échantillons – S.O.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1" w:type="dxa"/>
            <w:gridSpan w:val="5"/>
          </w:tcPr>
          <w:p w:rsidR="00E95016" w:rsidRPr="00374553" w:rsidRDefault="00F51A00" w:rsidP="00374553">
            <w:pPr>
              <w:pStyle w:val="Heading1"/>
            </w:pPr>
            <w:r w:rsidRPr="00374553">
              <w:t xml:space="preserve">Matériel </w:t>
            </w:r>
            <w:r w:rsidR="00CB216A">
              <w:rPr>
                <w:b w:val="0"/>
              </w:rPr>
              <w:t xml:space="preserve">– </w:t>
            </w:r>
            <w:r w:rsidRPr="00374553">
              <w:t>S.O.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121" w:type="dxa"/>
            <w:gridSpan w:val="5"/>
          </w:tcPr>
          <w:p w:rsidR="00E95016" w:rsidRPr="00374553" w:rsidRDefault="00F51A00" w:rsidP="00374553">
            <w:pPr>
              <w:pStyle w:val="Heading1"/>
            </w:pPr>
            <w:r w:rsidRPr="00374553">
              <w:t>Contrôle de la qualité</w:t>
            </w:r>
            <w:r w:rsidR="00881FE9">
              <w:t xml:space="preserve"> </w:t>
            </w:r>
            <w:r w:rsidR="00881FE9">
              <w:rPr>
                <w:b w:val="0"/>
              </w:rPr>
              <w:t xml:space="preserve">– </w:t>
            </w:r>
            <w:r w:rsidR="00881FE9" w:rsidRPr="00374553">
              <w:t>S.O.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1" w:type="dxa"/>
            <w:gridSpan w:val="5"/>
          </w:tcPr>
          <w:p w:rsidR="00E95016" w:rsidRPr="00A4551B" w:rsidRDefault="00E95016" w:rsidP="00374553">
            <w:pPr>
              <w:pStyle w:val="Heading1"/>
            </w:pPr>
            <w:r w:rsidRPr="00A4551B">
              <w:br w:type="page"/>
            </w:r>
            <w:r w:rsidR="00F51A00" w:rsidRPr="00F51A00">
              <w:t>Procédure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374553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>6.1</w:t>
            </w:r>
          </w:p>
        </w:tc>
        <w:tc>
          <w:tcPr>
            <w:tcW w:w="7451" w:type="dxa"/>
            <w:gridSpan w:val="3"/>
          </w:tcPr>
          <w:p w:rsidR="00E95016" w:rsidRPr="00374553" w:rsidRDefault="00F51A00" w:rsidP="00F51A00">
            <w:p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 xml:space="preserve">Consulter immédiatement le directeur médical ou son représentant dans les circonstances </w:t>
            </w:r>
            <w:r w:rsidR="0079066A">
              <w:rPr>
                <w:rFonts w:ascii="Arial" w:hAnsi="Arial"/>
                <w:color w:val="000000"/>
                <w:lang w:val="fr-CA"/>
              </w:rPr>
              <w:t>suivantes </w:t>
            </w:r>
            <w:r w:rsidRPr="00374553">
              <w:rPr>
                <w:rFonts w:ascii="Arial" w:hAnsi="Arial"/>
                <w:color w:val="000000"/>
                <w:lang w:val="fr-CA"/>
              </w:rPr>
              <w:t>:</w:t>
            </w:r>
          </w:p>
          <w:p w:rsidR="00E95016" w:rsidRPr="0037455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37455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706" w:type="dxa"/>
          </w:tcPr>
          <w:p w:rsidR="00E95016" w:rsidRPr="00374553" w:rsidRDefault="00E95016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374553" w:rsidRDefault="00F51A00" w:rsidP="00F51A00">
            <w:p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>sang incompatible transfusé par erreur</w:t>
            </w:r>
          </w:p>
          <w:p w:rsidR="00E95016" w:rsidRPr="0037455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37455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706" w:type="dxa"/>
          </w:tcPr>
          <w:p w:rsidR="00E95016" w:rsidRPr="00374553" w:rsidRDefault="00E95016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374553" w:rsidRDefault="00F51A00" w:rsidP="00F51A00">
            <w:pPr>
              <w:rPr>
                <w:rFonts w:ascii="Arial" w:hAnsi="Arial"/>
                <w:color w:val="000000"/>
                <w:lang w:val="fr-CA"/>
              </w:rPr>
            </w:pPr>
            <w:r w:rsidRPr="00374553">
              <w:rPr>
                <w:rFonts w:ascii="Arial" w:hAnsi="Arial"/>
                <w:color w:val="000000"/>
                <w:lang w:val="fr-CA"/>
              </w:rPr>
              <w:t>mauvais produit transfusé à un patient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A4551B" w:rsidRDefault="00D658B7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épreuve de compatibilité urgente lorsqu’il n’y a aucune unité de donneur compatible</w:t>
            </w:r>
          </w:p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F54D10" w:rsidRDefault="00F51A00" w:rsidP="00F51A00">
            <w:pPr>
              <w:rPr>
                <w:rFonts w:ascii="Arial" w:hAnsi="Arial"/>
                <w:color w:val="000000"/>
                <w:lang w:val="fr-CA"/>
              </w:rPr>
            </w:pPr>
            <w:r w:rsidRPr="00F54D10">
              <w:rPr>
                <w:rFonts w:ascii="Arial" w:hAnsi="Arial"/>
                <w:color w:val="000000"/>
                <w:lang w:val="fr-CA"/>
              </w:rPr>
              <w:t>réaction transfusionnelle en raison d'une erreur d'inscription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F54D10" w:rsidRDefault="00D658B7">
            <w:pPr>
              <w:rPr>
                <w:rFonts w:ascii="Arial" w:hAnsi="Arial"/>
                <w:color w:val="000000"/>
                <w:lang w:val="fr-CA"/>
              </w:rPr>
            </w:pPr>
            <w:r w:rsidRPr="00F54D10">
              <w:rPr>
                <w:rFonts w:ascii="Arial" w:hAnsi="Arial"/>
                <w:color w:val="000000"/>
                <w:lang w:val="fr-CA"/>
              </w:rPr>
              <w:t>investigation d’une réaction transfusionnelle lorsque le test</w:t>
            </w:r>
            <w:r w:rsidR="00CB216A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F54D10">
              <w:rPr>
                <w:rFonts w:ascii="Arial" w:hAnsi="Arial"/>
                <w:color w:val="000000"/>
                <w:lang w:val="fr-CA"/>
              </w:rPr>
              <w:t xml:space="preserve">direct à l’antiglobuline </w:t>
            </w:r>
            <w:r w:rsidR="00F54D10">
              <w:rPr>
                <w:rFonts w:ascii="Arial" w:hAnsi="Arial"/>
                <w:color w:val="000000"/>
                <w:lang w:val="fr-CA"/>
              </w:rPr>
              <w:t>était</w:t>
            </w:r>
            <w:r w:rsidRPr="00F54D10">
              <w:rPr>
                <w:rFonts w:ascii="Arial" w:hAnsi="Arial"/>
                <w:color w:val="000000"/>
                <w:lang w:val="fr-CA"/>
              </w:rPr>
              <w:t xml:space="preserve"> négatif avant la transfusion et positif après la transfusion et qu’une transfusion est requise</w:t>
            </w:r>
          </w:p>
          <w:p w:rsidR="00E95016" w:rsidRPr="00F54D10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F54D10" w:rsidRDefault="00F51A00" w:rsidP="00F51A00">
            <w:pPr>
              <w:rPr>
                <w:rFonts w:ascii="Arial" w:hAnsi="Arial"/>
                <w:color w:val="000000"/>
                <w:lang w:val="fr-CA"/>
              </w:rPr>
            </w:pPr>
            <w:r w:rsidRPr="00F54D10">
              <w:rPr>
                <w:rFonts w:ascii="Arial" w:hAnsi="Arial"/>
                <w:color w:val="000000"/>
                <w:lang w:val="fr-CA"/>
              </w:rPr>
              <w:t>réaction transfusionnelle anaphylactique</w:t>
            </w:r>
          </w:p>
          <w:p w:rsidR="00E95016" w:rsidRPr="00F54D10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C2EF5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66"/>
        </w:trPr>
        <w:tc>
          <w:tcPr>
            <w:tcW w:w="835" w:type="dxa"/>
          </w:tcPr>
          <w:p w:rsidR="008C2EF5" w:rsidRPr="00A4551B" w:rsidRDefault="008C2EF5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8C2EF5" w:rsidRPr="00A4551B" w:rsidRDefault="008C2EF5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8C2EF5" w:rsidRPr="0039464E" w:rsidRDefault="008C2EF5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br/>
            </w:r>
          </w:p>
          <w:p w:rsidR="008C2EF5" w:rsidRDefault="008C2EF5" w:rsidP="008C2EF5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lang w:val="fr-CA"/>
              </w:rPr>
            </w:pPr>
          </w:p>
          <w:p w:rsidR="008C2EF5" w:rsidRPr="008C2EF5" w:rsidRDefault="008C2EF5" w:rsidP="008C2EF5">
            <w:pPr>
              <w:numPr>
                <w:ilvl w:val="0"/>
                <w:numId w:val="8"/>
              </w:numPr>
              <w:rPr>
                <w:lang w:val="fr-CA"/>
              </w:rPr>
            </w:pPr>
          </w:p>
          <w:p w:rsidR="008C2EF5" w:rsidRPr="00A4551B" w:rsidRDefault="008C2EF5" w:rsidP="008C2EF5">
            <w:pPr>
              <w:pStyle w:val="Heading3"/>
              <w:numPr>
                <w:ilvl w:val="0"/>
                <w:numId w:val="0"/>
              </w:numPr>
              <w:ind w:left="360"/>
              <w:rPr>
                <w:rFonts w:ascii="Arial" w:hAnsi="Arial"/>
                <w:lang w:val="fr-CA"/>
              </w:rPr>
            </w:pPr>
            <w:r w:rsidRPr="00374553">
              <w:t>.</w:t>
            </w:r>
          </w:p>
        </w:tc>
        <w:tc>
          <w:tcPr>
            <w:tcW w:w="6745" w:type="dxa"/>
            <w:gridSpan w:val="2"/>
            <w:vMerge w:val="restart"/>
          </w:tcPr>
          <w:p w:rsidR="008C2EF5" w:rsidRDefault="008C2EF5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soupçon de réaction transfusionnelle due à la contamination bactérienne du composant sanguin</w:t>
            </w:r>
          </w:p>
          <w:p w:rsidR="008C2EF5" w:rsidRDefault="008C2EF5">
            <w:pPr>
              <w:rPr>
                <w:rFonts w:ascii="Arial" w:hAnsi="Arial"/>
                <w:color w:val="000000"/>
                <w:lang w:val="fr-CA"/>
              </w:rPr>
            </w:pPr>
          </w:p>
          <w:p w:rsidR="008C2EF5" w:rsidRDefault="008C2EF5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réaction transfusionnelle tardive</w:t>
            </w:r>
          </w:p>
          <w:p w:rsidR="008C2EF5" w:rsidRDefault="008C2EF5">
            <w:pPr>
              <w:rPr>
                <w:rFonts w:ascii="Arial" w:hAnsi="Arial"/>
                <w:color w:val="000000"/>
                <w:lang w:val="fr-CA"/>
              </w:rPr>
            </w:pPr>
          </w:p>
          <w:p w:rsidR="008C2EF5" w:rsidRDefault="008C2EF5" w:rsidP="008C2EF5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i</w:t>
            </w:r>
            <w:r w:rsidRPr="00F54D10">
              <w:rPr>
                <w:rFonts w:ascii="Arial" w:hAnsi="Arial"/>
                <w:color w:val="000000"/>
                <w:lang w:val="fr-CA"/>
              </w:rPr>
              <w:t>nvestigation d’une réaction transfusionnelle lorsque l’échantillon post-transfusionnel est hémolysé et que cette hémolyse n’est pas due à un prélèvement difficile</w:t>
            </w:r>
          </w:p>
          <w:p w:rsidR="008C2EF5" w:rsidRPr="00F54D10" w:rsidRDefault="008C2EF5" w:rsidP="008C2EF5">
            <w:pPr>
              <w:rPr>
                <w:rFonts w:ascii="Arial" w:hAnsi="Arial"/>
                <w:color w:val="000000"/>
                <w:lang w:val="fr-CA"/>
              </w:rPr>
            </w:pPr>
          </w:p>
          <w:p w:rsidR="008C2EF5" w:rsidRDefault="008C2EF5" w:rsidP="0039464E">
            <w:pPr>
              <w:rPr>
                <w:rFonts w:ascii="Arial" w:hAnsi="Arial"/>
                <w:color w:val="000000"/>
                <w:u w:val="single"/>
                <w:lang w:val="fr-CA"/>
              </w:rPr>
            </w:pPr>
            <w:r w:rsidRPr="00F54D10">
              <w:rPr>
                <w:rFonts w:ascii="Arial" w:hAnsi="Arial"/>
                <w:color w:val="000000"/>
                <w:lang w:val="fr-CA"/>
              </w:rPr>
              <w:t xml:space="preserve">demande de produits sanguins supplémentaires avant la fin de l’investigation d’une </w:t>
            </w:r>
            <w:r w:rsidRPr="0039464E">
              <w:rPr>
                <w:rFonts w:ascii="Arial" w:hAnsi="Arial"/>
                <w:color w:val="000000"/>
                <w:u w:val="single"/>
                <w:lang w:val="fr-CA"/>
              </w:rPr>
              <w:t>réaction transfusionnelle</w:t>
            </w:r>
          </w:p>
          <w:p w:rsidR="008C2EF5" w:rsidRPr="0039464E" w:rsidRDefault="008C2EF5" w:rsidP="0039464E">
            <w:pPr>
              <w:rPr>
                <w:rFonts w:ascii="Arial" w:hAnsi="Arial"/>
                <w:color w:val="000000"/>
                <w:u w:val="single"/>
                <w:lang w:val="fr-CA"/>
              </w:rPr>
            </w:pPr>
          </w:p>
          <w:p w:rsidR="008C2EF5" w:rsidRPr="00B57D7F" w:rsidRDefault="008C2EF5">
            <w:pPr>
              <w:rPr>
                <w:rFonts w:ascii="Arial" w:hAnsi="Arial"/>
                <w:color w:val="000000"/>
                <w:lang w:val="fr-CA"/>
              </w:rPr>
            </w:pPr>
            <w:r w:rsidRPr="00F54D10">
              <w:rPr>
                <w:rFonts w:ascii="Arial" w:hAnsi="Arial"/>
                <w:color w:val="000000"/>
                <w:lang w:val="fr-CA"/>
              </w:rPr>
              <w:t xml:space="preserve">demande de produits sanguins supplémentaires avant la fin </w:t>
            </w:r>
            <w:r>
              <w:rPr>
                <w:rFonts w:ascii="Arial" w:hAnsi="Arial"/>
                <w:color w:val="000000"/>
                <w:lang w:val="fr-CA"/>
              </w:rPr>
              <w:t xml:space="preserve">de </w:t>
            </w:r>
            <w:r w:rsidRPr="00B57D7F">
              <w:rPr>
                <w:rFonts w:ascii="Arial" w:hAnsi="Arial"/>
                <w:color w:val="000000"/>
                <w:lang w:val="fr-CA"/>
              </w:rPr>
              <w:t>l’identification d’anticorps</w:t>
            </w:r>
          </w:p>
          <w:p w:rsidR="008C2EF5" w:rsidRPr="00F54D10" w:rsidRDefault="008C2EF5">
            <w:pPr>
              <w:rPr>
                <w:rFonts w:ascii="Arial" w:hAnsi="Arial"/>
                <w:color w:val="000000"/>
                <w:lang w:val="fr-CA"/>
              </w:rPr>
            </w:pPr>
          </w:p>
          <w:p w:rsidR="008C2EF5" w:rsidRDefault="008C2EF5" w:rsidP="00F51A00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d</w:t>
            </w:r>
            <w:r w:rsidRPr="00D658B7">
              <w:rPr>
                <w:rFonts w:ascii="Arial" w:hAnsi="Arial"/>
                <w:color w:val="000000"/>
                <w:lang w:val="fr-CA"/>
              </w:rPr>
              <w:t xml:space="preserve">emande </w:t>
            </w:r>
            <w:r>
              <w:rPr>
                <w:rFonts w:ascii="Arial" w:hAnsi="Arial"/>
                <w:color w:val="000000"/>
                <w:lang w:val="fr-CA"/>
              </w:rPr>
              <w:t>in</w:t>
            </w:r>
            <w:r w:rsidRPr="00D658B7">
              <w:rPr>
                <w:rFonts w:ascii="Arial" w:hAnsi="Arial"/>
                <w:color w:val="000000"/>
                <w:lang w:val="fr-CA"/>
              </w:rPr>
              <w:t>habituelle d'exsanguinotransfusion</w:t>
            </w:r>
          </w:p>
          <w:p w:rsidR="00AA735E" w:rsidRDefault="00AA735E" w:rsidP="00F51A00">
            <w:pPr>
              <w:rPr>
                <w:rFonts w:ascii="Arial" w:hAnsi="Arial"/>
                <w:lang w:val="fr-CA"/>
              </w:rPr>
            </w:pPr>
          </w:p>
          <w:p w:rsidR="00B57D7F" w:rsidRDefault="00B57D7F" w:rsidP="00F51A00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lang w:val="fr-CA"/>
              </w:rPr>
              <w:t>pénurie critique de produits sanguins lorsque cela entraînera probablement un délai ou une annulation des transfusions ou des interventions chirurgicales</w:t>
            </w: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B57D7F" w:rsidRDefault="00B57D7F" w:rsidP="00F51A00">
            <w:pPr>
              <w:rPr>
                <w:rFonts w:ascii="Arial" w:hAnsi="Arial"/>
                <w:color w:val="000000"/>
                <w:lang w:val="fr-CA"/>
              </w:rPr>
            </w:pPr>
          </w:p>
          <w:p w:rsidR="008C2EF5" w:rsidRPr="00F54D10" w:rsidRDefault="008C2EF5" w:rsidP="00B46482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p</w:t>
            </w:r>
            <w:r w:rsidRPr="00D658B7">
              <w:rPr>
                <w:rFonts w:ascii="Arial" w:hAnsi="Arial"/>
                <w:color w:val="000000"/>
                <w:lang w:val="fr-CA"/>
              </w:rPr>
              <w:t>roduits peu souvent demandés, quantité inhabituelle compte tenu de la taille et/ou de l'âge du patien</w:t>
            </w:r>
            <w:r w:rsidR="00B57D7F">
              <w:rPr>
                <w:rFonts w:ascii="Arial" w:hAnsi="Arial"/>
                <w:color w:val="000000"/>
                <w:lang w:val="fr-CA"/>
              </w:rPr>
              <w:t>t</w:t>
            </w:r>
            <w:r w:rsidR="00B57D7F">
              <w:rPr>
                <w:rFonts w:ascii="Arial" w:hAnsi="Arial"/>
                <w:color w:val="000000"/>
                <w:lang w:val="fr-CA"/>
              </w:rPr>
              <w:br/>
            </w:r>
          </w:p>
        </w:tc>
      </w:tr>
      <w:tr w:rsidR="008C2EF5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835" w:type="dxa"/>
          </w:tcPr>
          <w:p w:rsidR="008C2EF5" w:rsidRPr="00A4551B" w:rsidRDefault="008C2EF5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8C2EF5" w:rsidRPr="00F54D10" w:rsidRDefault="008C2EF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706" w:type="dxa"/>
          </w:tcPr>
          <w:p w:rsidR="008C2EF5" w:rsidRDefault="008C2EF5" w:rsidP="00B57D7F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color w:val="000000"/>
                <w:lang w:val="fr-CA"/>
              </w:rPr>
            </w:pPr>
          </w:p>
          <w:p w:rsidR="00B57D7F" w:rsidRDefault="00B57D7F" w:rsidP="00B57D7F">
            <w:pPr>
              <w:rPr>
                <w:lang w:val="fr-CA"/>
              </w:rPr>
            </w:pPr>
          </w:p>
          <w:p w:rsidR="00B57D7F" w:rsidRDefault="00B57D7F" w:rsidP="00B57D7F">
            <w:pPr>
              <w:numPr>
                <w:ilvl w:val="0"/>
                <w:numId w:val="8"/>
              </w:numPr>
              <w:rPr>
                <w:lang w:val="fr-CA"/>
              </w:rPr>
            </w:pPr>
          </w:p>
          <w:p w:rsidR="00B57D7F" w:rsidRDefault="00B57D7F" w:rsidP="00B57D7F">
            <w:pPr>
              <w:rPr>
                <w:lang w:val="fr-CA"/>
              </w:rPr>
            </w:pPr>
          </w:p>
          <w:p w:rsidR="00B57D7F" w:rsidRDefault="00B57D7F" w:rsidP="00B57D7F">
            <w:pPr>
              <w:rPr>
                <w:lang w:val="fr-CA"/>
              </w:rPr>
            </w:pPr>
          </w:p>
          <w:p w:rsidR="00B57D7F" w:rsidRPr="00B57D7F" w:rsidRDefault="00B57D7F" w:rsidP="00B57D7F">
            <w:pPr>
              <w:numPr>
                <w:ilvl w:val="0"/>
                <w:numId w:val="8"/>
              </w:numPr>
              <w:rPr>
                <w:lang w:val="fr-CA"/>
              </w:rPr>
            </w:pPr>
            <w:r>
              <w:rPr>
                <w:lang w:val="fr-CA"/>
              </w:rPr>
              <w:br/>
            </w:r>
          </w:p>
        </w:tc>
        <w:tc>
          <w:tcPr>
            <w:tcW w:w="6745" w:type="dxa"/>
            <w:gridSpan w:val="2"/>
            <w:vMerge/>
          </w:tcPr>
          <w:p w:rsidR="008C2EF5" w:rsidRPr="00F54D10" w:rsidRDefault="008C2EF5" w:rsidP="00B46482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C2EF5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8C2EF5" w:rsidRPr="00A4551B" w:rsidRDefault="008C2EF5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8C2EF5" w:rsidRPr="00F54D10" w:rsidRDefault="008C2EF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706" w:type="dxa"/>
          </w:tcPr>
          <w:p w:rsidR="008C2EF5" w:rsidRPr="00F54D10" w:rsidRDefault="008C2EF5" w:rsidP="00AA735E">
            <w:pPr>
              <w:pStyle w:val="Heading3"/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 w:hanging="720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6745" w:type="dxa"/>
            <w:gridSpan w:val="2"/>
            <w:vMerge/>
          </w:tcPr>
          <w:p w:rsidR="008C2EF5" w:rsidRPr="00F54D10" w:rsidRDefault="008C2EF5" w:rsidP="00B46482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C2EF5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8C2EF5" w:rsidRPr="00A4551B" w:rsidRDefault="008C2EF5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8C2EF5" w:rsidRPr="00D658B7" w:rsidRDefault="008C2EF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706" w:type="dxa"/>
          </w:tcPr>
          <w:p w:rsidR="008C2EF5" w:rsidRDefault="008C2EF5" w:rsidP="008C2EF5">
            <w:pPr>
              <w:pStyle w:val="Heading3"/>
              <w:numPr>
                <w:ilvl w:val="0"/>
                <w:numId w:val="0"/>
              </w:numPr>
              <w:ind w:left="360"/>
              <w:rPr>
                <w:rFonts w:ascii="Arial" w:hAnsi="Arial"/>
                <w:color w:val="000000"/>
                <w:lang w:val="fr-CA"/>
              </w:rPr>
            </w:pPr>
          </w:p>
          <w:p w:rsidR="00AA735E" w:rsidRPr="00AA735E" w:rsidRDefault="00AA735E" w:rsidP="00AA735E">
            <w:pPr>
              <w:rPr>
                <w:lang w:val="fr-CA"/>
              </w:rPr>
            </w:pPr>
          </w:p>
        </w:tc>
        <w:tc>
          <w:tcPr>
            <w:tcW w:w="6745" w:type="dxa"/>
            <w:gridSpan w:val="2"/>
            <w:vMerge/>
          </w:tcPr>
          <w:p w:rsidR="008C2EF5" w:rsidRPr="00D658B7" w:rsidRDefault="008C2EF5" w:rsidP="00B46482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C2EF5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8C2EF5" w:rsidRPr="00A4551B" w:rsidRDefault="008C2EF5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8C2EF5" w:rsidRPr="00A4551B" w:rsidRDefault="008C2EF5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8C2EF5" w:rsidRPr="00A4551B" w:rsidRDefault="008C2EF5">
            <w:pPr>
              <w:pStyle w:val="Heading3"/>
              <w:numPr>
                <w:ilvl w:val="0"/>
                <w:numId w:val="8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  <w:vMerge/>
          </w:tcPr>
          <w:p w:rsidR="008C2EF5" w:rsidRPr="00A4551B" w:rsidRDefault="008C2EF5" w:rsidP="00B46482">
            <w:pPr>
              <w:rPr>
                <w:rFonts w:ascii="Arial" w:hAnsi="Arial"/>
                <w:lang w:val="fr-CA"/>
              </w:rPr>
            </w:pPr>
          </w:p>
        </w:tc>
      </w:tr>
      <w:tr w:rsidR="00EC66B9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C66B9" w:rsidRPr="00A4551B" w:rsidRDefault="00EC66B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C66B9" w:rsidRPr="00A4551B" w:rsidRDefault="00EC66B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C66B9" w:rsidRPr="00A4551B" w:rsidRDefault="00EC66B9">
            <w:pPr>
              <w:pStyle w:val="Heading3"/>
              <w:numPr>
                <w:ilvl w:val="0"/>
                <w:numId w:val="9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C66B9" w:rsidRPr="00EC66B9" w:rsidRDefault="00EC66B9" w:rsidP="00EC66B9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sang Rh positif (globules rouges) transfusé à un patient Rh négatif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9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D658B7" w:rsidRDefault="00F54D10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p</w:t>
            </w:r>
            <w:r w:rsidR="00683E87" w:rsidRPr="00D658B7">
              <w:rPr>
                <w:rFonts w:ascii="Arial" w:hAnsi="Arial"/>
                <w:color w:val="000000"/>
                <w:lang w:val="fr-CA"/>
              </w:rPr>
              <w:t xml:space="preserve">roduits plaquettaires </w:t>
            </w:r>
            <w:r w:rsidR="00E95016" w:rsidRPr="00D658B7">
              <w:rPr>
                <w:rFonts w:ascii="Arial" w:hAnsi="Arial"/>
                <w:color w:val="000000"/>
                <w:lang w:val="fr-CA"/>
              </w:rPr>
              <w:t>Rh positi</w:t>
            </w:r>
            <w:r w:rsidR="00683E87" w:rsidRPr="00D658B7">
              <w:rPr>
                <w:rFonts w:ascii="Arial" w:hAnsi="Arial"/>
                <w:color w:val="000000"/>
                <w:lang w:val="fr-CA"/>
              </w:rPr>
              <w:t xml:space="preserve">f qui peuvent être transfusés à une femme Rh </w:t>
            </w:r>
            <w:r w:rsidR="00E95016" w:rsidRPr="00D658B7">
              <w:rPr>
                <w:rFonts w:ascii="Arial" w:hAnsi="Arial"/>
                <w:color w:val="000000"/>
                <w:lang w:val="fr-CA"/>
              </w:rPr>
              <w:t>n</w:t>
            </w:r>
            <w:r w:rsidR="00683E87" w:rsidRPr="00D658B7">
              <w:rPr>
                <w:rFonts w:ascii="Arial" w:hAnsi="Arial"/>
                <w:color w:val="000000"/>
                <w:lang w:val="fr-CA"/>
              </w:rPr>
              <w:t>é</w:t>
            </w:r>
            <w:r w:rsidR="00E95016" w:rsidRPr="00D658B7">
              <w:rPr>
                <w:rFonts w:ascii="Arial" w:hAnsi="Arial"/>
                <w:color w:val="000000"/>
                <w:lang w:val="fr-CA"/>
              </w:rPr>
              <w:t>gati</w:t>
            </w:r>
            <w:r w:rsidR="00683E87" w:rsidRPr="00D658B7">
              <w:rPr>
                <w:rFonts w:ascii="Arial" w:hAnsi="Arial"/>
                <w:color w:val="000000"/>
                <w:lang w:val="fr-CA"/>
              </w:rPr>
              <w:t xml:space="preserve">f </w:t>
            </w:r>
            <w:r w:rsidR="008726A4">
              <w:rPr>
                <w:rFonts w:ascii="Arial" w:hAnsi="Arial"/>
                <w:color w:val="000000"/>
                <w:lang w:val="fr-CA"/>
              </w:rPr>
              <w:t>en âge d’avoir des enfants ou plus jeune</w:t>
            </w:r>
            <w:r w:rsidR="00683E87" w:rsidRPr="00D658B7">
              <w:rPr>
                <w:rFonts w:ascii="Arial" w:hAnsi="Arial"/>
                <w:color w:val="000000"/>
                <w:lang w:val="fr-CA"/>
              </w:rPr>
              <w:t xml:space="preserve"> da</w:t>
            </w:r>
            <w:r w:rsidR="00D658B7" w:rsidRPr="00D658B7">
              <w:rPr>
                <w:rFonts w:ascii="Arial" w:hAnsi="Arial"/>
                <w:color w:val="000000"/>
                <w:lang w:val="fr-CA"/>
              </w:rPr>
              <w:t>ns une situ</w:t>
            </w:r>
            <w:r w:rsidR="00683E87" w:rsidRPr="00D658B7">
              <w:rPr>
                <w:rFonts w:ascii="Arial" w:hAnsi="Arial"/>
                <w:color w:val="000000"/>
                <w:lang w:val="fr-CA"/>
              </w:rPr>
              <w:t>ation qui s’écarte de la politique hospitalière habituelle</w:t>
            </w:r>
          </w:p>
          <w:p w:rsidR="00E95016" w:rsidRPr="00D658B7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9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D658B7" w:rsidRDefault="00F54D10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a</w:t>
            </w:r>
            <w:r w:rsidR="00D658B7" w:rsidRPr="00D658B7">
              <w:rPr>
                <w:rFonts w:ascii="Arial" w:hAnsi="Arial"/>
                <w:color w:val="000000"/>
                <w:lang w:val="fr-CA"/>
              </w:rPr>
              <w:t>vis de catastrophe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4551B">
              <w:rPr>
                <w:rFonts w:ascii="Arial" w:hAnsi="Arial"/>
                <w:lang w:val="fr-CA"/>
              </w:rPr>
              <w:t>6.2</w:t>
            </w:r>
          </w:p>
        </w:tc>
        <w:tc>
          <w:tcPr>
            <w:tcW w:w="7451" w:type="dxa"/>
            <w:gridSpan w:val="3"/>
          </w:tcPr>
          <w:p w:rsidR="00E95016" w:rsidRPr="00465C7A" w:rsidRDefault="00437C07">
            <w:pPr>
              <w:rPr>
                <w:rFonts w:ascii="Arial" w:hAnsi="Arial"/>
                <w:color w:val="000000"/>
                <w:lang w:val="fr-CA"/>
              </w:rPr>
            </w:pPr>
            <w:r w:rsidRPr="00465C7A">
              <w:rPr>
                <w:rFonts w:ascii="Arial" w:hAnsi="Arial"/>
                <w:color w:val="000000"/>
                <w:lang w:val="fr-CA"/>
              </w:rPr>
              <w:t>Communiquer avec le directeur médical ou son représentant dès que possible dans les situations suivantes, de préférence avant la mise en circulation de produits sanguins :</w:t>
            </w:r>
          </w:p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7F3E43" w:rsidRDefault="00F51A00" w:rsidP="0039464E">
            <w:pPr>
              <w:rPr>
                <w:rFonts w:ascii="Arial" w:hAnsi="Arial"/>
                <w:color w:val="000000"/>
                <w:lang w:val="fr-CA"/>
              </w:rPr>
            </w:pPr>
            <w:r w:rsidRPr="007F3E4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F54D10" w:rsidRPr="007F3E43">
              <w:rPr>
                <w:rFonts w:ascii="Arial" w:hAnsi="Arial"/>
                <w:color w:val="000000"/>
                <w:lang w:val="fr-CA"/>
              </w:rPr>
              <w:t>t</w:t>
            </w:r>
            <w:r w:rsidRPr="007F3E43">
              <w:rPr>
                <w:rFonts w:ascii="Arial" w:hAnsi="Arial"/>
                <w:color w:val="000000"/>
                <w:lang w:val="fr-CA"/>
              </w:rPr>
              <w:t>ransfusion massive de sang.</w:t>
            </w:r>
            <w:r w:rsidR="00E95016" w:rsidRPr="007F3E4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7F3E43">
              <w:rPr>
                <w:rFonts w:ascii="Arial" w:hAnsi="Arial"/>
                <w:color w:val="000000"/>
                <w:lang w:val="fr-CA"/>
              </w:rPr>
              <w:t xml:space="preserve">Voir la </w:t>
            </w:r>
            <w:r w:rsidR="0039464E">
              <w:rPr>
                <w:rFonts w:ascii="Arial" w:hAnsi="Arial"/>
                <w:color w:val="000000"/>
                <w:lang w:val="fr-CA"/>
              </w:rPr>
              <w:t>r</w:t>
            </w:r>
            <w:r w:rsidRPr="007F3E43">
              <w:rPr>
                <w:rFonts w:ascii="Arial" w:hAnsi="Arial"/>
                <w:color w:val="000000"/>
                <w:lang w:val="fr-CA"/>
              </w:rPr>
              <w:t>emarque 8.1</w:t>
            </w:r>
            <w:r w:rsidR="004A1433">
              <w:rPr>
                <w:rFonts w:ascii="Arial" w:hAnsi="Arial"/>
                <w:color w:val="000000"/>
                <w:lang w:val="fr-CA"/>
              </w:rPr>
              <w:t>.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7F3E43" w:rsidRDefault="00F54D10">
            <w:pPr>
              <w:rPr>
                <w:rFonts w:ascii="Arial" w:hAnsi="Arial"/>
                <w:color w:val="000000"/>
                <w:lang w:val="fr-CA"/>
              </w:rPr>
            </w:pPr>
            <w:r w:rsidRPr="007F3E43">
              <w:rPr>
                <w:rFonts w:ascii="Arial" w:hAnsi="Arial"/>
                <w:color w:val="000000"/>
                <w:lang w:val="fr-CA"/>
              </w:rPr>
              <w:t>d</w:t>
            </w:r>
            <w:r w:rsidR="00437C07" w:rsidRPr="007F3E43">
              <w:rPr>
                <w:rFonts w:ascii="Arial" w:hAnsi="Arial"/>
                <w:color w:val="000000"/>
                <w:lang w:val="fr-CA"/>
              </w:rPr>
              <w:t xml:space="preserve">emande inappropriée de produit sanguin. </w:t>
            </w:r>
            <w:r w:rsidR="0039464E">
              <w:rPr>
                <w:rFonts w:ascii="Arial" w:hAnsi="Arial"/>
                <w:color w:val="000000"/>
                <w:lang w:val="fr-CA"/>
              </w:rPr>
              <w:t xml:space="preserve">Voir </w:t>
            </w:r>
            <w:r w:rsidR="00AA735E">
              <w:rPr>
                <w:rFonts w:ascii="Arial" w:hAnsi="Arial"/>
                <w:color w:val="000000"/>
                <w:lang w:val="fr-CA"/>
              </w:rPr>
              <w:t xml:space="preserve">dans les références </w:t>
            </w:r>
            <w:r w:rsidR="0039464E">
              <w:rPr>
                <w:rFonts w:ascii="Arial" w:hAnsi="Arial"/>
                <w:color w:val="000000"/>
                <w:lang w:val="fr-CA"/>
              </w:rPr>
              <w:t>l</w:t>
            </w:r>
            <w:r w:rsidRPr="007F3E43">
              <w:rPr>
                <w:rFonts w:ascii="Arial" w:hAnsi="Arial"/>
                <w:color w:val="000000"/>
                <w:lang w:val="fr-CA"/>
              </w:rPr>
              <w:t xml:space="preserve">es indications relatives </w:t>
            </w:r>
            <w:r w:rsidR="0097765D">
              <w:rPr>
                <w:rFonts w:ascii="Arial" w:hAnsi="Arial"/>
                <w:color w:val="000000"/>
                <w:lang w:val="fr-CA"/>
              </w:rPr>
              <w:t>à l’utilisation d</w:t>
            </w:r>
            <w:r w:rsidR="0097765D" w:rsidRPr="007F3E43">
              <w:rPr>
                <w:rFonts w:ascii="Arial" w:hAnsi="Arial"/>
                <w:color w:val="000000"/>
                <w:lang w:val="fr-CA"/>
              </w:rPr>
              <w:t xml:space="preserve">u </w:t>
            </w:r>
            <w:r w:rsidRPr="007F3E43">
              <w:rPr>
                <w:rFonts w:ascii="Arial" w:hAnsi="Arial"/>
                <w:color w:val="000000"/>
                <w:lang w:val="fr-CA"/>
              </w:rPr>
              <w:t xml:space="preserve">sang et </w:t>
            </w:r>
            <w:r w:rsidR="0097765D">
              <w:rPr>
                <w:rFonts w:ascii="Arial" w:hAnsi="Arial"/>
                <w:color w:val="000000"/>
                <w:lang w:val="fr-CA"/>
              </w:rPr>
              <w:t>des</w:t>
            </w:r>
            <w:r w:rsidR="0097765D" w:rsidRPr="007F3E4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7F3E43">
              <w:rPr>
                <w:rFonts w:ascii="Arial" w:hAnsi="Arial"/>
                <w:color w:val="000000"/>
                <w:lang w:val="fr-CA"/>
              </w:rPr>
              <w:t xml:space="preserve">produits sanguins </w:t>
            </w:r>
            <w:r w:rsidR="0039464E">
              <w:rPr>
                <w:rFonts w:ascii="Arial" w:hAnsi="Arial"/>
                <w:color w:val="000000"/>
                <w:lang w:val="fr-CA"/>
              </w:rPr>
              <w:t xml:space="preserve">(p. ex. les manuels </w:t>
            </w:r>
            <w:r w:rsidR="0039464E" w:rsidRPr="0039464E">
              <w:rPr>
                <w:rFonts w:ascii="Arial" w:hAnsi="Arial"/>
                <w:i/>
                <w:color w:val="000000"/>
                <w:lang w:val="fr-CA"/>
              </w:rPr>
              <w:t>Sang difficulté</w:t>
            </w:r>
            <w:r w:rsidR="0039464E">
              <w:rPr>
                <w:rFonts w:ascii="Arial" w:hAnsi="Arial"/>
                <w:color w:val="000000"/>
                <w:lang w:val="fr-CA"/>
              </w:rPr>
              <w:t>)</w:t>
            </w:r>
            <w:r w:rsidR="007F3E43" w:rsidRPr="007F3E43">
              <w:rPr>
                <w:rFonts w:ascii="Arial" w:hAnsi="Arial"/>
                <w:color w:val="000000"/>
                <w:lang w:val="fr-CA"/>
              </w:rPr>
              <w:t>.</w:t>
            </w:r>
          </w:p>
          <w:p w:rsidR="00E95016" w:rsidRPr="007F3E4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7F3E43" w:rsidRDefault="0097765D" w:rsidP="00F51A00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identification</w:t>
            </w:r>
            <w:r w:rsidRPr="007F3E4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F51A00" w:rsidRPr="007F3E43">
              <w:rPr>
                <w:rFonts w:ascii="Arial" w:hAnsi="Arial"/>
                <w:color w:val="000000"/>
                <w:lang w:val="fr-CA"/>
              </w:rPr>
              <w:t>d'anticorps qui pourrait retarder une intervention chirurgicale</w:t>
            </w:r>
          </w:p>
          <w:p w:rsidR="00E95016" w:rsidRPr="007F3E4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7F3E43" w:rsidRDefault="007F3E43">
            <w:pPr>
              <w:rPr>
                <w:rFonts w:ascii="Arial" w:hAnsi="Arial"/>
                <w:color w:val="000000"/>
                <w:lang w:val="fr-CA"/>
              </w:rPr>
            </w:pPr>
            <w:r w:rsidRPr="007F3E43">
              <w:rPr>
                <w:rFonts w:ascii="Arial" w:hAnsi="Arial"/>
                <w:color w:val="000000"/>
                <w:lang w:val="fr-CA"/>
              </w:rPr>
              <w:t>demande de préparation spéciale d’un produit sanguin pour un patient qui n’a pas d’antécédents de besoins transfusionnels particuliers</w:t>
            </w:r>
            <w:r w:rsidR="00E95016" w:rsidRPr="007F3E43">
              <w:rPr>
                <w:rFonts w:ascii="Arial" w:hAnsi="Arial"/>
                <w:color w:val="000000"/>
                <w:lang w:val="fr-CA"/>
              </w:rPr>
              <w:t xml:space="preserve"> (</w:t>
            </w:r>
            <w:r w:rsidRPr="007F3E43">
              <w:rPr>
                <w:rFonts w:ascii="Arial" w:hAnsi="Arial"/>
                <w:color w:val="000000"/>
                <w:lang w:val="fr-CA"/>
              </w:rPr>
              <w:t>p. ex. sang lavé, sang négatif quant à l’anti-CMV</w:t>
            </w:r>
            <w:r w:rsidR="00E95016" w:rsidRPr="007F3E43">
              <w:rPr>
                <w:rFonts w:ascii="Arial" w:hAnsi="Arial"/>
                <w:color w:val="000000"/>
                <w:lang w:val="fr-CA"/>
              </w:rPr>
              <w:t xml:space="preserve">, </w:t>
            </w:r>
            <w:r w:rsidRPr="007F3E43">
              <w:rPr>
                <w:rFonts w:ascii="Arial" w:hAnsi="Arial"/>
                <w:color w:val="000000"/>
                <w:lang w:val="fr-CA"/>
              </w:rPr>
              <w:t>produit irradié</w:t>
            </w:r>
            <w:r w:rsidR="00E95016" w:rsidRPr="007F3E43">
              <w:rPr>
                <w:rFonts w:ascii="Arial" w:hAnsi="Arial"/>
                <w:color w:val="000000"/>
                <w:lang w:val="fr-CA"/>
              </w:rPr>
              <w:t xml:space="preserve">, </w:t>
            </w:r>
            <w:r w:rsidRPr="007F3E43">
              <w:rPr>
                <w:rFonts w:ascii="Arial" w:hAnsi="Arial"/>
                <w:color w:val="000000"/>
                <w:lang w:val="fr-CA"/>
              </w:rPr>
              <w:t xml:space="preserve">plaquettes appariées quant au </w:t>
            </w:r>
            <w:r w:rsidR="00E95016" w:rsidRPr="007F3E43">
              <w:rPr>
                <w:rFonts w:ascii="Arial" w:hAnsi="Arial"/>
                <w:color w:val="000000"/>
                <w:lang w:val="fr-CA"/>
              </w:rPr>
              <w:t>HLA)</w:t>
            </w:r>
          </w:p>
          <w:p w:rsidR="00E95016" w:rsidRPr="007F3E43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7F3E43" w:rsidRDefault="00F54D10">
            <w:pPr>
              <w:rPr>
                <w:rFonts w:ascii="Arial" w:hAnsi="Arial"/>
                <w:color w:val="000000"/>
                <w:lang w:val="fr-CA"/>
              </w:rPr>
            </w:pPr>
            <w:r w:rsidRPr="007F3E43">
              <w:rPr>
                <w:rFonts w:ascii="Arial" w:hAnsi="Arial"/>
                <w:color w:val="000000"/>
                <w:lang w:val="fr-CA"/>
              </w:rPr>
              <w:t>demande d’une dose inappropriée d’immunoglobuline Rh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9B2F2A" w:rsidRDefault="00F54D10" w:rsidP="008726A4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p</w:t>
            </w:r>
            <w:r w:rsidR="00465C7A" w:rsidRPr="009B2F2A">
              <w:rPr>
                <w:rFonts w:ascii="Arial" w:hAnsi="Arial"/>
                <w:color w:val="000000"/>
                <w:lang w:val="fr-CA"/>
              </w:rPr>
              <w:t>remière demande d’immunoglobuline et de produits de coagulation qui n</w:t>
            </w:r>
            <w:r w:rsidR="007F3E43">
              <w:rPr>
                <w:rFonts w:ascii="Arial" w:hAnsi="Arial"/>
                <w:color w:val="000000"/>
                <w:lang w:val="fr-CA"/>
              </w:rPr>
              <w:t xml:space="preserve">e sont </w:t>
            </w:r>
            <w:r w:rsidR="00465C7A" w:rsidRPr="009B2F2A">
              <w:rPr>
                <w:rFonts w:ascii="Arial" w:hAnsi="Arial"/>
                <w:color w:val="000000"/>
                <w:lang w:val="fr-CA"/>
              </w:rPr>
              <w:t>pas prescrit</w:t>
            </w:r>
            <w:r w:rsidR="007F3E43">
              <w:rPr>
                <w:rFonts w:ascii="Arial" w:hAnsi="Arial"/>
                <w:color w:val="000000"/>
                <w:lang w:val="fr-CA"/>
              </w:rPr>
              <w:t>s</w:t>
            </w:r>
            <w:r w:rsidR="00465C7A" w:rsidRPr="009B2F2A">
              <w:rPr>
                <w:rFonts w:ascii="Arial" w:hAnsi="Arial"/>
                <w:color w:val="000000"/>
                <w:lang w:val="fr-CA"/>
              </w:rPr>
              <w:t xml:space="preserve"> par un hématologue clinicien et/ou qui ne satisf</w:t>
            </w:r>
            <w:r w:rsidR="007F3E43">
              <w:rPr>
                <w:rFonts w:ascii="Arial" w:hAnsi="Arial"/>
                <w:color w:val="000000"/>
                <w:lang w:val="fr-CA"/>
              </w:rPr>
              <w:t>ont</w:t>
            </w:r>
            <w:r w:rsidR="00465C7A" w:rsidRPr="009B2F2A">
              <w:rPr>
                <w:rFonts w:ascii="Arial" w:hAnsi="Arial"/>
                <w:color w:val="000000"/>
                <w:lang w:val="fr-CA"/>
              </w:rPr>
              <w:t xml:space="preserve"> pas aux critères d</w:t>
            </w:r>
            <w:r w:rsidR="008726A4">
              <w:rPr>
                <w:rFonts w:ascii="Arial" w:hAnsi="Arial"/>
                <w:color w:val="000000"/>
                <w:lang w:val="fr-CA"/>
              </w:rPr>
              <w:t xml:space="preserve">u fournisseur de sang </w:t>
            </w:r>
            <w:r w:rsidR="00465C7A" w:rsidRPr="009B2F2A">
              <w:rPr>
                <w:rFonts w:ascii="Arial" w:hAnsi="Arial"/>
                <w:color w:val="000000"/>
                <w:lang w:val="fr-CA"/>
              </w:rPr>
              <w:t xml:space="preserve">quant à leur indication </w:t>
            </w:r>
            <w:r w:rsidR="00465C7A" w:rsidRPr="009B2F2A">
              <w:rPr>
                <w:rFonts w:ascii="Arial" w:hAnsi="Arial"/>
                <w:color w:val="000000"/>
                <w:lang w:val="fr-CA"/>
              </w:rPr>
              <w:br/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FD2E4B" w:rsidRDefault="00E95016">
            <w:pPr>
              <w:pStyle w:val="Heading3"/>
              <w:numPr>
                <w:ilvl w:val="0"/>
                <w:numId w:val="1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Default="00F54D10" w:rsidP="00FD2E4B">
            <w:pPr>
              <w:rPr>
                <w:rFonts w:ascii="Arial" w:hAnsi="Arial"/>
                <w:color w:val="000000"/>
                <w:lang w:val="fr-CA"/>
              </w:rPr>
            </w:pPr>
            <w:r w:rsidRPr="00FD2E4B">
              <w:rPr>
                <w:rFonts w:ascii="Arial" w:hAnsi="Arial"/>
                <w:color w:val="000000"/>
                <w:lang w:val="fr-CA"/>
              </w:rPr>
              <w:t>d</w:t>
            </w:r>
            <w:r w:rsidR="00F51A00" w:rsidRPr="00FD2E4B">
              <w:rPr>
                <w:rFonts w:ascii="Arial" w:hAnsi="Arial"/>
                <w:color w:val="000000"/>
                <w:lang w:val="fr-CA"/>
              </w:rPr>
              <w:t>emande de</w:t>
            </w:r>
            <w:r w:rsidR="008726A4" w:rsidRPr="00FD2E4B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F51A00" w:rsidRPr="00FD2E4B">
              <w:rPr>
                <w:rFonts w:ascii="Arial" w:hAnsi="Arial"/>
                <w:color w:val="000000"/>
                <w:lang w:val="fr-CA"/>
              </w:rPr>
              <w:t>plus</w:t>
            </w:r>
            <w:r w:rsidR="00AA735E">
              <w:rPr>
                <w:rFonts w:ascii="Arial" w:hAnsi="Arial"/>
                <w:color w:val="000000"/>
                <w:lang w:val="fr-CA"/>
              </w:rPr>
              <w:t xml:space="preserve"> ou de moins </w:t>
            </w:r>
            <w:r w:rsidR="00F51A00" w:rsidRPr="00FD2E4B">
              <w:rPr>
                <w:rFonts w:ascii="Arial" w:hAnsi="Arial"/>
                <w:color w:val="000000"/>
                <w:lang w:val="fr-CA"/>
              </w:rPr>
              <w:t xml:space="preserve"> d</w:t>
            </w:r>
            <w:r w:rsidR="008726A4" w:rsidRPr="00FD2E4B">
              <w:rPr>
                <w:rFonts w:ascii="Arial" w:hAnsi="Arial"/>
                <w:color w:val="000000"/>
                <w:lang w:val="fr-CA"/>
              </w:rPr>
              <w:t xml:space="preserve">’une </w:t>
            </w:r>
            <w:r w:rsidR="00C3788B" w:rsidRPr="00FD2E4B">
              <w:rPr>
                <w:rFonts w:ascii="Arial" w:hAnsi="Arial"/>
                <w:color w:val="000000"/>
                <w:lang w:val="fr-CA"/>
              </w:rPr>
              <w:t>unité</w:t>
            </w:r>
            <w:r w:rsidR="00F51A00" w:rsidRPr="00FD2E4B">
              <w:rPr>
                <w:rFonts w:ascii="Arial" w:hAnsi="Arial"/>
                <w:color w:val="000000"/>
                <w:lang w:val="fr-CA"/>
              </w:rPr>
              <w:t xml:space="preserve"> de </w:t>
            </w:r>
            <w:r w:rsidR="00FD2E4B" w:rsidRPr="00FD2E4B">
              <w:rPr>
                <w:rFonts w:ascii="Arial" w:hAnsi="Arial"/>
                <w:color w:val="000000"/>
                <w:lang w:val="fr-CA"/>
              </w:rPr>
              <w:t xml:space="preserve">plaquettes </w:t>
            </w:r>
            <w:r w:rsidR="00F51A00" w:rsidRPr="00FD2E4B">
              <w:rPr>
                <w:rFonts w:ascii="Arial" w:hAnsi="Arial"/>
                <w:color w:val="000000"/>
                <w:lang w:val="fr-CA"/>
              </w:rPr>
              <w:t>destinées à un patient adulte</w:t>
            </w:r>
          </w:p>
          <w:p w:rsidR="00AA735E" w:rsidRPr="00FD2E4B" w:rsidRDefault="00AA735E" w:rsidP="00FD2E4B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9B2F2A" w:rsidRDefault="00F54D10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t</w:t>
            </w:r>
            <w:r w:rsidR="00E95016" w:rsidRPr="009B2F2A">
              <w:rPr>
                <w:rFonts w:ascii="Arial" w:hAnsi="Arial"/>
                <w:color w:val="000000"/>
                <w:lang w:val="fr-CA"/>
              </w:rPr>
              <w:t xml:space="preserve">ransfusion </w:t>
            </w:r>
            <w:r w:rsidR="009B2F2A" w:rsidRPr="009B2F2A">
              <w:rPr>
                <w:rFonts w:ascii="Arial" w:hAnsi="Arial"/>
                <w:color w:val="000000"/>
                <w:lang w:val="fr-CA"/>
              </w:rPr>
              <w:t>de plaquettes trois</w:t>
            </w:r>
            <w:r w:rsidR="004A1433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8726A4">
              <w:rPr>
                <w:rFonts w:ascii="Arial" w:hAnsi="Arial"/>
                <w:color w:val="000000"/>
                <w:lang w:val="fr-CA"/>
              </w:rPr>
              <w:t xml:space="preserve">(3) </w:t>
            </w:r>
            <w:r w:rsidR="009B2F2A" w:rsidRPr="009B2F2A">
              <w:rPr>
                <w:rFonts w:ascii="Arial" w:hAnsi="Arial"/>
                <w:color w:val="000000"/>
                <w:lang w:val="fr-CA"/>
              </w:rPr>
              <w:t xml:space="preserve"> jours de suite si l’ordonnance n’a pas été faite par un </w:t>
            </w:r>
            <w:r w:rsidR="00E95016" w:rsidRPr="009B2F2A">
              <w:rPr>
                <w:rFonts w:ascii="Arial" w:hAnsi="Arial"/>
                <w:color w:val="000000"/>
                <w:lang w:val="fr-CA"/>
              </w:rPr>
              <w:t>h</w:t>
            </w:r>
            <w:r w:rsidR="009B2F2A" w:rsidRPr="009B2F2A">
              <w:rPr>
                <w:rFonts w:ascii="Arial" w:hAnsi="Arial"/>
                <w:color w:val="000000"/>
                <w:lang w:val="fr-CA"/>
              </w:rPr>
              <w:t>é</w:t>
            </w:r>
            <w:r w:rsidR="00E95016" w:rsidRPr="009B2F2A">
              <w:rPr>
                <w:rFonts w:ascii="Arial" w:hAnsi="Arial"/>
                <w:color w:val="000000"/>
                <w:lang w:val="fr-CA"/>
              </w:rPr>
              <w:t>matolog</w:t>
            </w:r>
            <w:r w:rsidR="009B2F2A" w:rsidRPr="009B2F2A">
              <w:rPr>
                <w:rFonts w:ascii="Arial" w:hAnsi="Arial"/>
                <w:color w:val="000000"/>
                <w:lang w:val="fr-CA"/>
              </w:rPr>
              <w:t>ue</w:t>
            </w:r>
          </w:p>
          <w:p w:rsidR="00E95016" w:rsidRPr="009B2F2A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1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437C07" w:rsidRDefault="00000AB6" w:rsidP="00000AB6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>demande d</w:t>
            </w:r>
            <w:r w:rsidR="004A1433">
              <w:rPr>
                <w:rFonts w:ascii="Arial" w:hAnsi="Arial"/>
                <w:color w:val="000000"/>
                <w:lang w:val="fr-CA"/>
              </w:rPr>
              <w:t>e</w:t>
            </w:r>
            <w:r w:rsidRPr="00437C07">
              <w:rPr>
                <w:rFonts w:ascii="Arial" w:hAnsi="Arial"/>
                <w:color w:val="000000"/>
                <w:lang w:val="fr-CA"/>
              </w:rPr>
              <w:t xml:space="preserve"> produit sanguin répondant à certains critères qui n'est pas disponible pour un patient précis, </w:t>
            </w:r>
            <w:r w:rsidR="0079066A">
              <w:rPr>
                <w:rFonts w:ascii="Arial" w:hAnsi="Arial"/>
                <w:color w:val="000000"/>
                <w:lang w:val="fr-CA"/>
              </w:rPr>
              <w:t xml:space="preserve">p. </w:t>
            </w:r>
            <w:r w:rsidRPr="00437C07">
              <w:rPr>
                <w:rFonts w:ascii="Arial" w:hAnsi="Arial"/>
                <w:color w:val="000000"/>
                <w:lang w:val="fr-CA"/>
              </w:rPr>
              <w:t xml:space="preserve">ex. </w:t>
            </w:r>
            <w:r w:rsidR="00AA735E">
              <w:rPr>
                <w:rFonts w:ascii="Arial" w:hAnsi="Arial"/>
                <w:color w:val="000000"/>
                <w:lang w:val="fr-CA"/>
              </w:rPr>
              <w:t xml:space="preserve">produit </w:t>
            </w:r>
            <w:r w:rsidRPr="00437C07">
              <w:rPr>
                <w:rFonts w:ascii="Arial" w:hAnsi="Arial"/>
                <w:color w:val="000000"/>
                <w:lang w:val="fr-CA"/>
              </w:rPr>
              <w:t>CMV</w:t>
            </w:r>
            <w:r w:rsidR="00AA735E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37C07">
              <w:rPr>
                <w:rFonts w:ascii="Arial" w:hAnsi="Arial"/>
                <w:color w:val="000000"/>
                <w:lang w:val="fr-CA"/>
              </w:rPr>
              <w:t xml:space="preserve">séronégatif pour </w:t>
            </w:r>
            <w:r w:rsidR="00AA735E">
              <w:rPr>
                <w:rFonts w:ascii="Arial" w:hAnsi="Arial"/>
                <w:color w:val="000000"/>
                <w:lang w:val="fr-CA"/>
              </w:rPr>
              <w:t>un nouveau-né de petit poids à la naissance</w:t>
            </w:r>
          </w:p>
          <w:p w:rsidR="00E95016" w:rsidRPr="00437C07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 w:rsidP="00FD2E4B">
            <w:pPr>
              <w:pStyle w:val="Heading3"/>
              <w:numPr>
                <w:ilvl w:val="0"/>
                <w:numId w:val="11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437C07" w:rsidRDefault="00000AB6" w:rsidP="00AA735E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 xml:space="preserve">produit </w:t>
            </w:r>
            <w:r w:rsidR="00AA735E">
              <w:rPr>
                <w:rFonts w:ascii="Arial" w:hAnsi="Arial"/>
                <w:color w:val="000000"/>
                <w:lang w:val="fr-CA"/>
              </w:rPr>
              <w:t xml:space="preserve">qui </w:t>
            </w:r>
            <w:r w:rsidRPr="00437C07">
              <w:rPr>
                <w:rFonts w:ascii="Arial" w:hAnsi="Arial"/>
                <w:color w:val="000000"/>
                <w:lang w:val="fr-CA"/>
              </w:rPr>
              <w:t>ne satisfait pas aux critères de l'inspection visuelle</w:t>
            </w:r>
            <w:r w:rsidR="008726A4">
              <w:rPr>
                <w:rFonts w:ascii="Arial" w:hAnsi="Arial"/>
                <w:color w:val="000000"/>
                <w:lang w:val="fr-CA"/>
              </w:rPr>
              <w:t xml:space="preserve">, dépasse la température d’entreposage exigée pendant le transport ou </w:t>
            </w:r>
            <w:r w:rsidRPr="00437C07">
              <w:rPr>
                <w:rFonts w:ascii="Arial" w:hAnsi="Arial"/>
                <w:color w:val="000000"/>
                <w:lang w:val="fr-CA"/>
              </w:rPr>
              <w:t>qu</w:t>
            </w:r>
            <w:r w:rsidR="00AA735E">
              <w:rPr>
                <w:rFonts w:ascii="Arial" w:hAnsi="Arial"/>
                <w:color w:val="000000"/>
                <w:lang w:val="fr-CA"/>
              </w:rPr>
              <w:t xml:space="preserve">i pourrait être </w:t>
            </w:r>
            <w:r w:rsidRPr="00437C07">
              <w:rPr>
                <w:rFonts w:ascii="Arial" w:hAnsi="Arial"/>
                <w:color w:val="000000"/>
                <w:lang w:val="fr-CA"/>
              </w:rPr>
              <w:t>contamin</w:t>
            </w:r>
            <w:r w:rsidR="00AA735E">
              <w:rPr>
                <w:rFonts w:ascii="Arial" w:hAnsi="Arial"/>
                <w:color w:val="000000"/>
                <w:lang w:val="fr-CA"/>
              </w:rPr>
              <w:t>ée</w:t>
            </w:r>
            <w:r w:rsidR="00FD2E4B">
              <w:rPr>
                <w:rFonts w:ascii="Arial" w:hAnsi="Arial"/>
                <w:color w:val="000000"/>
                <w:lang w:val="fr-CA"/>
              </w:rPr>
              <w:br/>
            </w:r>
          </w:p>
        </w:tc>
      </w:tr>
      <w:tr w:rsidR="00FD2E4B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35" w:type="dxa"/>
          </w:tcPr>
          <w:p w:rsidR="00FD2E4B" w:rsidRPr="00A4551B" w:rsidRDefault="00FD2E4B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FD2E4B" w:rsidRPr="00A4551B" w:rsidRDefault="00FD2E4B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FD2E4B" w:rsidRPr="00A4551B" w:rsidRDefault="00FD2E4B" w:rsidP="00FD2E4B">
            <w:pPr>
              <w:pStyle w:val="Heading3"/>
              <w:numPr>
                <w:ilvl w:val="0"/>
                <w:numId w:val="11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FD2E4B" w:rsidRDefault="00AA735E" w:rsidP="00AA735E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possibilité de s</w:t>
            </w:r>
            <w:r w:rsidR="00FD2E4B">
              <w:rPr>
                <w:rFonts w:ascii="Arial" w:hAnsi="Arial"/>
                <w:color w:val="000000"/>
                <w:lang w:val="fr-CA"/>
              </w:rPr>
              <w:t xml:space="preserve">e servir de réactifs périmés en attendant l’arrivée de nouveaux réactifs 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4551B">
              <w:rPr>
                <w:rFonts w:ascii="Arial" w:hAnsi="Arial"/>
                <w:lang w:val="fr-CA"/>
              </w:rPr>
              <w:t>6.3</w:t>
            </w:r>
          </w:p>
        </w:tc>
        <w:tc>
          <w:tcPr>
            <w:tcW w:w="7451" w:type="dxa"/>
            <w:gridSpan w:val="3"/>
          </w:tcPr>
          <w:p w:rsidR="00E95016" w:rsidRPr="00437C07" w:rsidRDefault="00000AB6" w:rsidP="00000AB6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 xml:space="preserve">Le directeur médical ou son représentant doit </w:t>
            </w:r>
            <w:r w:rsidR="0079066A">
              <w:rPr>
                <w:rFonts w:ascii="Arial" w:hAnsi="Arial"/>
                <w:color w:val="000000"/>
                <w:lang w:val="fr-CA"/>
              </w:rPr>
              <w:t>revoir </w:t>
            </w:r>
            <w:r w:rsidRPr="00437C07">
              <w:rPr>
                <w:rFonts w:ascii="Arial" w:hAnsi="Arial"/>
                <w:color w:val="000000"/>
                <w:lang w:val="fr-CA"/>
              </w:rPr>
              <w:t xml:space="preserve">: 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2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437C07" w:rsidRDefault="00000AB6" w:rsidP="00000AB6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>toutes les réactions transfusionnell</w:t>
            </w:r>
            <w:r w:rsidR="00437C07">
              <w:rPr>
                <w:rFonts w:ascii="Arial" w:hAnsi="Arial"/>
                <w:color w:val="000000"/>
                <w:lang w:val="fr-CA"/>
              </w:rPr>
              <w:t>e</w:t>
            </w:r>
            <w:r w:rsidRPr="00437C07">
              <w:rPr>
                <w:rFonts w:ascii="Arial" w:hAnsi="Arial"/>
                <w:color w:val="000000"/>
                <w:lang w:val="fr-CA"/>
              </w:rPr>
              <w:t>s</w:t>
            </w:r>
          </w:p>
          <w:p w:rsidR="00E95016" w:rsidRPr="00437C07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2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437C07" w:rsidRDefault="00000AB6" w:rsidP="00000AB6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>le titrage anormal d'agglutinines froides</w:t>
            </w:r>
          </w:p>
          <w:p w:rsidR="00E95016" w:rsidRPr="00437C07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3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437C07" w:rsidRDefault="00437C07" w:rsidP="00000AB6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 xml:space="preserve">les </w:t>
            </w:r>
            <w:r w:rsidR="00000AB6" w:rsidRPr="00437C07">
              <w:rPr>
                <w:rFonts w:ascii="Arial" w:hAnsi="Arial"/>
                <w:color w:val="000000"/>
                <w:lang w:val="fr-CA"/>
              </w:rPr>
              <w:t>TDA positif</w:t>
            </w:r>
            <w:r w:rsidRPr="00437C07">
              <w:rPr>
                <w:rFonts w:ascii="Arial" w:hAnsi="Arial"/>
                <w:color w:val="000000"/>
                <w:lang w:val="fr-CA"/>
              </w:rPr>
              <w:t>s</w:t>
            </w:r>
            <w:r w:rsidR="00E95016" w:rsidRPr="00437C07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3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437C07" w:rsidRDefault="00437C07" w:rsidP="00000AB6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>le r</w:t>
            </w:r>
            <w:r w:rsidR="00000AB6" w:rsidRPr="00437C07">
              <w:rPr>
                <w:rFonts w:ascii="Arial" w:hAnsi="Arial"/>
                <w:color w:val="000000"/>
                <w:lang w:val="fr-CA"/>
              </w:rPr>
              <w:t xml:space="preserve">etrait ou rappel de produit sanguin, </w:t>
            </w:r>
            <w:r w:rsidRPr="00437C07">
              <w:rPr>
                <w:rFonts w:ascii="Arial" w:hAnsi="Arial"/>
                <w:color w:val="000000"/>
                <w:lang w:val="fr-CA"/>
              </w:rPr>
              <w:t xml:space="preserve">le </w:t>
            </w:r>
            <w:r w:rsidR="00000AB6" w:rsidRPr="00437C07">
              <w:rPr>
                <w:rFonts w:ascii="Arial" w:hAnsi="Arial"/>
                <w:color w:val="000000"/>
                <w:lang w:val="fr-CA"/>
              </w:rPr>
              <w:t>retraçage de donneurs ou de receveurs</w:t>
            </w:r>
          </w:p>
          <w:p w:rsidR="00E95016" w:rsidRPr="00437C07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3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437C07" w:rsidRDefault="00437C07" w:rsidP="00000AB6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>les e</w:t>
            </w:r>
            <w:r w:rsidR="00000AB6" w:rsidRPr="00437C07">
              <w:rPr>
                <w:rFonts w:ascii="Arial" w:hAnsi="Arial"/>
                <w:color w:val="000000"/>
                <w:lang w:val="fr-CA"/>
              </w:rPr>
              <w:t xml:space="preserve">rreurs et incidents signalés au </w:t>
            </w:r>
            <w:r w:rsidR="008726A4">
              <w:rPr>
                <w:rFonts w:ascii="Arial" w:hAnsi="Arial"/>
                <w:color w:val="000000"/>
                <w:lang w:val="fr-CA"/>
              </w:rPr>
              <w:t xml:space="preserve">LMT </w:t>
            </w:r>
            <w:r w:rsidR="00000AB6" w:rsidRPr="00437C07">
              <w:rPr>
                <w:rFonts w:ascii="Arial" w:hAnsi="Arial"/>
                <w:color w:val="000000"/>
                <w:lang w:val="fr-CA"/>
              </w:rPr>
              <w:t>ou par ce dernier</w:t>
            </w:r>
          </w:p>
          <w:p w:rsidR="00E95016" w:rsidRPr="00437C07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 w:rsidTr="00AA7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E95016" w:rsidRPr="00A4551B" w:rsidRDefault="00E9501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06" w:type="dxa"/>
          </w:tcPr>
          <w:p w:rsidR="00E95016" w:rsidRPr="00A4551B" w:rsidRDefault="00E95016">
            <w:pPr>
              <w:pStyle w:val="Heading3"/>
              <w:numPr>
                <w:ilvl w:val="0"/>
                <w:numId w:val="13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745" w:type="dxa"/>
            <w:gridSpan w:val="2"/>
          </w:tcPr>
          <w:p w:rsidR="00E95016" w:rsidRPr="00437C07" w:rsidRDefault="00E95016" w:rsidP="008726A4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>I</w:t>
            </w:r>
            <w:r w:rsidR="00437C07" w:rsidRPr="00437C07">
              <w:rPr>
                <w:rFonts w:ascii="Arial" w:hAnsi="Arial"/>
                <w:color w:val="000000"/>
                <w:lang w:val="fr-CA"/>
              </w:rPr>
              <w:t>es niveaux d’i</w:t>
            </w:r>
            <w:r w:rsidRPr="00437C07">
              <w:rPr>
                <w:rFonts w:ascii="Arial" w:hAnsi="Arial"/>
                <w:color w:val="000000"/>
                <w:lang w:val="fr-CA"/>
              </w:rPr>
              <w:t>mmunoglobulin</w:t>
            </w:r>
            <w:r w:rsidR="00437C07" w:rsidRPr="00437C07">
              <w:rPr>
                <w:rFonts w:ascii="Arial" w:hAnsi="Arial"/>
                <w:color w:val="000000"/>
                <w:lang w:val="fr-CA"/>
              </w:rPr>
              <w:t>e de patients dont les résultats aux épreuves sériques sont faibles ou absents (sauf les greffés de moelle osseuse</w:t>
            </w:r>
            <w:r w:rsidRPr="00437C07">
              <w:rPr>
                <w:rFonts w:ascii="Arial" w:hAnsi="Arial"/>
                <w:color w:val="000000"/>
                <w:lang w:val="fr-CA"/>
              </w:rPr>
              <w:t>)</w:t>
            </w:r>
          </w:p>
        </w:tc>
      </w:tr>
    </w:tbl>
    <w:p w:rsidR="00E95016" w:rsidRPr="00A4551B" w:rsidRDefault="00E95016">
      <w:pPr>
        <w:rPr>
          <w:rFonts w:ascii="Arial" w:hAnsi="Arial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7168"/>
      </w:tblGrid>
      <w:tr w:rsidR="00E95016" w:rsidRPr="00A45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8" w:type="dxa"/>
            <w:gridSpan w:val="3"/>
          </w:tcPr>
          <w:p w:rsidR="00E95016" w:rsidRPr="00000AB6" w:rsidRDefault="00000AB6" w:rsidP="00374553">
            <w:pPr>
              <w:pStyle w:val="Heading1"/>
            </w:pPr>
            <w:r w:rsidRPr="00000AB6">
              <w:t>Documentation</w:t>
            </w:r>
          </w:p>
        </w:tc>
      </w:tr>
      <w:tr w:rsidR="00E95016" w:rsidRPr="00A45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000AB6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E95016" w:rsidRPr="00000AB6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>7.1</w:t>
            </w:r>
          </w:p>
        </w:tc>
        <w:tc>
          <w:tcPr>
            <w:tcW w:w="7168" w:type="dxa"/>
          </w:tcPr>
          <w:p w:rsidR="00E95016" w:rsidRPr="00000AB6" w:rsidRDefault="00000AB6" w:rsidP="00FD2E4B">
            <w:pPr>
              <w:rPr>
                <w:rFonts w:ascii="Arial" w:hAnsi="Arial"/>
                <w:color w:val="000000"/>
                <w:lang w:val="fr-CA"/>
              </w:rPr>
            </w:pPr>
            <w:r w:rsidRPr="00000AB6">
              <w:rPr>
                <w:rFonts w:ascii="Arial" w:hAnsi="Arial"/>
                <w:color w:val="000000"/>
                <w:lang w:val="fr-CA"/>
              </w:rPr>
              <w:t xml:space="preserve">Documenter toute discussion avec le </w:t>
            </w:r>
            <w:r w:rsidR="00FD2E4B">
              <w:rPr>
                <w:rFonts w:ascii="Arial" w:hAnsi="Arial"/>
                <w:color w:val="000000"/>
                <w:lang w:val="fr-CA"/>
              </w:rPr>
              <w:t>directeur médical ou son représentant</w:t>
            </w:r>
            <w:r w:rsidRPr="00000AB6">
              <w:rPr>
                <w:rFonts w:ascii="Arial" w:hAnsi="Arial"/>
                <w:color w:val="000000"/>
                <w:lang w:val="fr-CA"/>
              </w:rPr>
              <w:t>.</w:t>
            </w:r>
            <w:r w:rsidR="00E95016" w:rsidRPr="00000AB6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000AB6">
              <w:rPr>
                <w:rFonts w:ascii="Arial" w:hAnsi="Arial"/>
                <w:color w:val="000000"/>
                <w:lang w:val="fr-CA"/>
              </w:rPr>
              <w:t>Inscrire la date, l’heure et le nom de toute personne concernée, les conversations, les décisions et le suivi qui ont fait partie de la démarche de consultation</w:t>
            </w:r>
            <w:r w:rsidR="00FD2E4B">
              <w:rPr>
                <w:rFonts w:ascii="Arial" w:hAnsi="Arial"/>
                <w:color w:val="000000"/>
                <w:lang w:val="fr-CA"/>
              </w:rPr>
              <w:t xml:space="preserve"> dans le dossier transfusionnel du patient</w:t>
            </w:r>
            <w:r w:rsidRPr="00000AB6">
              <w:rPr>
                <w:rFonts w:ascii="Arial" w:hAnsi="Arial"/>
                <w:color w:val="000000"/>
                <w:lang w:val="fr-CA"/>
              </w:rPr>
              <w:t xml:space="preserve">. </w:t>
            </w:r>
          </w:p>
        </w:tc>
      </w:tr>
    </w:tbl>
    <w:p w:rsidR="00E95016" w:rsidRPr="00A4551B" w:rsidRDefault="00E95016">
      <w:pPr>
        <w:rPr>
          <w:rFonts w:ascii="Arial" w:hAnsi="Arial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7168"/>
      </w:tblGrid>
      <w:tr w:rsidR="00E95016" w:rsidRPr="00A45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8" w:type="dxa"/>
            <w:gridSpan w:val="3"/>
          </w:tcPr>
          <w:p w:rsidR="00E95016" w:rsidRPr="00437C07" w:rsidRDefault="009C566A" w:rsidP="00374553">
            <w:pPr>
              <w:pStyle w:val="Heading1"/>
            </w:pPr>
            <w:r w:rsidRPr="00437C07">
              <w:t>Remarques</w:t>
            </w:r>
          </w:p>
        </w:tc>
      </w:tr>
      <w:tr w:rsidR="00E95016" w:rsidRPr="00A45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E95016" w:rsidRPr="00437C07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E95016" w:rsidRPr="00437C07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>8.1</w:t>
            </w:r>
          </w:p>
        </w:tc>
        <w:tc>
          <w:tcPr>
            <w:tcW w:w="7168" w:type="dxa"/>
          </w:tcPr>
          <w:p w:rsidR="00E95016" w:rsidRPr="00437C07" w:rsidRDefault="00437C07">
            <w:pPr>
              <w:rPr>
                <w:rFonts w:ascii="Arial" w:hAnsi="Arial"/>
                <w:color w:val="000000"/>
                <w:lang w:val="fr-CA"/>
              </w:rPr>
            </w:pPr>
            <w:r w:rsidRPr="00437C07">
              <w:rPr>
                <w:rFonts w:ascii="Arial" w:hAnsi="Arial"/>
                <w:color w:val="000000"/>
                <w:lang w:val="fr-CA"/>
              </w:rPr>
              <w:t>Une transfusion massive est une tran</w:t>
            </w:r>
            <w:r>
              <w:rPr>
                <w:rFonts w:ascii="Arial" w:hAnsi="Arial"/>
                <w:color w:val="000000"/>
                <w:lang w:val="fr-CA"/>
              </w:rPr>
              <w:t>s</w:t>
            </w:r>
            <w:r w:rsidRPr="00437C07">
              <w:rPr>
                <w:rFonts w:ascii="Arial" w:hAnsi="Arial"/>
                <w:color w:val="000000"/>
                <w:lang w:val="fr-CA"/>
              </w:rPr>
              <w:t xml:space="preserve">fusion de </w:t>
            </w:r>
            <w:r w:rsidR="00E95016" w:rsidRPr="00437C07">
              <w:rPr>
                <w:rFonts w:ascii="Arial" w:hAnsi="Arial"/>
                <w:color w:val="000000"/>
                <w:lang w:val="fr-CA"/>
              </w:rPr>
              <w:t xml:space="preserve">10 </w:t>
            </w:r>
            <w:r w:rsidRPr="00437C07">
              <w:rPr>
                <w:rFonts w:ascii="Arial" w:hAnsi="Arial"/>
                <w:color w:val="000000"/>
                <w:lang w:val="fr-CA"/>
              </w:rPr>
              <w:t xml:space="preserve">unités de sang ou plus chez un patient adulte ou le remplacement d’au moins le volume sanguin du patient en 24 heures. </w:t>
            </w:r>
          </w:p>
        </w:tc>
      </w:tr>
    </w:tbl>
    <w:p w:rsidR="00E95016" w:rsidRPr="00A4551B" w:rsidRDefault="00E95016">
      <w:pPr>
        <w:rPr>
          <w:rFonts w:ascii="Arial" w:hAnsi="Arial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7"/>
        <w:gridCol w:w="803"/>
        <w:gridCol w:w="32"/>
        <w:gridCol w:w="7168"/>
      </w:tblGrid>
      <w:tr w:rsidR="00E95016" w:rsidRPr="00A45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8" w:type="dxa"/>
            <w:gridSpan w:val="5"/>
          </w:tcPr>
          <w:p w:rsidR="00E95016" w:rsidRPr="00A4551B" w:rsidRDefault="00E95016" w:rsidP="00374553">
            <w:pPr>
              <w:pStyle w:val="Heading1"/>
            </w:pPr>
            <w:r w:rsidRPr="00A4551B">
              <w:t>R</w:t>
            </w:r>
            <w:r w:rsidR="009C566A" w:rsidRPr="00A4551B">
              <w:t>éfé</w:t>
            </w:r>
            <w:r w:rsidRPr="00A4551B">
              <w:t>rences</w:t>
            </w:r>
          </w:p>
        </w:tc>
      </w:tr>
      <w:tr w:rsidR="00E95016" w:rsidRPr="00A45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E95016" w:rsidRPr="00A4551B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95016" w:rsidRPr="00A4551B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4551B">
              <w:rPr>
                <w:rFonts w:ascii="Arial" w:hAnsi="Arial"/>
                <w:color w:val="000000"/>
                <w:lang w:val="fr-CA"/>
              </w:rPr>
              <w:t>9.1</w:t>
            </w:r>
          </w:p>
        </w:tc>
        <w:tc>
          <w:tcPr>
            <w:tcW w:w="7200" w:type="dxa"/>
            <w:gridSpan w:val="2"/>
          </w:tcPr>
          <w:p w:rsidR="00E95016" w:rsidRPr="00A4551B" w:rsidRDefault="00965590">
            <w:pPr>
              <w:rPr>
                <w:rFonts w:ascii="Arial" w:hAnsi="Arial"/>
                <w:color w:val="000000"/>
                <w:lang w:val="fr-CA"/>
              </w:rPr>
            </w:pPr>
            <w:r w:rsidRPr="004A1433">
              <w:rPr>
                <w:rFonts w:ascii="Arial" w:hAnsi="Arial"/>
                <w:i/>
                <w:color w:val="000000"/>
                <w:lang w:val="fr-CA"/>
              </w:rPr>
              <w:t>Standards for Hospital Transfusion Services</w:t>
            </w:r>
            <w:r w:rsidR="00FD2E4B">
              <w:rPr>
                <w:rFonts w:ascii="Arial" w:hAnsi="Arial"/>
                <w:color w:val="000000"/>
                <w:lang w:val="fr-CA"/>
              </w:rPr>
              <w:t>, version 3</w:t>
            </w:r>
            <w:r w:rsidRPr="00965590">
              <w:rPr>
                <w:rFonts w:ascii="Arial" w:hAnsi="Arial"/>
                <w:color w:val="000000"/>
                <w:lang w:val="fr-CA"/>
              </w:rPr>
              <w:t xml:space="preserve">, </w:t>
            </w:r>
            <w:r w:rsidR="00FD2E4B">
              <w:rPr>
                <w:rFonts w:ascii="Arial" w:hAnsi="Arial"/>
                <w:color w:val="000000"/>
                <w:lang w:val="fr-CA"/>
              </w:rPr>
              <w:t>février 2011</w:t>
            </w:r>
            <w:r w:rsidRPr="00965590">
              <w:rPr>
                <w:rFonts w:ascii="Arial" w:hAnsi="Arial"/>
                <w:color w:val="000000"/>
                <w:lang w:val="fr-CA"/>
              </w:rPr>
              <w:t xml:space="preserve">, Société canadienne de médecine transfusionnelle, </w:t>
            </w:r>
            <w:r>
              <w:rPr>
                <w:rFonts w:ascii="Arial" w:hAnsi="Arial"/>
                <w:color w:val="000000"/>
                <w:lang w:val="fr-CA"/>
              </w:rPr>
              <w:t>1.2, 1.</w:t>
            </w:r>
            <w:r w:rsidR="00FD2E4B">
              <w:rPr>
                <w:rFonts w:ascii="Arial" w:hAnsi="Arial"/>
                <w:color w:val="000000"/>
                <w:lang w:val="fr-CA"/>
              </w:rPr>
              <w:t>4</w:t>
            </w:r>
            <w:r w:rsidR="00E95016" w:rsidRPr="00A4551B">
              <w:rPr>
                <w:rFonts w:ascii="Arial" w:hAnsi="Arial"/>
                <w:color w:val="000000"/>
                <w:lang w:val="fr-CA"/>
              </w:rPr>
              <w:t>.</w:t>
            </w:r>
          </w:p>
          <w:p w:rsidR="00E95016" w:rsidRPr="00A4551B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95016" w:rsidRPr="00A4551B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835" w:type="dxa"/>
            <w:gridSpan w:val="2"/>
          </w:tcPr>
          <w:p w:rsidR="00E95016" w:rsidRPr="00A4551B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95016" w:rsidRPr="00A4551B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4551B">
              <w:rPr>
                <w:rFonts w:ascii="Arial" w:hAnsi="Arial"/>
                <w:color w:val="000000"/>
                <w:lang w:val="fr-CA"/>
              </w:rPr>
              <w:t>9.2</w:t>
            </w:r>
          </w:p>
        </w:tc>
        <w:tc>
          <w:tcPr>
            <w:tcW w:w="7168" w:type="dxa"/>
          </w:tcPr>
          <w:p w:rsidR="00E95016" w:rsidRPr="00FD2E4B" w:rsidRDefault="00635454" w:rsidP="00AA735E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lang w:val="fr-CA"/>
              </w:rPr>
            </w:pPr>
            <w:r w:rsidRPr="000A36CC">
              <w:rPr>
                <w:rFonts w:ascii="Arial" w:hAnsi="Arial" w:cs="Arial"/>
                <w:i/>
                <w:color w:val="000000"/>
                <w:lang w:val="fr-CA"/>
              </w:rPr>
              <w:t>IQMH Accreditation Requirements and Guidance Information</w:t>
            </w:r>
            <w:r>
              <w:rPr>
                <w:rFonts w:ascii="Arial" w:hAnsi="Arial" w:cs="Arial"/>
                <w:color w:val="000000"/>
                <w:lang w:val="fr-CA"/>
              </w:rPr>
              <w:t>, v6 (décembre 2013) 1.B.10; 1.C.1</w:t>
            </w:r>
            <w:r w:rsidR="00AA735E">
              <w:rPr>
                <w:rFonts w:ascii="Arial" w:hAnsi="Arial" w:cs="Arial"/>
                <w:color w:val="000000"/>
                <w:lang w:val="fr-CA"/>
              </w:rPr>
              <w:t>.</w:t>
            </w:r>
            <w:r w:rsidRPr="00FD2E4B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</w:p>
        </w:tc>
      </w:tr>
      <w:tr w:rsidR="00E95016" w:rsidRPr="00A4551B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</w:tcPr>
          <w:p w:rsidR="00E95016" w:rsidRPr="00A4551B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95016" w:rsidRPr="00A4551B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4551B">
              <w:rPr>
                <w:rFonts w:ascii="Arial" w:hAnsi="Arial"/>
                <w:color w:val="000000"/>
                <w:lang w:val="fr-CA"/>
              </w:rPr>
              <w:t>9.3</w:t>
            </w:r>
          </w:p>
        </w:tc>
        <w:tc>
          <w:tcPr>
            <w:tcW w:w="7168" w:type="dxa"/>
          </w:tcPr>
          <w:p w:rsidR="00E95016" w:rsidRDefault="00635454">
            <w:pPr>
              <w:rPr>
                <w:rFonts w:ascii="Arial" w:hAnsi="Arial" w:cs="Arial"/>
                <w:color w:val="000000"/>
                <w:lang w:val="fr-CA"/>
              </w:rPr>
            </w:pPr>
            <w:r w:rsidRPr="000A36CC">
              <w:rPr>
                <w:rFonts w:ascii="Arial" w:hAnsi="Arial" w:cs="Arial"/>
                <w:i/>
                <w:color w:val="000000"/>
                <w:lang w:val="fr-CA"/>
              </w:rPr>
              <w:t>Clinical Guide to Transfusion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 (version la plus récente); </w:t>
            </w:r>
            <w:hyperlink r:id="rId7" w:history="1">
              <w:r w:rsidRPr="00127A7C">
                <w:rPr>
                  <w:rStyle w:val="Hyperlink"/>
                  <w:rFonts w:ascii="Arial" w:hAnsi="Arial" w:cs="Arial"/>
                  <w:lang w:val="fr-CA"/>
                </w:rPr>
                <w:t>www.transfusionmedecine.ca</w:t>
              </w:r>
            </w:hyperlink>
          </w:p>
          <w:p w:rsidR="00635454" w:rsidRPr="00FD2E4B" w:rsidRDefault="00635454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E95016" w:rsidRPr="00A4551B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</w:tcPr>
          <w:p w:rsidR="00E95016" w:rsidRPr="00A4551B" w:rsidRDefault="00E9501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95016" w:rsidRPr="00A4551B" w:rsidRDefault="00E9501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4551B">
              <w:rPr>
                <w:rFonts w:ascii="Arial" w:hAnsi="Arial"/>
                <w:color w:val="000000"/>
                <w:lang w:val="fr-CA"/>
              </w:rPr>
              <w:t>9.4</w:t>
            </w:r>
          </w:p>
        </w:tc>
        <w:tc>
          <w:tcPr>
            <w:tcW w:w="7168" w:type="dxa"/>
          </w:tcPr>
          <w:p w:rsidR="00E95016" w:rsidRPr="00FD2E4B" w:rsidRDefault="00635454" w:rsidP="00AA735E">
            <w:pPr>
              <w:rPr>
                <w:rFonts w:ascii="Arial" w:hAnsi="Arial" w:cs="Arial"/>
                <w:color w:val="000000"/>
                <w:lang w:val="fr-CA"/>
              </w:rPr>
            </w:pPr>
            <w:r w:rsidRPr="000A36CC">
              <w:rPr>
                <w:rFonts w:ascii="Arial" w:hAnsi="Arial" w:cs="Arial"/>
                <w:i/>
                <w:color w:val="000000"/>
                <w:lang w:val="fr-CA"/>
              </w:rPr>
              <w:t>Sang difficulté 3 : transfusions sanguines, alternatives et réactions transfusionnelles</w:t>
            </w:r>
            <w:r>
              <w:rPr>
                <w:rFonts w:ascii="Arial" w:hAnsi="Arial" w:cs="Arial"/>
                <w:color w:val="000000"/>
                <w:lang w:val="fr-CA"/>
              </w:rPr>
              <w:t>. 3</w:t>
            </w:r>
            <w:r w:rsidRPr="00635454">
              <w:rPr>
                <w:rFonts w:ascii="Arial" w:hAnsi="Arial" w:cs="Arial"/>
                <w:color w:val="000000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 édition</w:t>
            </w:r>
            <w:r w:rsidR="00AA735E">
              <w:rPr>
                <w:rFonts w:ascii="Arial" w:hAnsi="Arial" w:cs="Arial"/>
                <w:color w:val="000000"/>
                <w:lang w:val="fr-CA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fr-CA"/>
              </w:rPr>
              <w:t>2011</w:t>
            </w:r>
            <w:r w:rsidR="00AA735E">
              <w:rPr>
                <w:rFonts w:ascii="Arial" w:hAnsi="Arial" w:cs="Arial"/>
                <w:color w:val="000000"/>
                <w:lang w:val="fr-CA"/>
              </w:rPr>
              <w:t>)</w:t>
            </w:r>
            <w:r>
              <w:rPr>
                <w:rFonts w:ascii="Arial" w:hAnsi="Arial" w:cs="Arial"/>
                <w:color w:val="000000"/>
                <w:lang w:val="fr-CA"/>
              </w:rPr>
              <w:t>.</w:t>
            </w:r>
          </w:p>
        </w:tc>
      </w:tr>
    </w:tbl>
    <w:p w:rsidR="00E95016" w:rsidRDefault="00E95016">
      <w:pPr>
        <w:rPr>
          <w:rFonts w:ascii="Arial" w:hAnsi="Arial"/>
          <w:color w:val="000000"/>
          <w:lang w:val="fr-CA"/>
        </w:rPr>
      </w:pPr>
    </w:p>
    <w:p w:rsidR="00635454" w:rsidRPr="003837EB" w:rsidRDefault="00635454" w:rsidP="00635454">
      <w:pPr>
        <w:ind w:left="720"/>
        <w:rPr>
          <w:rFonts w:ascii="Arial" w:hAnsi="Arial"/>
          <w:color w:val="000000"/>
          <w:szCs w:val="24"/>
          <w:lang w:val="fr-CA"/>
        </w:rPr>
      </w:pPr>
    </w:p>
    <w:p w:rsidR="00635454" w:rsidRPr="00D86D02" w:rsidRDefault="00635454" w:rsidP="00635454">
      <w:pPr>
        <w:rPr>
          <w:rFonts w:ascii="Arial" w:hAnsi="Arial"/>
          <w:b/>
          <w:sz w:val="28"/>
          <w:lang w:val="fr-CA"/>
        </w:rPr>
      </w:pPr>
      <w:r w:rsidRPr="00D86D02">
        <w:rPr>
          <w:rFonts w:ascii="Arial" w:hAnsi="Arial"/>
          <w:b/>
          <w:sz w:val="28"/>
          <w:lang w:val="fr-CA"/>
        </w:rPr>
        <w:t>10.0 Suivi des révisions</w:t>
      </w:r>
    </w:p>
    <w:p w:rsidR="00635454" w:rsidRPr="00D86D02" w:rsidRDefault="00635454" w:rsidP="00635454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635454" w:rsidRPr="00D86D02" w:rsidTr="00127A7C">
        <w:tc>
          <w:tcPr>
            <w:tcW w:w="2660" w:type="dxa"/>
            <w:shd w:val="clear" w:color="auto" w:fill="F2F2F2"/>
          </w:tcPr>
          <w:p w:rsidR="00635454" w:rsidRPr="003910AA" w:rsidRDefault="00635454" w:rsidP="00127A7C">
            <w:pPr>
              <w:jc w:val="center"/>
              <w:rPr>
                <w:rFonts w:ascii="Arial" w:hAnsi="Arial"/>
                <w:b/>
                <w:lang w:val="fr-CA"/>
              </w:rPr>
            </w:pPr>
            <w:r w:rsidRPr="003910AA">
              <w:rPr>
                <w:rFonts w:ascii="Arial" w:hAnsi="Arial"/>
                <w:b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635454" w:rsidRPr="003910AA" w:rsidRDefault="00635454" w:rsidP="00127A7C">
            <w:pPr>
              <w:jc w:val="center"/>
              <w:rPr>
                <w:rFonts w:ascii="Arial" w:hAnsi="Arial"/>
                <w:b/>
                <w:lang w:val="fr-CA"/>
              </w:rPr>
            </w:pPr>
            <w:r w:rsidRPr="003910AA">
              <w:rPr>
                <w:rFonts w:ascii="Arial" w:hAnsi="Arial"/>
                <w:b/>
                <w:lang w:val="fr-CA"/>
              </w:rPr>
              <w:t>Résumé des changements</w:t>
            </w:r>
          </w:p>
        </w:tc>
      </w:tr>
      <w:tr w:rsidR="00635454" w:rsidRPr="00D86D02" w:rsidTr="00127A7C">
        <w:tc>
          <w:tcPr>
            <w:tcW w:w="2660" w:type="dxa"/>
            <w:shd w:val="clear" w:color="auto" w:fill="auto"/>
          </w:tcPr>
          <w:p w:rsidR="00635454" w:rsidRPr="003910AA" w:rsidRDefault="00635454" w:rsidP="00127A7C">
            <w:pPr>
              <w:rPr>
                <w:rFonts w:ascii="Arial" w:hAnsi="Arial"/>
                <w:lang w:val="fr-CA"/>
              </w:rPr>
            </w:pPr>
            <w:r w:rsidRPr="003910AA">
              <w:rPr>
                <w:rFonts w:ascii="Arial" w:hAnsi="Arial"/>
                <w:lang w:val="fr-CA"/>
              </w:rPr>
              <w:t>1</w:t>
            </w:r>
            <w:r w:rsidRPr="003910AA">
              <w:rPr>
                <w:rFonts w:ascii="Arial" w:hAnsi="Arial"/>
                <w:vertAlign w:val="superscript"/>
                <w:lang w:val="fr-CA"/>
              </w:rPr>
              <w:t xml:space="preserve">er </w:t>
            </w:r>
            <w:r w:rsidRPr="003910AA">
              <w:rPr>
                <w:rFonts w:ascii="Arial" w:hAnsi="Arial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635454" w:rsidRPr="00532CDB" w:rsidRDefault="00635454" w:rsidP="00635454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32CDB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635454" w:rsidRDefault="00635454" w:rsidP="00635454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32CDB">
              <w:rPr>
                <w:rFonts w:ascii="Arial" w:hAnsi="Arial" w:cs="Arial"/>
                <w:sz w:val="22"/>
                <w:szCs w:val="22"/>
                <w:lang w:val="fr-CA"/>
              </w:rPr>
              <w:t>Révision de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s sections 2.0 et 6.0</w:t>
            </w:r>
          </w:p>
          <w:p w:rsidR="00635454" w:rsidRDefault="00635454" w:rsidP="00635454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Retrait des paragraphes 5.1 et 5.2</w:t>
            </w:r>
          </w:p>
          <w:p w:rsidR="00635454" w:rsidRPr="00532CDB" w:rsidRDefault="00635454" w:rsidP="00635454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Remplacement de « pathologiste » par « directeur médical ou son remplaçant » au paragraphe 7.1</w:t>
            </w:r>
          </w:p>
          <w:p w:rsidR="00635454" w:rsidRPr="003910AA" w:rsidRDefault="00635454" w:rsidP="00635454">
            <w:pPr>
              <w:numPr>
                <w:ilvl w:val="0"/>
                <w:numId w:val="15"/>
              </w:numPr>
              <w:rPr>
                <w:rFonts w:ascii="Arial" w:hAnsi="Arial"/>
                <w:lang w:val="fr-CA"/>
              </w:rPr>
            </w:pPr>
            <w:r w:rsidRPr="00532CDB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635454" w:rsidRPr="00886E7B" w:rsidRDefault="00635454" w:rsidP="00635454">
      <w:pPr>
        <w:ind w:left="1440"/>
        <w:rPr>
          <w:rFonts w:ascii="Arial" w:hAnsi="Arial"/>
          <w:color w:val="000000"/>
          <w:lang w:val="fr-CA"/>
        </w:rPr>
      </w:pPr>
    </w:p>
    <w:p w:rsidR="00635454" w:rsidRPr="00A4551B" w:rsidRDefault="00635454">
      <w:pPr>
        <w:rPr>
          <w:rFonts w:ascii="Arial" w:hAnsi="Arial"/>
          <w:color w:val="000000"/>
          <w:lang w:val="fr-CA"/>
        </w:rPr>
      </w:pPr>
    </w:p>
    <w:sectPr w:rsidR="00635454" w:rsidRPr="00A4551B" w:rsidSect="008C2EF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8" w:right="1797" w:bottom="663" w:left="1797" w:header="720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5B" w:rsidRDefault="009F605B">
      <w:r>
        <w:separator/>
      </w:r>
    </w:p>
  </w:endnote>
  <w:endnote w:type="continuationSeparator" w:id="0">
    <w:p w:rsidR="009F605B" w:rsidRDefault="009F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E95016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E95016" w:rsidRDefault="00E95016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95016" w:rsidRDefault="004F538A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74658A" w:rsidRPr="00D52543" w:rsidRDefault="00E95016" w:rsidP="0074658A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Verdana" w:hAnsi="Verdana"/>
              <w:sz w:val="16"/>
            </w:rPr>
            <w:br/>
          </w:r>
          <w:r w:rsidR="0074658A" w:rsidRPr="00D52543">
            <w:rPr>
              <w:rFonts w:ascii="Arial" w:hAnsi="Arial"/>
              <w:sz w:val="18"/>
              <w:lang w:val="fr-CA"/>
            </w:rPr>
            <w:t>Réseau r</w:t>
          </w:r>
          <w:r w:rsidR="0074658A">
            <w:rPr>
              <w:rFonts w:ascii="Arial" w:hAnsi="Arial"/>
              <w:sz w:val="18"/>
              <w:lang w:val="fr-CA"/>
            </w:rPr>
            <w:t>é</w:t>
          </w:r>
          <w:r w:rsidR="0074658A"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74658A" w:rsidRPr="00D52543" w:rsidRDefault="0074658A" w:rsidP="0074658A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E95016" w:rsidRDefault="00E95016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95016" w:rsidRDefault="00E95016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95016" w:rsidRDefault="00E95016" w:rsidP="0074658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B83ADB">
            <w:rPr>
              <w:rFonts w:ascii="Arial" w:hAnsi="Arial"/>
              <w:sz w:val="18"/>
            </w:rPr>
            <w:t>Q</w:t>
          </w:r>
          <w:r>
            <w:rPr>
              <w:rFonts w:ascii="Arial" w:hAnsi="Arial"/>
              <w:sz w:val="18"/>
            </w:rPr>
            <w:t>.0</w:t>
          </w:r>
          <w:r w:rsidR="0074658A">
            <w:rPr>
              <w:rFonts w:ascii="Arial" w:hAnsi="Arial"/>
              <w:sz w:val="18"/>
            </w:rPr>
            <w:t>20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C66B9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B83ADB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C66B9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95016" w:rsidRDefault="00E95016">
    <w:pPr>
      <w:pStyle w:val="Footer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E95016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E95016" w:rsidRDefault="00E95016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95016" w:rsidRDefault="004F538A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74658A" w:rsidRPr="00D52543" w:rsidRDefault="00E95016" w:rsidP="0074658A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Verdana" w:hAnsi="Verdana"/>
              <w:sz w:val="16"/>
            </w:rPr>
            <w:br/>
          </w:r>
          <w:r w:rsidR="0074658A" w:rsidRPr="00D52543">
            <w:rPr>
              <w:rFonts w:ascii="Arial" w:hAnsi="Arial"/>
              <w:sz w:val="18"/>
              <w:lang w:val="fr-CA"/>
            </w:rPr>
            <w:t>Réseau r</w:t>
          </w:r>
          <w:r w:rsidR="0074658A">
            <w:rPr>
              <w:rFonts w:ascii="Arial" w:hAnsi="Arial"/>
              <w:sz w:val="18"/>
              <w:lang w:val="fr-CA"/>
            </w:rPr>
            <w:t>é</w:t>
          </w:r>
          <w:r w:rsidR="0074658A"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74658A" w:rsidRPr="00D52543" w:rsidRDefault="0074658A" w:rsidP="0074658A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E95016" w:rsidRDefault="00E95016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95016" w:rsidRDefault="00E95016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95016" w:rsidRDefault="00E95016" w:rsidP="0074658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B83ADB">
            <w:rPr>
              <w:rFonts w:ascii="Arial" w:hAnsi="Arial"/>
              <w:sz w:val="18"/>
            </w:rPr>
            <w:t>Q</w:t>
          </w:r>
          <w:r>
            <w:rPr>
              <w:rFonts w:ascii="Arial" w:hAnsi="Arial"/>
              <w:sz w:val="18"/>
            </w:rPr>
            <w:t>.0</w:t>
          </w:r>
          <w:r w:rsidR="0074658A">
            <w:rPr>
              <w:rFonts w:ascii="Arial" w:hAnsi="Arial"/>
              <w:sz w:val="18"/>
            </w:rPr>
            <w:t>20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C66B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B83ADB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C66B9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95016" w:rsidRDefault="00E9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5B" w:rsidRDefault="009F605B">
      <w:r>
        <w:separator/>
      </w:r>
    </w:p>
  </w:footnote>
  <w:footnote w:type="continuationSeparator" w:id="0">
    <w:p w:rsidR="009F605B" w:rsidRDefault="009F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8"/>
    </w:tblGrid>
    <w:tr w:rsidR="00E95016">
      <w:tblPrEx>
        <w:tblCellMar>
          <w:top w:w="0" w:type="dxa"/>
          <w:bottom w:w="0" w:type="dxa"/>
        </w:tblCellMar>
      </w:tblPrEx>
      <w:trPr>
        <w:trHeight w:val="450"/>
      </w:trPr>
      <w:tc>
        <w:tcPr>
          <w:tcW w:w="8838" w:type="dxa"/>
        </w:tcPr>
        <w:p w:rsidR="00E95016" w:rsidRPr="0079066A" w:rsidRDefault="00B83ADB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 w:rsidRPr="0079066A">
            <w:rPr>
              <w:rFonts w:ascii="Arial" w:hAnsi="Arial"/>
              <w:b/>
              <w:color w:val="000000"/>
              <w:sz w:val="28"/>
              <w:lang w:val="fr-CA"/>
            </w:rPr>
            <w:t>Protocole de consultation du directeur médical</w:t>
          </w:r>
        </w:p>
      </w:tc>
    </w:tr>
  </w:tbl>
  <w:p w:rsidR="00E95016" w:rsidRDefault="00E95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16" w:rsidRPr="009C566A" w:rsidRDefault="004F538A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58A" w:rsidRPr="003837EB" w:rsidRDefault="0074658A" w:rsidP="0074658A">
    <w:pPr>
      <w:pStyle w:val="Header"/>
      <w:jc w:val="center"/>
      <w:rPr>
        <w:rFonts w:ascii="Arial" w:hAnsi="Arial" w:cs="Arial"/>
        <w:b/>
        <w:bCs/>
        <w:szCs w:val="28"/>
        <w:lang w:val="fr-CA"/>
      </w:rPr>
    </w:pPr>
    <w:r w:rsidRPr="003837EB">
      <w:rPr>
        <w:rFonts w:ascii="Arial" w:hAnsi="Arial" w:cs="Arial"/>
        <w:b/>
        <w:bCs/>
        <w:szCs w:val="28"/>
        <w:lang w:val="fr-CA"/>
      </w:rPr>
      <w:t>Réseau régional ontarien de coordination du sang</w:t>
    </w:r>
  </w:p>
  <w:p w:rsidR="0074658A" w:rsidRPr="003837EB" w:rsidRDefault="0074658A" w:rsidP="0074658A">
    <w:pPr>
      <w:pStyle w:val="Header"/>
      <w:jc w:val="center"/>
      <w:rPr>
        <w:rFonts w:ascii="Arial" w:hAnsi="Arial" w:cs="Arial"/>
        <w:b/>
        <w:bCs/>
        <w:color w:val="000000"/>
        <w:lang w:val="fr-CA"/>
      </w:rPr>
    </w:pPr>
    <w:r w:rsidRPr="003837EB">
      <w:rPr>
        <w:rFonts w:ascii="Arial" w:hAnsi="Arial" w:cs="Arial"/>
        <w:b/>
        <w:bCs/>
        <w:szCs w:val="28"/>
        <w:lang w:val="fr-CA"/>
      </w:rPr>
      <w:t>Manuel de ressources techniques en transfusion de l’Ontario</w:t>
    </w:r>
  </w:p>
  <w:p w:rsidR="00E95016" w:rsidRPr="009C566A" w:rsidRDefault="00E95016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E95016" w:rsidRPr="0079066A" w:rsidRDefault="009C566A" w:rsidP="009C566A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79066A">
      <w:rPr>
        <w:rFonts w:ascii="Arial" w:hAnsi="Arial"/>
        <w:b/>
        <w:color w:val="000000"/>
        <w:sz w:val="28"/>
        <w:lang w:val="fr-CA"/>
      </w:rPr>
      <w:t xml:space="preserve">Protocole de consultation du directeur médical </w:t>
    </w:r>
  </w:p>
  <w:p w:rsidR="00E95016" w:rsidRPr="009C566A" w:rsidRDefault="00E95016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</w:p>
  <w:p w:rsidR="00E95016" w:rsidRPr="009C566A" w:rsidRDefault="00E95016">
    <w:pPr>
      <w:pStyle w:val="Header"/>
      <w:jc w:val="center"/>
      <w:rPr>
        <w:rFonts w:ascii="Arial" w:hAnsi="Arial" w:cs="Arial"/>
        <w:b/>
        <w:bCs/>
        <w:color w:val="000000"/>
        <w:lang w:val="fr-CA"/>
      </w:rPr>
    </w:pPr>
    <w:r w:rsidRPr="009C566A">
      <w:rPr>
        <w:rFonts w:ascii="Arial" w:hAnsi="Arial" w:cs="Arial"/>
        <w:b/>
        <w:bCs/>
        <w:color w:val="000000"/>
        <w:lang w:val="fr-CA"/>
      </w:rPr>
      <w:tab/>
    </w:r>
    <w:r w:rsidR="004F538A" w:rsidRPr="009C566A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912A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6"/>
      <w:gridCol w:w="4320"/>
    </w:tblGrid>
    <w:tr w:rsidR="00E95016" w:rsidRPr="009C566A">
      <w:tc>
        <w:tcPr>
          <w:tcW w:w="4428" w:type="dxa"/>
        </w:tcPr>
        <w:p w:rsidR="00E95016" w:rsidRPr="009C566A" w:rsidRDefault="009C566A" w:rsidP="00881FE9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C566A">
            <w:rPr>
              <w:rFonts w:ascii="Arial" w:hAnsi="Arial" w:cs="Arial"/>
              <w:color w:val="000000"/>
              <w:sz w:val="20"/>
              <w:lang w:val="fr-CA"/>
            </w:rPr>
            <w:t>Approbation :</w:t>
          </w:r>
          <w:r w:rsidR="00336C76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</w:p>
      </w:tc>
      <w:tc>
        <w:tcPr>
          <w:tcW w:w="4428" w:type="dxa"/>
        </w:tcPr>
        <w:p w:rsidR="00E95016" w:rsidRPr="009C566A" w:rsidRDefault="00E95016" w:rsidP="00881FE9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C566A">
            <w:rPr>
              <w:rFonts w:ascii="Arial" w:hAnsi="Arial" w:cs="Arial"/>
              <w:color w:val="000000"/>
              <w:sz w:val="20"/>
              <w:lang w:val="fr-CA"/>
            </w:rPr>
            <w:t xml:space="preserve">Document </w:t>
          </w:r>
          <w:r w:rsidR="009C566A" w:rsidRPr="009C566A">
            <w:rPr>
              <w:rFonts w:ascii="Arial" w:hAnsi="Arial" w:cs="Arial"/>
              <w:color w:val="000000"/>
              <w:sz w:val="20"/>
              <w:lang w:val="fr-CA"/>
            </w:rPr>
            <w:t>n</w:t>
          </w:r>
          <w:r w:rsidR="009C566A" w:rsidRPr="009C566A">
            <w:rPr>
              <w:rFonts w:ascii="Arial" w:hAnsi="Arial" w:cs="Arial"/>
              <w:color w:val="000000"/>
              <w:sz w:val="20"/>
              <w:vertAlign w:val="superscript"/>
              <w:lang w:val="fr-CA"/>
            </w:rPr>
            <w:t>o</w:t>
          </w:r>
          <w:r w:rsidR="009C566A" w:rsidRPr="009C566A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  <w:r w:rsidRPr="009C566A">
            <w:rPr>
              <w:rFonts w:ascii="Arial" w:hAnsi="Arial" w:cs="Arial"/>
              <w:color w:val="000000"/>
              <w:sz w:val="20"/>
              <w:lang w:val="fr-CA"/>
            </w:rPr>
            <w:t>: CA</w:t>
          </w:r>
          <w:r w:rsidR="009C566A" w:rsidRPr="009C566A">
            <w:rPr>
              <w:rFonts w:ascii="Arial" w:hAnsi="Arial" w:cs="Arial"/>
              <w:color w:val="000000"/>
              <w:sz w:val="20"/>
              <w:lang w:val="fr-CA"/>
            </w:rPr>
            <w:t>Q</w:t>
          </w:r>
          <w:r w:rsidRPr="009C566A">
            <w:rPr>
              <w:rFonts w:ascii="Arial" w:hAnsi="Arial" w:cs="Arial"/>
              <w:color w:val="000000"/>
              <w:sz w:val="20"/>
              <w:lang w:val="fr-CA"/>
            </w:rPr>
            <w:t>.0</w:t>
          </w:r>
          <w:r w:rsidR="00881FE9">
            <w:rPr>
              <w:rFonts w:ascii="Arial" w:hAnsi="Arial" w:cs="Arial"/>
              <w:color w:val="000000"/>
              <w:sz w:val="20"/>
              <w:lang w:val="fr-CA"/>
            </w:rPr>
            <w:t>20</w:t>
          </w:r>
        </w:p>
      </w:tc>
    </w:tr>
    <w:tr w:rsidR="00E95016" w:rsidRPr="009C566A">
      <w:tc>
        <w:tcPr>
          <w:tcW w:w="4428" w:type="dxa"/>
        </w:tcPr>
        <w:p w:rsidR="00E95016" w:rsidRPr="009C566A" w:rsidRDefault="009C566A" w:rsidP="009C566A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C566A">
            <w:rPr>
              <w:rFonts w:ascii="Arial" w:hAnsi="Arial" w:cs="Arial"/>
              <w:color w:val="000000"/>
              <w:sz w:val="2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E95016" w:rsidRPr="009C566A" w:rsidRDefault="009C566A" w:rsidP="009C566A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C566A">
            <w:rPr>
              <w:rFonts w:ascii="Arial" w:hAnsi="Arial" w:cs="Arial"/>
              <w:color w:val="000000"/>
              <w:sz w:val="20"/>
              <w:lang w:val="fr-CA"/>
            </w:rPr>
            <w:t>Catégorie : Contrôle et assurance de la qualité</w:t>
          </w:r>
        </w:p>
      </w:tc>
    </w:tr>
    <w:tr w:rsidR="00E95016" w:rsidRPr="009C566A">
      <w:tc>
        <w:tcPr>
          <w:tcW w:w="4428" w:type="dxa"/>
        </w:tcPr>
        <w:p w:rsidR="00E95016" w:rsidRPr="009C566A" w:rsidRDefault="009C566A" w:rsidP="009C566A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C566A">
            <w:rPr>
              <w:rFonts w:ascii="Arial" w:hAnsi="Arial" w:cs="Arial"/>
              <w:color w:val="000000"/>
              <w:sz w:val="20"/>
              <w:lang w:val="fr-CA"/>
            </w:rPr>
            <w:t>Date de révision :</w:t>
          </w:r>
          <w:r w:rsidR="00336C76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  <w:r w:rsidR="00336C76" w:rsidRPr="00336C76">
            <w:rPr>
              <w:rFonts w:ascii="Arial" w:hAnsi="Arial" w:cs="Arial"/>
              <w:color w:val="000000"/>
              <w:sz w:val="20"/>
              <w:lang w:val="fr-CA"/>
            </w:rPr>
            <w:t>2009/12/31</w:t>
          </w:r>
          <w:r w:rsidR="00881FE9">
            <w:rPr>
              <w:rFonts w:ascii="Arial" w:hAnsi="Arial" w:cs="Arial"/>
              <w:color w:val="000000"/>
              <w:sz w:val="20"/>
              <w:lang w:val="fr-CA"/>
            </w:rPr>
            <w:t>; 2015/09/01</w:t>
          </w:r>
        </w:p>
      </w:tc>
      <w:tc>
        <w:tcPr>
          <w:tcW w:w="4428" w:type="dxa"/>
        </w:tcPr>
        <w:p w:rsidR="00E95016" w:rsidRPr="009C566A" w:rsidRDefault="009C566A" w:rsidP="009C566A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C566A">
            <w:rPr>
              <w:rFonts w:ascii="Arial" w:hAnsi="Arial" w:cs="Arial"/>
              <w:color w:val="000000"/>
              <w:sz w:val="20"/>
              <w:lang w:val="fr-CA"/>
            </w:rPr>
            <w:t>Pages :</w:t>
          </w:r>
          <w:r w:rsidR="00374553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  <w:r w:rsidR="00E95016" w:rsidRPr="009C566A">
            <w:rPr>
              <w:rFonts w:ascii="Arial" w:hAnsi="Arial" w:cs="Arial"/>
              <w:color w:val="000000"/>
              <w:sz w:val="20"/>
              <w:lang w:val="fr-CA"/>
            </w:rPr>
            <w:fldChar w:fldCharType="begin"/>
          </w:r>
          <w:r w:rsidR="00E95016" w:rsidRPr="009C566A">
            <w:rPr>
              <w:rFonts w:ascii="Arial" w:hAnsi="Arial" w:cs="Arial"/>
              <w:color w:val="000000"/>
              <w:sz w:val="20"/>
              <w:lang w:val="fr-CA"/>
            </w:rPr>
            <w:instrText xml:space="preserve"> NUMPAGES </w:instrText>
          </w:r>
          <w:r w:rsidR="00E95016" w:rsidRPr="009C566A">
            <w:rPr>
              <w:rFonts w:ascii="Arial" w:hAnsi="Arial" w:cs="Arial"/>
              <w:color w:val="000000"/>
              <w:sz w:val="20"/>
              <w:lang w:val="fr-CA"/>
            </w:rPr>
            <w:fldChar w:fldCharType="separate"/>
          </w:r>
          <w:r w:rsidR="00EC66B9">
            <w:rPr>
              <w:rFonts w:ascii="Arial" w:hAnsi="Arial" w:cs="Arial"/>
              <w:noProof/>
              <w:color w:val="000000"/>
              <w:sz w:val="20"/>
              <w:lang w:val="fr-CA"/>
            </w:rPr>
            <w:t>6</w:t>
          </w:r>
          <w:r w:rsidR="00E95016" w:rsidRPr="009C566A">
            <w:rPr>
              <w:rFonts w:ascii="Arial" w:hAnsi="Arial" w:cs="Arial"/>
              <w:color w:val="000000"/>
              <w:sz w:val="20"/>
              <w:lang w:val="fr-CA"/>
            </w:rPr>
            <w:fldChar w:fldCharType="end"/>
          </w:r>
        </w:p>
      </w:tc>
    </w:tr>
  </w:tbl>
  <w:p w:rsidR="00E95016" w:rsidRPr="009C566A" w:rsidRDefault="004F538A">
    <w:pPr>
      <w:pStyle w:val="Header"/>
      <w:rPr>
        <w:color w:val="000000"/>
        <w:lang w:val="fr-CA"/>
      </w:rPr>
    </w:pPr>
    <w:r w:rsidRPr="009C566A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B5C9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9lXp8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E95016" w:rsidRPr="009C566A">
      <w:rPr>
        <w:rFonts w:ascii="Arial" w:hAnsi="Arial" w:cs="Arial"/>
        <w:color w:val="000000"/>
        <w:lang w:val="fr-CA"/>
      </w:rPr>
      <w:tab/>
    </w:r>
  </w:p>
  <w:p w:rsidR="00E95016" w:rsidRDefault="00E95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07A33A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C053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D09CB"/>
    <w:multiLevelType w:val="multilevel"/>
    <w:tmpl w:val="62DAAEB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1526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3070BA"/>
    <w:multiLevelType w:val="hybridMultilevel"/>
    <w:tmpl w:val="DAD4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23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0" w15:restartNumberingAfterBreak="0">
    <w:nsid w:val="697458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 w15:restartNumberingAfterBreak="0">
    <w:nsid w:val="6A6D2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4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5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  <w:num w:numId="16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A"/>
    <w:rsid w:val="00000AB6"/>
    <w:rsid w:val="00063EA8"/>
    <w:rsid w:val="000A36CC"/>
    <w:rsid w:val="000C021F"/>
    <w:rsid w:val="000D4F93"/>
    <w:rsid w:val="00124BC4"/>
    <w:rsid w:val="00127A7C"/>
    <w:rsid w:val="00220055"/>
    <w:rsid w:val="00315FF2"/>
    <w:rsid w:val="00336C76"/>
    <w:rsid w:val="00352106"/>
    <w:rsid w:val="00374553"/>
    <w:rsid w:val="0039464E"/>
    <w:rsid w:val="003F016E"/>
    <w:rsid w:val="00437C07"/>
    <w:rsid w:val="00465C7A"/>
    <w:rsid w:val="004A1433"/>
    <w:rsid w:val="004F538A"/>
    <w:rsid w:val="00620D0B"/>
    <w:rsid w:val="00635454"/>
    <w:rsid w:val="00645D37"/>
    <w:rsid w:val="00683E87"/>
    <w:rsid w:val="0074658A"/>
    <w:rsid w:val="0079066A"/>
    <w:rsid w:val="007D34C8"/>
    <w:rsid w:val="007F3E43"/>
    <w:rsid w:val="008726A4"/>
    <w:rsid w:val="00881FE9"/>
    <w:rsid w:val="0089523B"/>
    <w:rsid w:val="008A41DA"/>
    <w:rsid w:val="008C2EF5"/>
    <w:rsid w:val="00957BE1"/>
    <w:rsid w:val="00965590"/>
    <w:rsid w:val="0097765D"/>
    <w:rsid w:val="00997505"/>
    <w:rsid w:val="009B2F2A"/>
    <w:rsid w:val="009C566A"/>
    <w:rsid w:val="009D6429"/>
    <w:rsid w:val="009F605B"/>
    <w:rsid w:val="00A4551B"/>
    <w:rsid w:val="00AA735E"/>
    <w:rsid w:val="00B45601"/>
    <w:rsid w:val="00B46482"/>
    <w:rsid w:val="00B57D7F"/>
    <w:rsid w:val="00B83ADB"/>
    <w:rsid w:val="00BB72C6"/>
    <w:rsid w:val="00C3788B"/>
    <w:rsid w:val="00CB216A"/>
    <w:rsid w:val="00CD1655"/>
    <w:rsid w:val="00D658B7"/>
    <w:rsid w:val="00D708AF"/>
    <w:rsid w:val="00E95016"/>
    <w:rsid w:val="00EC66B9"/>
    <w:rsid w:val="00F51A00"/>
    <w:rsid w:val="00F54D10"/>
    <w:rsid w:val="00FC6F85"/>
    <w:rsid w:val="00FD2E4B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1EA07-1D12-4AE5-8FC7-3A10CC5D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74553"/>
    <w:pPr>
      <w:keepNext/>
      <w:numPr>
        <w:numId w:val="7"/>
      </w:numPr>
      <w:spacing w:after="240"/>
      <w:outlineLvl w:val="0"/>
    </w:pPr>
    <w:rPr>
      <w:rFonts w:ascii="Arial" w:hAnsi="Arial"/>
      <w:b/>
      <w:color w:val="000000"/>
      <w:kern w:val="32"/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kern w:val="0"/>
    </w:rPr>
  </w:style>
  <w:style w:type="paragraph" w:styleId="BalloonText">
    <w:name w:val="Balloon Text"/>
    <w:basedOn w:val="Normal"/>
    <w:semiHidden/>
    <w:rsid w:val="00645D37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965590"/>
    <w:rPr>
      <w:b/>
      <w:bCs/>
      <w:smallCaps/>
      <w:spacing w:val="5"/>
    </w:rPr>
  </w:style>
  <w:style w:type="character" w:customStyle="1" w:styleId="HeaderChar">
    <w:name w:val="Header Char"/>
    <w:link w:val="Header"/>
    <w:rsid w:val="0074658A"/>
    <w:rPr>
      <w:rFonts w:ascii="Georgia" w:hAnsi="Georgia"/>
      <w:kern w:val="24"/>
      <w:sz w:val="24"/>
      <w:lang w:val="en-US" w:eastAsia="en-US"/>
    </w:rPr>
  </w:style>
  <w:style w:type="character" w:styleId="Hyperlink">
    <w:name w:val="Hyperlink"/>
    <w:rsid w:val="00635454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635454"/>
    <w:pPr>
      <w:ind w:left="708"/>
    </w:pPr>
    <w:rPr>
      <w:rFonts w:ascii="Times New Roman" w:hAnsi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fusionmedecine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eb%20Pages\PBCO2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PBCO2web</Template>
  <TotalTime>0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QCA.020 - Medical Chief Consultation Protocol</vt:lpstr>
      <vt:lpstr>QCA.020 - Medical Chief Consultation Protocol</vt:lpstr>
    </vt:vector>
  </TitlesOfParts>
  <Company>The Ottawa Hospital</Company>
  <LinksUpToDate>false</LinksUpToDate>
  <CharactersWithSpaces>8165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http://www.transfusionmedecine.ca/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QCA.020 - Medical Chief Consultation Protocol</dc:title>
  <dc:subject/>
  <dc:creator>Transfusion Ontairo Program Office</dc:creator>
  <cp:keywords/>
  <cp:lastModifiedBy>Nesrallah, Heather</cp:lastModifiedBy>
  <cp:revision>2</cp:revision>
  <cp:lastPrinted>2010-06-17T14:45:00Z</cp:lastPrinted>
  <dcterms:created xsi:type="dcterms:W3CDTF">2019-08-13T00:36:00Z</dcterms:created>
  <dcterms:modified xsi:type="dcterms:W3CDTF">2019-08-13T00:36:00Z</dcterms:modified>
</cp:coreProperties>
</file>