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DC" w:rsidRPr="00886E7B" w:rsidRDefault="00903ED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886E7B">
        <w:rPr>
          <w:rFonts w:ascii="Arial" w:hAnsi="Arial"/>
          <w:b/>
          <w:sz w:val="28"/>
          <w:lang w:val="fr-CA"/>
        </w:rPr>
        <w:t>Principe</w:t>
      </w:r>
    </w:p>
    <w:p w:rsidR="00903EDC" w:rsidRPr="00886E7B" w:rsidRDefault="00903EDC">
      <w:pPr>
        <w:ind w:left="720"/>
        <w:rPr>
          <w:rFonts w:ascii="Arial" w:hAnsi="Arial"/>
          <w:color w:val="000000"/>
          <w:sz w:val="24"/>
          <w:lang w:val="fr-CA"/>
        </w:rPr>
      </w:pPr>
    </w:p>
    <w:p w:rsidR="00903EDC" w:rsidRPr="00886E7B" w:rsidRDefault="00712A14" w:rsidP="00712A14">
      <w:pPr>
        <w:ind w:left="720"/>
        <w:rPr>
          <w:rFonts w:ascii="Arial" w:hAnsi="Arial"/>
          <w:color w:val="000000"/>
          <w:sz w:val="24"/>
          <w:lang w:val="fr-CA"/>
        </w:rPr>
      </w:pPr>
      <w:r w:rsidRPr="00886E7B">
        <w:rPr>
          <w:rFonts w:ascii="Arial" w:hAnsi="Arial"/>
          <w:color w:val="000000"/>
          <w:sz w:val="24"/>
          <w:lang w:val="fr-CA"/>
        </w:rPr>
        <w:t>Conformément aux normes et aux exigences d’accréditation, l’équipement du L</w:t>
      </w:r>
      <w:r w:rsidR="002424EB">
        <w:rPr>
          <w:rFonts w:ascii="Arial" w:hAnsi="Arial"/>
          <w:color w:val="000000"/>
          <w:sz w:val="24"/>
          <w:lang w:val="fr-CA"/>
        </w:rPr>
        <w:t>aboratoire de médecine transfusionnelle (L</w:t>
      </w:r>
      <w:r w:rsidRPr="00886E7B">
        <w:rPr>
          <w:rFonts w:ascii="Arial" w:hAnsi="Arial"/>
          <w:color w:val="000000"/>
          <w:sz w:val="24"/>
          <w:lang w:val="fr-CA"/>
        </w:rPr>
        <w:t>MT</w:t>
      </w:r>
      <w:r w:rsidR="002424EB">
        <w:rPr>
          <w:rFonts w:ascii="Arial" w:hAnsi="Arial"/>
          <w:color w:val="000000"/>
          <w:sz w:val="24"/>
          <w:lang w:val="fr-CA"/>
        </w:rPr>
        <w:t>)</w:t>
      </w:r>
      <w:r w:rsidRPr="00886E7B">
        <w:rPr>
          <w:rFonts w:ascii="Arial" w:hAnsi="Arial"/>
          <w:color w:val="000000"/>
          <w:sz w:val="24"/>
          <w:lang w:val="fr-CA"/>
        </w:rPr>
        <w:t xml:space="preserve"> doit être régulièrement nettoyé et maintenu en bon état de fonctionnement</w:t>
      </w:r>
      <w:r w:rsidR="00532CDB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Pr="00886E7B">
        <w:rPr>
          <w:rFonts w:ascii="Arial" w:hAnsi="Arial"/>
          <w:color w:val="000000"/>
          <w:sz w:val="24"/>
          <w:lang w:val="fr-CA"/>
        </w:rPr>
        <w:t>.</w:t>
      </w:r>
    </w:p>
    <w:p w:rsidR="00903EDC" w:rsidRPr="00886E7B" w:rsidRDefault="00903EDC">
      <w:pPr>
        <w:ind w:left="720"/>
        <w:rPr>
          <w:rFonts w:ascii="Arial" w:hAnsi="Arial"/>
          <w:color w:val="000000"/>
          <w:sz w:val="24"/>
          <w:lang w:val="fr-CA"/>
        </w:rPr>
      </w:pPr>
    </w:p>
    <w:p w:rsidR="00903EDC" w:rsidRPr="00886E7B" w:rsidRDefault="00712A14" w:rsidP="00712A1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903EDC" w:rsidRPr="00886E7B" w:rsidRDefault="00903EDC">
      <w:pPr>
        <w:rPr>
          <w:rFonts w:ascii="Arial" w:hAnsi="Arial"/>
          <w:b/>
          <w:color w:val="000000"/>
          <w:sz w:val="28"/>
          <w:lang w:val="fr-CA"/>
        </w:rPr>
      </w:pPr>
    </w:p>
    <w:p w:rsidR="00903EDC" w:rsidRPr="00886E7B" w:rsidRDefault="00712A14" w:rsidP="00712A14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886E7B">
        <w:rPr>
          <w:rFonts w:ascii="Arial" w:hAnsi="Arial"/>
          <w:color w:val="000000"/>
          <w:sz w:val="24"/>
          <w:lang w:val="fr-CA"/>
        </w:rPr>
        <w:t>Toujours porter des gants de protection quand on se sert de désinfectant non corrosif.</w:t>
      </w:r>
    </w:p>
    <w:p w:rsidR="00903EDC" w:rsidRPr="00886E7B" w:rsidRDefault="00903EDC">
      <w:pPr>
        <w:rPr>
          <w:rFonts w:ascii="Arial" w:hAnsi="Arial"/>
          <w:color w:val="000000"/>
          <w:sz w:val="24"/>
          <w:lang w:val="fr-CA"/>
        </w:rPr>
      </w:pPr>
    </w:p>
    <w:p w:rsidR="00903EDC" w:rsidRPr="00886E7B" w:rsidRDefault="00886E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86E7B">
        <w:rPr>
          <w:rFonts w:ascii="Arial" w:hAnsi="Arial"/>
          <w:sz w:val="24"/>
          <w:lang w:val="fr-CA"/>
        </w:rPr>
        <w:t xml:space="preserve">Faire l’entretien </w:t>
      </w:r>
      <w:r w:rsidR="00532CDB">
        <w:rPr>
          <w:rFonts w:ascii="Arial" w:hAnsi="Arial"/>
          <w:sz w:val="24"/>
          <w:lang w:val="fr-CA"/>
        </w:rPr>
        <w:t xml:space="preserve">conformément aux directives du fabricant ou </w:t>
      </w:r>
      <w:r w:rsidRPr="00886E7B">
        <w:rPr>
          <w:rFonts w:ascii="Arial" w:hAnsi="Arial"/>
          <w:sz w:val="24"/>
          <w:lang w:val="fr-CA"/>
        </w:rPr>
        <w:t>deux fois par année</w:t>
      </w:r>
      <w:r w:rsidR="00532CDB">
        <w:rPr>
          <w:rFonts w:ascii="Arial" w:hAnsi="Arial"/>
          <w:sz w:val="24"/>
          <w:vertAlign w:val="superscript"/>
          <w:lang w:val="fr-CA"/>
        </w:rPr>
        <w:t>9.1</w:t>
      </w:r>
      <w:r w:rsidR="00903EDC" w:rsidRPr="00886E7B">
        <w:rPr>
          <w:rFonts w:ascii="Arial" w:hAnsi="Arial"/>
          <w:sz w:val="24"/>
          <w:lang w:val="fr-CA"/>
        </w:rPr>
        <w:t>.</w:t>
      </w:r>
    </w:p>
    <w:p w:rsidR="00903EDC" w:rsidRPr="00886E7B" w:rsidRDefault="00903EDC">
      <w:pPr>
        <w:ind w:left="720"/>
        <w:rPr>
          <w:rFonts w:ascii="Arial" w:hAnsi="Arial"/>
          <w:sz w:val="24"/>
          <w:lang w:val="fr-CA"/>
        </w:rPr>
      </w:pPr>
    </w:p>
    <w:p w:rsidR="00903EDC" w:rsidRPr="00886E7B" w:rsidRDefault="00712A14" w:rsidP="00712A14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F70450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886E7B">
        <w:rPr>
          <w:rFonts w:ascii="Arial" w:hAnsi="Arial"/>
          <w:b/>
          <w:color w:val="000000"/>
          <w:sz w:val="28"/>
          <w:lang w:val="fr-CA"/>
        </w:rPr>
        <w:t>S.O.</w:t>
      </w:r>
    </w:p>
    <w:p w:rsidR="00903EDC" w:rsidRPr="00886E7B" w:rsidRDefault="00903EDC">
      <w:pPr>
        <w:ind w:left="720"/>
        <w:rPr>
          <w:rFonts w:ascii="Arial" w:hAnsi="Arial"/>
          <w:sz w:val="24"/>
          <w:lang w:val="fr-CA"/>
        </w:rPr>
      </w:pPr>
    </w:p>
    <w:p w:rsidR="00903EDC" w:rsidRPr="00886E7B" w:rsidRDefault="00712A14" w:rsidP="00712A1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>Matériel</w:t>
      </w:r>
    </w:p>
    <w:p w:rsidR="00903EDC" w:rsidRPr="00886E7B" w:rsidRDefault="00903EDC">
      <w:pPr>
        <w:rPr>
          <w:rFonts w:ascii="Arial" w:hAnsi="Arial"/>
          <w:color w:val="000000"/>
          <w:sz w:val="24"/>
          <w:lang w:val="fr-CA"/>
        </w:rPr>
      </w:pPr>
    </w:p>
    <w:p w:rsidR="00903EDC" w:rsidRPr="00886E7B" w:rsidRDefault="00712A14" w:rsidP="00886E7B">
      <w:pPr>
        <w:ind w:left="2340" w:hanging="1620"/>
        <w:rPr>
          <w:rFonts w:ascii="Arial" w:hAnsi="Arial"/>
          <w:color w:val="000000"/>
          <w:sz w:val="24"/>
          <w:lang w:val="fr-CA"/>
        </w:rPr>
      </w:pPr>
      <w:r w:rsidRPr="00886E7B">
        <w:rPr>
          <w:rFonts w:ascii="Arial" w:hAnsi="Arial"/>
          <w:b/>
          <w:color w:val="000000"/>
          <w:sz w:val="24"/>
          <w:lang w:val="fr-CA"/>
        </w:rPr>
        <w:t>Équipement</w:t>
      </w:r>
      <w:r w:rsidRPr="00886E7B">
        <w:rPr>
          <w:rFonts w:ascii="Arial" w:hAnsi="Arial"/>
          <w:color w:val="000000"/>
          <w:sz w:val="24"/>
          <w:lang w:val="fr-CA"/>
        </w:rPr>
        <w:t xml:space="preserve"> : </w:t>
      </w:r>
      <w:r w:rsidR="00886E7B" w:rsidRPr="00886E7B">
        <w:rPr>
          <w:rFonts w:ascii="Arial" w:hAnsi="Arial"/>
          <w:color w:val="000000"/>
          <w:sz w:val="24"/>
          <w:lang w:val="fr-CA"/>
        </w:rPr>
        <w:tab/>
      </w:r>
      <w:r w:rsidRPr="00886E7B">
        <w:rPr>
          <w:rFonts w:ascii="Arial" w:hAnsi="Arial"/>
          <w:color w:val="000000"/>
          <w:sz w:val="24"/>
          <w:lang w:val="fr-CA"/>
        </w:rPr>
        <w:t>centrifugeuse réfrigérée</w:t>
      </w:r>
      <w:r w:rsidR="00903EDC" w:rsidRPr="00886E7B">
        <w:rPr>
          <w:rFonts w:ascii="Arial" w:hAnsi="Arial"/>
          <w:color w:val="000000"/>
          <w:sz w:val="24"/>
          <w:lang w:val="fr-CA"/>
        </w:rPr>
        <w:t xml:space="preserve"> </w:t>
      </w:r>
    </w:p>
    <w:p w:rsidR="00903EDC" w:rsidRPr="00886E7B" w:rsidRDefault="00903EDC" w:rsidP="00886E7B">
      <w:pPr>
        <w:ind w:left="2340" w:hanging="1620"/>
        <w:rPr>
          <w:rFonts w:ascii="Arial" w:hAnsi="Arial"/>
          <w:color w:val="000000"/>
          <w:sz w:val="24"/>
          <w:lang w:val="fr-CA"/>
        </w:rPr>
      </w:pPr>
      <w:r w:rsidRPr="00886E7B">
        <w:rPr>
          <w:rFonts w:ascii="Arial" w:hAnsi="Arial"/>
          <w:color w:val="000000"/>
          <w:sz w:val="24"/>
          <w:lang w:val="fr-CA"/>
        </w:rPr>
        <w:tab/>
      </w:r>
      <w:r w:rsidRPr="00886E7B">
        <w:rPr>
          <w:rFonts w:ascii="Arial" w:hAnsi="Arial"/>
          <w:color w:val="000000"/>
          <w:sz w:val="24"/>
          <w:lang w:val="fr-CA"/>
        </w:rPr>
        <w:tab/>
      </w:r>
    </w:p>
    <w:p w:rsidR="00903EDC" w:rsidRDefault="00F70450" w:rsidP="00886E7B">
      <w:pPr>
        <w:ind w:left="2340" w:hanging="162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Fournitures </w:t>
      </w:r>
      <w:r w:rsidR="00712A14" w:rsidRPr="00886E7B">
        <w:rPr>
          <w:rFonts w:ascii="Arial" w:hAnsi="Arial"/>
          <w:color w:val="000000"/>
          <w:sz w:val="24"/>
          <w:lang w:val="fr-CA"/>
        </w:rPr>
        <w:t xml:space="preserve">: </w:t>
      </w:r>
      <w:r w:rsidR="00886E7B" w:rsidRPr="00886E7B">
        <w:rPr>
          <w:rFonts w:ascii="Arial" w:hAnsi="Arial"/>
          <w:color w:val="000000"/>
          <w:sz w:val="24"/>
          <w:lang w:val="fr-CA"/>
        </w:rPr>
        <w:tab/>
      </w:r>
      <w:r w:rsidR="00712A14" w:rsidRPr="00886E7B">
        <w:rPr>
          <w:rFonts w:ascii="Arial" w:hAnsi="Arial"/>
          <w:color w:val="000000"/>
          <w:sz w:val="24"/>
          <w:lang w:val="fr-CA"/>
        </w:rPr>
        <w:t>désinfectant non corrosif</w:t>
      </w:r>
      <w:r w:rsidR="00532CDB" w:rsidRPr="00532CDB">
        <w:rPr>
          <w:rFonts w:ascii="Arial" w:hAnsi="Arial"/>
          <w:color w:val="000000"/>
          <w:sz w:val="24"/>
          <w:lang w:val="fr-CA"/>
        </w:rPr>
        <w:t xml:space="preserve"> </w:t>
      </w:r>
      <w:r w:rsidR="00532CDB">
        <w:rPr>
          <w:rFonts w:ascii="Arial" w:hAnsi="Arial"/>
          <w:color w:val="000000"/>
          <w:sz w:val="24"/>
          <w:lang w:val="fr-CA"/>
        </w:rPr>
        <w:br/>
        <w:t xml:space="preserve">formulaire </w:t>
      </w:r>
      <w:r w:rsidR="00532CDB" w:rsidRPr="00532CDB">
        <w:rPr>
          <w:rFonts w:ascii="Arial" w:hAnsi="Arial"/>
          <w:color w:val="000000"/>
          <w:sz w:val="24"/>
          <w:highlight w:val="yellow"/>
          <w:lang w:val="fr-CA"/>
        </w:rPr>
        <w:t>CAQ.017F1</w:t>
      </w:r>
      <w:r w:rsidR="00532CDB" w:rsidRPr="00886E7B">
        <w:rPr>
          <w:rFonts w:ascii="Arial" w:hAnsi="Arial"/>
          <w:color w:val="000000"/>
          <w:sz w:val="24"/>
          <w:lang w:val="fr-CA"/>
        </w:rPr>
        <w:tab/>
      </w:r>
      <w:r w:rsidR="00532CDB">
        <w:rPr>
          <w:rFonts w:ascii="Arial" w:hAnsi="Arial"/>
          <w:color w:val="000000"/>
          <w:sz w:val="24"/>
          <w:lang w:val="fr-CA"/>
        </w:rPr>
        <w:t>- Nettoyage et entretien hebdomadaire – Centrifugeuse réfrigérée</w:t>
      </w:r>
    </w:p>
    <w:p w:rsidR="00532CDB" w:rsidRPr="00886E7B" w:rsidRDefault="00532CDB" w:rsidP="00532CDB">
      <w:pPr>
        <w:ind w:left="2340" w:hanging="162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ab/>
        <w:t xml:space="preserve">formulaire </w:t>
      </w:r>
      <w:r w:rsidRPr="00532CDB">
        <w:rPr>
          <w:rFonts w:ascii="Arial" w:hAnsi="Arial"/>
          <w:color w:val="000000"/>
          <w:sz w:val="24"/>
          <w:highlight w:val="yellow"/>
          <w:lang w:val="fr-CA"/>
        </w:rPr>
        <w:t>CAQ.017F2</w:t>
      </w:r>
      <w:r w:rsidRPr="00886E7B">
        <w:rPr>
          <w:rFonts w:ascii="Arial" w:hAnsi="Arial"/>
          <w:color w:val="000000"/>
          <w:sz w:val="24"/>
          <w:lang w:val="fr-CA"/>
        </w:rPr>
        <w:tab/>
      </w:r>
      <w:r>
        <w:rPr>
          <w:rFonts w:ascii="Arial" w:hAnsi="Arial"/>
          <w:color w:val="000000"/>
          <w:sz w:val="24"/>
          <w:lang w:val="fr-CA"/>
        </w:rPr>
        <w:t>- Nettoyage et entretien semestriel – Centrifugeuse réfrigérée</w:t>
      </w:r>
    </w:p>
    <w:p w:rsidR="00903EDC" w:rsidRPr="00886E7B" w:rsidRDefault="00903EDC">
      <w:pPr>
        <w:ind w:left="720"/>
        <w:rPr>
          <w:rFonts w:ascii="Arial" w:hAnsi="Arial"/>
          <w:color w:val="000000"/>
          <w:sz w:val="24"/>
          <w:lang w:val="fr-CA"/>
        </w:rPr>
      </w:pPr>
      <w:r w:rsidRPr="00886E7B">
        <w:rPr>
          <w:rFonts w:ascii="Arial" w:hAnsi="Arial"/>
          <w:color w:val="000000"/>
          <w:sz w:val="24"/>
          <w:lang w:val="fr-CA"/>
        </w:rPr>
        <w:tab/>
      </w:r>
      <w:r w:rsidRPr="00886E7B">
        <w:rPr>
          <w:rFonts w:ascii="Arial" w:hAnsi="Arial"/>
          <w:color w:val="000000"/>
          <w:sz w:val="24"/>
          <w:lang w:val="fr-CA"/>
        </w:rPr>
        <w:tab/>
      </w:r>
      <w:r w:rsidRPr="00886E7B">
        <w:rPr>
          <w:rFonts w:ascii="Arial" w:hAnsi="Arial"/>
          <w:color w:val="000000"/>
          <w:sz w:val="24"/>
          <w:lang w:val="fr-CA"/>
        </w:rPr>
        <w:tab/>
      </w:r>
    </w:p>
    <w:p w:rsidR="00903EDC" w:rsidRPr="00886E7B" w:rsidRDefault="00712A14" w:rsidP="00712A1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F70450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886E7B">
        <w:rPr>
          <w:rFonts w:ascii="Arial" w:hAnsi="Arial"/>
          <w:b/>
          <w:color w:val="000000"/>
          <w:sz w:val="28"/>
          <w:lang w:val="fr-CA"/>
        </w:rPr>
        <w:t>S.O</w:t>
      </w:r>
      <w:r w:rsidR="00886E7B" w:rsidRPr="00886E7B">
        <w:rPr>
          <w:rFonts w:ascii="Arial" w:hAnsi="Arial"/>
          <w:b/>
          <w:color w:val="000000"/>
          <w:sz w:val="28"/>
          <w:lang w:val="fr-CA"/>
        </w:rPr>
        <w:t>.</w:t>
      </w:r>
    </w:p>
    <w:p w:rsidR="00903EDC" w:rsidRPr="00886E7B" w:rsidRDefault="00903EDC">
      <w:pPr>
        <w:rPr>
          <w:rFonts w:ascii="Arial" w:hAnsi="Arial"/>
          <w:b/>
          <w:color w:val="000000"/>
          <w:sz w:val="24"/>
          <w:lang w:val="fr-CA"/>
        </w:rPr>
      </w:pPr>
    </w:p>
    <w:p w:rsidR="00903EDC" w:rsidRPr="00886E7B" w:rsidRDefault="00712A14" w:rsidP="00712A1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903EDC" w:rsidRPr="00886E7B" w:rsidRDefault="00903EDC">
      <w:pPr>
        <w:ind w:left="720"/>
        <w:rPr>
          <w:rFonts w:ascii="Arial" w:hAnsi="Arial"/>
          <w:b/>
          <w:color w:val="000000"/>
          <w:sz w:val="28"/>
          <w:lang w:val="fr-CA"/>
        </w:rPr>
      </w:pPr>
    </w:p>
    <w:p w:rsidR="00903EDC" w:rsidRPr="00886E7B" w:rsidRDefault="00712A14" w:rsidP="00712A14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886E7B">
        <w:rPr>
          <w:rFonts w:ascii="Arial" w:hAnsi="Arial"/>
          <w:color w:val="000000"/>
          <w:sz w:val="24"/>
          <w:lang w:val="fr-CA"/>
        </w:rPr>
        <w:t xml:space="preserve">Entretien </w:t>
      </w:r>
      <w:r w:rsidR="00F70450">
        <w:rPr>
          <w:rFonts w:ascii="Arial" w:hAnsi="Arial"/>
          <w:color w:val="000000"/>
          <w:sz w:val="24"/>
          <w:lang w:val="fr-CA"/>
        </w:rPr>
        <w:t>semestriel </w:t>
      </w:r>
      <w:r w:rsidRPr="00886E7B">
        <w:rPr>
          <w:rFonts w:ascii="Arial" w:hAnsi="Arial"/>
          <w:color w:val="000000"/>
          <w:sz w:val="24"/>
          <w:lang w:val="fr-CA"/>
        </w:rPr>
        <w:t>:</w:t>
      </w:r>
    </w:p>
    <w:p w:rsidR="00903EDC" w:rsidRPr="00886E7B" w:rsidRDefault="00903EDC">
      <w:pPr>
        <w:ind w:left="720"/>
        <w:rPr>
          <w:rFonts w:ascii="Arial" w:hAnsi="Arial"/>
          <w:sz w:val="24"/>
          <w:lang w:val="fr-CA"/>
        </w:rPr>
      </w:pPr>
    </w:p>
    <w:p w:rsidR="00903EDC" w:rsidRPr="00886E7B" w:rsidRDefault="00886E7B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886E7B">
        <w:rPr>
          <w:rFonts w:ascii="Arial" w:hAnsi="Arial"/>
          <w:sz w:val="24"/>
          <w:lang w:val="fr-CA"/>
        </w:rPr>
        <w:lastRenderedPageBreak/>
        <w:t xml:space="preserve">Inscrire le temps, la température et la vitesse </w:t>
      </w:r>
      <w:r>
        <w:rPr>
          <w:rFonts w:ascii="Arial" w:hAnsi="Arial"/>
          <w:sz w:val="24"/>
          <w:lang w:val="fr-CA"/>
        </w:rPr>
        <w:t>établis</w:t>
      </w:r>
      <w:r w:rsidRPr="00886E7B">
        <w:rPr>
          <w:rFonts w:ascii="Arial" w:hAnsi="Arial"/>
          <w:sz w:val="24"/>
          <w:lang w:val="fr-CA"/>
        </w:rPr>
        <w:t xml:space="preserve"> pour chaque programme pour s’assurer que ces param</w:t>
      </w:r>
      <w:r>
        <w:rPr>
          <w:rFonts w:ascii="Arial" w:hAnsi="Arial"/>
          <w:sz w:val="24"/>
          <w:lang w:val="fr-CA"/>
        </w:rPr>
        <w:t xml:space="preserve">ètres sont conformes à ceux de la feuille placée sur le couvercle de la </w:t>
      </w:r>
      <w:r w:rsidR="00903EDC" w:rsidRPr="00886E7B">
        <w:rPr>
          <w:rFonts w:ascii="Arial" w:hAnsi="Arial"/>
          <w:sz w:val="24"/>
          <w:lang w:val="fr-CA"/>
        </w:rPr>
        <w:t>centrifuge</w:t>
      </w:r>
      <w:r>
        <w:rPr>
          <w:rFonts w:ascii="Arial" w:hAnsi="Arial"/>
          <w:sz w:val="24"/>
          <w:lang w:val="fr-CA"/>
        </w:rPr>
        <w:t>use</w:t>
      </w:r>
      <w:r w:rsidR="00903EDC" w:rsidRPr="00886E7B">
        <w:rPr>
          <w:rFonts w:ascii="Arial" w:hAnsi="Arial"/>
          <w:sz w:val="24"/>
          <w:lang w:val="fr-CA"/>
        </w:rPr>
        <w:t>.</w:t>
      </w:r>
    </w:p>
    <w:p w:rsidR="00903EDC" w:rsidRPr="00532CDB" w:rsidRDefault="00903EDC" w:rsidP="00712A14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 w:rsidRPr="00532CDB">
        <w:rPr>
          <w:rFonts w:ascii="Arial" w:hAnsi="Arial"/>
          <w:color w:val="000000"/>
          <w:sz w:val="24"/>
          <w:lang w:val="fr-CA"/>
        </w:rPr>
        <w:t>Observe</w:t>
      </w:r>
      <w:r w:rsidR="00886E7B" w:rsidRPr="00532CDB">
        <w:rPr>
          <w:rFonts w:ascii="Arial" w:hAnsi="Arial"/>
          <w:color w:val="000000"/>
          <w:sz w:val="24"/>
          <w:lang w:val="fr-CA"/>
        </w:rPr>
        <w:t>r et inscrire la température et la vitesse réelles de chaque programme  pour s’assurer qu’ils sont conformes aux paramètres des programmes</w:t>
      </w:r>
      <w:r w:rsidRPr="00532CDB">
        <w:rPr>
          <w:rFonts w:ascii="Arial" w:hAnsi="Arial"/>
          <w:color w:val="000000"/>
          <w:sz w:val="24"/>
          <w:lang w:val="fr-CA"/>
        </w:rPr>
        <w:t>.</w:t>
      </w:r>
      <w:r w:rsidR="00886E7B" w:rsidRPr="00532CDB">
        <w:rPr>
          <w:rFonts w:ascii="Arial" w:hAnsi="Arial"/>
          <w:color w:val="000000"/>
          <w:sz w:val="24"/>
          <w:lang w:val="fr-CA"/>
        </w:rPr>
        <w:br/>
        <w:t xml:space="preserve">Inscrire les résultats sur le formulaire </w:t>
      </w:r>
      <w:r w:rsidR="00886E7B" w:rsidRPr="00532CDB">
        <w:rPr>
          <w:rFonts w:ascii="Arial" w:hAnsi="Arial"/>
          <w:color w:val="000000"/>
          <w:sz w:val="24"/>
          <w:highlight w:val="yellow"/>
          <w:lang w:val="fr-CA"/>
        </w:rPr>
        <w:t>CAQ</w:t>
      </w:r>
      <w:r w:rsidR="00532CDB" w:rsidRPr="00532CDB">
        <w:rPr>
          <w:rFonts w:ascii="Arial" w:hAnsi="Arial"/>
          <w:color w:val="000000"/>
          <w:sz w:val="24"/>
          <w:highlight w:val="yellow"/>
          <w:lang w:val="fr-CA"/>
        </w:rPr>
        <w:t>.</w:t>
      </w:r>
      <w:r w:rsidRPr="00532CDB">
        <w:rPr>
          <w:rFonts w:ascii="Arial" w:hAnsi="Arial"/>
          <w:color w:val="000000"/>
          <w:sz w:val="24"/>
          <w:highlight w:val="yellow"/>
          <w:lang w:val="fr-CA"/>
        </w:rPr>
        <w:t>01</w:t>
      </w:r>
      <w:r w:rsidR="0082562C" w:rsidRPr="00532CDB">
        <w:rPr>
          <w:rFonts w:ascii="Arial" w:hAnsi="Arial"/>
          <w:color w:val="000000"/>
          <w:sz w:val="24"/>
          <w:highlight w:val="yellow"/>
          <w:lang w:val="fr-CA"/>
        </w:rPr>
        <w:t>7</w:t>
      </w:r>
      <w:r w:rsidRPr="00532CDB">
        <w:rPr>
          <w:rFonts w:ascii="Arial" w:hAnsi="Arial"/>
          <w:color w:val="000000"/>
          <w:sz w:val="24"/>
          <w:highlight w:val="yellow"/>
          <w:lang w:val="fr-CA"/>
        </w:rPr>
        <w:t>F2</w:t>
      </w:r>
      <w:r w:rsidRPr="00532CDB">
        <w:rPr>
          <w:rFonts w:ascii="Arial" w:hAnsi="Arial"/>
          <w:color w:val="000000"/>
          <w:sz w:val="24"/>
          <w:lang w:val="fr-CA"/>
        </w:rPr>
        <w:t xml:space="preserve">. </w:t>
      </w:r>
      <w:r w:rsidR="002424EB" w:rsidRPr="00532CDB">
        <w:rPr>
          <w:rFonts w:ascii="Arial" w:hAnsi="Arial"/>
          <w:color w:val="000000"/>
          <w:sz w:val="24"/>
          <w:lang w:val="fr-CA"/>
        </w:rPr>
        <w:t>Avertir l</w:t>
      </w:r>
      <w:r w:rsidR="00712A14" w:rsidRPr="00532CDB">
        <w:rPr>
          <w:rFonts w:ascii="Arial" w:hAnsi="Arial"/>
          <w:color w:val="000000"/>
          <w:sz w:val="24"/>
          <w:lang w:val="fr-CA"/>
        </w:rPr>
        <w:t>e technologue responsable de toute anomalie.</w:t>
      </w:r>
    </w:p>
    <w:p w:rsidR="00903EDC" w:rsidRPr="00886E7B" w:rsidRDefault="00903EDC">
      <w:pPr>
        <w:rPr>
          <w:rFonts w:ascii="Arial" w:hAnsi="Arial"/>
          <w:sz w:val="24"/>
          <w:lang w:val="fr-CA"/>
        </w:rPr>
      </w:pPr>
    </w:p>
    <w:p w:rsidR="00903EDC" w:rsidRPr="00886E7B" w:rsidRDefault="00712A14" w:rsidP="00712A14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86E7B">
        <w:rPr>
          <w:rFonts w:ascii="Arial" w:hAnsi="Arial"/>
          <w:color w:val="000000"/>
          <w:sz w:val="24"/>
          <w:lang w:val="fr-CA"/>
        </w:rPr>
        <w:t xml:space="preserve">Nettoyage </w:t>
      </w:r>
      <w:r w:rsidR="00F70450">
        <w:rPr>
          <w:rFonts w:ascii="Arial" w:hAnsi="Arial"/>
          <w:color w:val="000000"/>
          <w:sz w:val="24"/>
          <w:lang w:val="fr-CA"/>
        </w:rPr>
        <w:t>hebdomadaire </w:t>
      </w:r>
      <w:r w:rsidRPr="00886E7B">
        <w:rPr>
          <w:rFonts w:ascii="Arial" w:hAnsi="Arial"/>
          <w:color w:val="000000"/>
          <w:sz w:val="24"/>
          <w:lang w:val="fr-CA"/>
        </w:rPr>
        <w:t>:</w:t>
      </w:r>
    </w:p>
    <w:p w:rsidR="00903EDC" w:rsidRPr="00886E7B" w:rsidRDefault="00903EDC">
      <w:pPr>
        <w:rPr>
          <w:rFonts w:ascii="Arial" w:hAnsi="Arial"/>
          <w:sz w:val="24"/>
          <w:lang w:val="fr-CA"/>
        </w:rPr>
      </w:pPr>
    </w:p>
    <w:p w:rsidR="00903EDC" w:rsidRPr="00886E7B" w:rsidRDefault="00022AE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Passer un linge doux sous le rotor pour en ôter toute </w:t>
      </w:r>
      <w:r w:rsidR="00903EDC" w:rsidRPr="00886E7B">
        <w:rPr>
          <w:rFonts w:ascii="Arial" w:hAnsi="Arial"/>
          <w:sz w:val="24"/>
          <w:lang w:val="fr-CA"/>
        </w:rPr>
        <w:t xml:space="preserve">condensation.  </w:t>
      </w:r>
    </w:p>
    <w:p w:rsidR="00903EDC" w:rsidRPr="00886E7B" w:rsidRDefault="00022AE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Une fois par semaine, ou au besoin, en cas de déversement, retirer les bols et les faire tremper dans un désinfectant non corrosif pendant au moins </w:t>
      </w:r>
      <w:r w:rsidR="00903EDC" w:rsidRPr="00886E7B">
        <w:rPr>
          <w:rFonts w:ascii="Arial" w:hAnsi="Arial"/>
          <w:sz w:val="24"/>
          <w:lang w:val="fr-CA"/>
        </w:rPr>
        <w:t>10 minutes</w:t>
      </w:r>
      <w:r>
        <w:rPr>
          <w:rFonts w:ascii="Arial" w:hAnsi="Arial"/>
          <w:sz w:val="24"/>
          <w:lang w:val="fr-CA"/>
        </w:rPr>
        <w:t>, puis le</w:t>
      </w:r>
      <w:r w:rsidR="000B6866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 xml:space="preserve"> nettoyer à fond</w:t>
      </w:r>
      <w:r w:rsidR="00903EDC" w:rsidRPr="00886E7B">
        <w:rPr>
          <w:rFonts w:ascii="Arial" w:hAnsi="Arial"/>
          <w:sz w:val="24"/>
          <w:lang w:val="fr-CA"/>
        </w:rPr>
        <w:t>.</w:t>
      </w:r>
    </w:p>
    <w:p w:rsidR="00903EDC" w:rsidRPr="00886E7B" w:rsidRDefault="00886E7B" w:rsidP="00712A14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 w:rsidRPr="00886E7B">
        <w:rPr>
          <w:rFonts w:ascii="Arial" w:hAnsi="Arial"/>
          <w:color w:val="000000"/>
          <w:sz w:val="24"/>
          <w:lang w:val="fr-CA"/>
        </w:rPr>
        <w:t xml:space="preserve">Inscrire sur le formulaire </w:t>
      </w:r>
      <w:r w:rsidR="00903EDC" w:rsidRPr="00532CDB">
        <w:rPr>
          <w:rFonts w:ascii="Arial" w:hAnsi="Arial"/>
          <w:color w:val="000000"/>
          <w:sz w:val="24"/>
          <w:highlight w:val="yellow"/>
          <w:lang w:val="fr-CA"/>
        </w:rPr>
        <w:t>CA</w:t>
      </w:r>
      <w:r w:rsidRPr="00532CDB">
        <w:rPr>
          <w:rFonts w:ascii="Arial" w:hAnsi="Arial"/>
          <w:color w:val="000000"/>
          <w:sz w:val="24"/>
          <w:highlight w:val="yellow"/>
          <w:lang w:val="fr-CA"/>
        </w:rPr>
        <w:t>Q</w:t>
      </w:r>
      <w:r w:rsidR="00903EDC" w:rsidRPr="00532CDB">
        <w:rPr>
          <w:rFonts w:ascii="Arial" w:hAnsi="Arial"/>
          <w:color w:val="000000"/>
          <w:sz w:val="24"/>
          <w:highlight w:val="yellow"/>
          <w:lang w:val="fr-CA"/>
        </w:rPr>
        <w:t>.01</w:t>
      </w:r>
      <w:r w:rsidR="0082562C" w:rsidRPr="00532CDB">
        <w:rPr>
          <w:rFonts w:ascii="Arial" w:hAnsi="Arial"/>
          <w:color w:val="000000"/>
          <w:sz w:val="24"/>
          <w:highlight w:val="yellow"/>
          <w:lang w:val="fr-CA"/>
        </w:rPr>
        <w:t>7</w:t>
      </w:r>
      <w:r w:rsidR="00903EDC" w:rsidRPr="00532CDB">
        <w:rPr>
          <w:rFonts w:ascii="Arial" w:hAnsi="Arial"/>
          <w:color w:val="000000"/>
          <w:sz w:val="24"/>
          <w:highlight w:val="yellow"/>
          <w:lang w:val="fr-CA"/>
        </w:rPr>
        <w:t>F1</w:t>
      </w:r>
      <w:r w:rsidR="00903EDC" w:rsidRPr="00886E7B">
        <w:rPr>
          <w:rFonts w:ascii="Arial" w:hAnsi="Arial"/>
          <w:color w:val="000000"/>
          <w:sz w:val="24"/>
          <w:lang w:val="fr-CA"/>
        </w:rPr>
        <w:t xml:space="preserve">. </w:t>
      </w:r>
      <w:r w:rsidR="00712A14" w:rsidRPr="00886E7B">
        <w:rPr>
          <w:rFonts w:ascii="Arial" w:hAnsi="Arial"/>
          <w:color w:val="000000"/>
          <w:sz w:val="24"/>
          <w:lang w:val="fr-CA"/>
        </w:rPr>
        <w:t>Avertir le technologue responsable de toute anomalie.</w:t>
      </w:r>
    </w:p>
    <w:p w:rsidR="00903EDC" w:rsidRPr="00886E7B" w:rsidRDefault="00903EDC">
      <w:pPr>
        <w:pStyle w:val="Header"/>
        <w:tabs>
          <w:tab w:val="clear" w:pos="4320"/>
          <w:tab w:val="clear" w:pos="8640"/>
        </w:tabs>
        <w:rPr>
          <w:rFonts w:ascii="Arial" w:hAnsi="Arial"/>
          <w:lang w:val="fr-CA"/>
        </w:rPr>
      </w:pPr>
    </w:p>
    <w:p w:rsidR="00903EDC" w:rsidRPr="00886E7B" w:rsidRDefault="00712A14" w:rsidP="00712A1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>Documentation</w:t>
      </w:r>
    </w:p>
    <w:p w:rsidR="00903EDC" w:rsidRDefault="00903EDC">
      <w:pPr>
        <w:ind w:left="720"/>
        <w:rPr>
          <w:rFonts w:ascii="Arial" w:hAnsi="Arial"/>
          <w:color w:val="000000"/>
          <w:lang w:val="fr-CA"/>
        </w:rPr>
      </w:pPr>
    </w:p>
    <w:p w:rsidR="0082562C" w:rsidRPr="00886E7B" w:rsidRDefault="0082562C" w:rsidP="0082562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Le superviseur ou la personne désignée doit vérifier tous les mois le registre de nettoyage et apposer ses initiales pour signifier que la vérification a été faite.</w:t>
      </w:r>
    </w:p>
    <w:p w:rsidR="0082562C" w:rsidRPr="00886E7B" w:rsidRDefault="0082562C">
      <w:pPr>
        <w:ind w:left="720"/>
        <w:rPr>
          <w:rFonts w:ascii="Arial" w:hAnsi="Arial"/>
          <w:color w:val="000000"/>
          <w:lang w:val="fr-CA"/>
        </w:rPr>
      </w:pPr>
    </w:p>
    <w:p w:rsidR="00903EDC" w:rsidRPr="00886E7B" w:rsidRDefault="00712A14" w:rsidP="00712A1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>Remarques – S.O.</w:t>
      </w:r>
    </w:p>
    <w:p w:rsidR="00903EDC" w:rsidRPr="00886E7B" w:rsidRDefault="00903EDC">
      <w:pPr>
        <w:ind w:left="720"/>
        <w:rPr>
          <w:rFonts w:ascii="Arial" w:hAnsi="Arial"/>
          <w:color w:val="000000"/>
          <w:lang w:val="fr-CA"/>
        </w:rPr>
      </w:pPr>
    </w:p>
    <w:p w:rsidR="00903EDC" w:rsidRPr="00886E7B" w:rsidRDefault="00712A14" w:rsidP="00712A1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>Références</w:t>
      </w:r>
    </w:p>
    <w:p w:rsidR="00903EDC" w:rsidRPr="00886E7B" w:rsidRDefault="00903EDC">
      <w:pPr>
        <w:rPr>
          <w:rFonts w:ascii="Arial" w:hAnsi="Arial"/>
          <w:color w:val="000000"/>
          <w:sz w:val="24"/>
          <w:lang w:val="fr-CA"/>
        </w:rPr>
      </w:pPr>
    </w:p>
    <w:p w:rsidR="00903EDC" w:rsidRDefault="003837EB" w:rsidP="00712A14">
      <w:pPr>
        <w:numPr>
          <w:ilvl w:val="1"/>
          <w:numId w:val="1"/>
        </w:numPr>
        <w:rPr>
          <w:rFonts w:ascii="Arial" w:hAnsi="Arial"/>
          <w:color w:val="000000"/>
          <w:sz w:val="24"/>
          <w:szCs w:val="24"/>
          <w:lang w:val="fr-CA"/>
        </w:rPr>
      </w:pPr>
      <w:r w:rsidRPr="003837EB">
        <w:rPr>
          <w:rFonts w:ascii="Arial" w:hAnsi="Arial"/>
          <w:color w:val="000000"/>
          <w:sz w:val="24"/>
          <w:szCs w:val="24"/>
          <w:lang w:val="fr-CA"/>
        </w:rPr>
        <w:t>Standards for Hospital Transfusion Services, version 3 (février 2011), Société canadienne de médecine transfusionnelle</w:t>
      </w:r>
      <w:r w:rsidR="00712A14" w:rsidRPr="003837EB">
        <w:rPr>
          <w:rFonts w:ascii="Arial" w:hAnsi="Arial"/>
          <w:color w:val="000000"/>
          <w:sz w:val="24"/>
          <w:szCs w:val="24"/>
          <w:lang w:val="fr-CA"/>
        </w:rPr>
        <w:t>.</w:t>
      </w:r>
      <w:r>
        <w:rPr>
          <w:rFonts w:ascii="Arial" w:hAnsi="Arial"/>
          <w:color w:val="000000"/>
          <w:sz w:val="24"/>
          <w:szCs w:val="24"/>
          <w:lang w:val="fr-CA"/>
        </w:rPr>
        <w:t xml:space="preserve"> 3.1.1; 3.1.2; 3.1.3; 3.3.2</w:t>
      </w:r>
    </w:p>
    <w:p w:rsidR="003837EB" w:rsidRPr="003837EB" w:rsidRDefault="003837EB" w:rsidP="00712A14">
      <w:pPr>
        <w:numPr>
          <w:ilvl w:val="1"/>
          <w:numId w:val="1"/>
        </w:numPr>
        <w:rPr>
          <w:rFonts w:ascii="Arial" w:hAnsi="Arial"/>
          <w:color w:val="000000"/>
          <w:sz w:val="24"/>
          <w:szCs w:val="24"/>
          <w:lang w:val="fr-CA"/>
        </w:rPr>
      </w:pPr>
      <w:r w:rsidRPr="003837EB">
        <w:rPr>
          <w:rFonts w:ascii="Arial" w:hAnsi="Arial"/>
          <w:sz w:val="24"/>
          <w:szCs w:val="24"/>
          <w:lang w:val="fr-CA"/>
        </w:rPr>
        <w:t xml:space="preserve">IQMH </w:t>
      </w:r>
      <w:r w:rsidR="00532CDB">
        <w:rPr>
          <w:rFonts w:ascii="Arial" w:hAnsi="Arial"/>
          <w:sz w:val="24"/>
          <w:szCs w:val="24"/>
          <w:lang w:val="fr-CA"/>
        </w:rPr>
        <w:t xml:space="preserve">Accrediration </w:t>
      </w:r>
      <w:r w:rsidRPr="003837EB">
        <w:rPr>
          <w:rFonts w:ascii="Arial" w:hAnsi="Arial"/>
          <w:sz w:val="24"/>
          <w:szCs w:val="24"/>
          <w:lang w:val="fr-CA"/>
        </w:rPr>
        <w:t xml:space="preserve">Requirements and </w:t>
      </w:r>
      <w:r w:rsidRPr="003837EB">
        <w:rPr>
          <w:rFonts w:ascii="Arial" w:hAnsi="Arial"/>
          <w:sz w:val="24"/>
          <w:szCs w:val="24"/>
        </w:rPr>
        <w:t>Guidance Information. Version 6.0 (décembre 2013)</w:t>
      </w:r>
      <w:r w:rsidR="00532CDB">
        <w:rPr>
          <w:rFonts w:ascii="Arial" w:hAnsi="Arial"/>
          <w:sz w:val="24"/>
          <w:szCs w:val="24"/>
        </w:rPr>
        <w:t xml:space="preserve">. </w:t>
      </w:r>
      <w:r w:rsidRPr="003837EB">
        <w:rPr>
          <w:rFonts w:ascii="Arial" w:hAnsi="Arial"/>
          <w:sz w:val="24"/>
          <w:szCs w:val="24"/>
        </w:rPr>
        <w:t>IV</w:t>
      </w:r>
    </w:p>
    <w:p w:rsidR="00903EDC" w:rsidRPr="003837EB" w:rsidRDefault="00903EDC">
      <w:pPr>
        <w:ind w:left="720"/>
        <w:rPr>
          <w:rFonts w:ascii="Arial" w:hAnsi="Arial"/>
          <w:color w:val="000000"/>
          <w:sz w:val="24"/>
          <w:szCs w:val="24"/>
          <w:lang w:val="fr-CA"/>
        </w:rPr>
      </w:pPr>
    </w:p>
    <w:p w:rsidR="003837EB" w:rsidRPr="00D86D02" w:rsidRDefault="003837EB" w:rsidP="003837EB">
      <w:pPr>
        <w:rPr>
          <w:rFonts w:ascii="Arial" w:hAnsi="Arial"/>
          <w:b/>
          <w:sz w:val="28"/>
          <w:lang w:val="fr-CA"/>
        </w:rPr>
      </w:pPr>
      <w:r w:rsidRPr="00D86D02">
        <w:rPr>
          <w:rFonts w:ascii="Arial" w:hAnsi="Arial"/>
          <w:b/>
          <w:sz w:val="28"/>
          <w:lang w:val="fr-CA"/>
        </w:rPr>
        <w:t>10.0 Suivi des révisions</w:t>
      </w:r>
    </w:p>
    <w:p w:rsidR="003837EB" w:rsidRPr="00D86D02" w:rsidRDefault="003837EB" w:rsidP="003837EB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3837EB" w:rsidRPr="00D86D02" w:rsidTr="00A11546">
        <w:tc>
          <w:tcPr>
            <w:tcW w:w="2660" w:type="dxa"/>
            <w:shd w:val="clear" w:color="auto" w:fill="F2F2F2"/>
          </w:tcPr>
          <w:p w:rsidR="003837EB" w:rsidRPr="003910AA" w:rsidRDefault="003837EB" w:rsidP="00A11546">
            <w:pPr>
              <w:jc w:val="center"/>
              <w:rPr>
                <w:rFonts w:ascii="Arial" w:hAnsi="Arial"/>
                <w:b/>
                <w:lang w:val="fr-CA"/>
              </w:rPr>
            </w:pPr>
            <w:r w:rsidRPr="003910AA">
              <w:rPr>
                <w:rFonts w:ascii="Arial" w:hAnsi="Arial"/>
                <w:b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3837EB" w:rsidRPr="003910AA" w:rsidRDefault="003837EB" w:rsidP="00A11546">
            <w:pPr>
              <w:jc w:val="center"/>
              <w:rPr>
                <w:rFonts w:ascii="Arial" w:hAnsi="Arial"/>
                <w:b/>
                <w:lang w:val="fr-CA"/>
              </w:rPr>
            </w:pPr>
            <w:r w:rsidRPr="003910AA">
              <w:rPr>
                <w:rFonts w:ascii="Arial" w:hAnsi="Arial"/>
                <w:b/>
                <w:lang w:val="fr-CA"/>
              </w:rPr>
              <w:t>Résumé des changements</w:t>
            </w:r>
          </w:p>
        </w:tc>
      </w:tr>
      <w:tr w:rsidR="003837EB" w:rsidRPr="00D86D02" w:rsidTr="00A11546">
        <w:tc>
          <w:tcPr>
            <w:tcW w:w="2660" w:type="dxa"/>
            <w:shd w:val="clear" w:color="auto" w:fill="auto"/>
          </w:tcPr>
          <w:p w:rsidR="003837EB" w:rsidRPr="003910AA" w:rsidRDefault="003837EB" w:rsidP="00A11546">
            <w:pPr>
              <w:rPr>
                <w:rFonts w:ascii="Arial" w:hAnsi="Arial"/>
                <w:lang w:val="fr-CA"/>
              </w:rPr>
            </w:pPr>
            <w:r w:rsidRPr="003910AA">
              <w:rPr>
                <w:rFonts w:ascii="Arial" w:hAnsi="Arial"/>
                <w:lang w:val="fr-CA"/>
              </w:rPr>
              <w:t>1</w:t>
            </w:r>
            <w:r w:rsidRPr="003910AA">
              <w:rPr>
                <w:rFonts w:ascii="Arial" w:hAnsi="Arial"/>
                <w:vertAlign w:val="superscript"/>
                <w:lang w:val="fr-CA"/>
              </w:rPr>
              <w:t xml:space="preserve">er </w:t>
            </w:r>
            <w:r w:rsidRPr="003910AA">
              <w:rPr>
                <w:rFonts w:ascii="Arial" w:hAnsi="Arial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3837EB" w:rsidRPr="00532CDB" w:rsidRDefault="003837EB" w:rsidP="003837E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32CDB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532CDB" w:rsidRPr="00532CDB" w:rsidRDefault="003837EB" w:rsidP="003837E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32CDB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="00532CDB" w:rsidRPr="00532CDB">
              <w:rPr>
                <w:rFonts w:ascii="Arial" w:hAnsi="Arial" w:cs="Arial"/>
                <w:sz w:val="22"/>
                <w:szCs w:val="22"/>
                <w:lang w:val="fr-CA"/>
              </w:rPr>
              <w:t>enumérotation de la procédure à CAQ.017 de CAQ.019</w:t>
            </w:r>
          </w:p>
          <w:p w:rsidR="003837EB" w:rsidRPr="00532CDB" w:rsidRDefault="00532CDB" w:rsidP="003837E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32CDB">
              <w:rPr>
                <w:rFonts w:ascii="Arial" w:hAnsi="Arial" w:cs="Arial"/>
                <w:sz w:val="22"/>
                <w:szCs w:val="22"/>
                <w:lang w:val="fr-CA"/>
              </w:rPr>
              <w:t>Révision de la section 4.0</w:t>
            </w:r>
          </w:p>
          <w:p w:rsidR="003837EB" w:rsidRPr="003910AA" w:rsidRDefault="003837EB" w:rsidP="003837EB">
            <w:pPr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  <w:r w:rsidRPr="00532CDB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903EDC" w:rsidRPr="00886E7B" w:rsidRDefault="00903EDC" w:rsidP="002424EB">
      <w:pPr>
        <w:ind w:left="1440"/>
        <w:rPr>
          <w:rFonts w:ascii="Arial" w:hAnsi="Arial"/>
          <w:color w:val="000000"/>
          <w:sz w:val="24"/>
          <w:lang w:val="fr-CA"/>
        </w:rPr>
      </w:pPr>
    </w:p>
    <w:sectPr w:rsidR="00903EDC" w:rsidRPr="00886E7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3B" w:rsidRDefault="00381D3B">
      <w:r>
        <w:separator/>
      </w:r>
    </w:p>
  </w:endnote>
  <w:endnote w:type="continuationSeparator" w:id="0">
    <w:p w:rsidR="00381D3B" w:rsidRDefault="0038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03ED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903EDC" w:rsidRDefault="00903EDC">
          <w:pPr>
            <w:pStyle w:val="Footer"/>
            <w:jc w:val="center"/>
            <w:rPr>
              <w:sz w:val="8"/>
            </w:rPr>
          </w:pPr>
        </w:p>
        <w:p w:rsidR="00903EDC" w:rsidRDefault="0021426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03EDC" w:rsidRPr="00712A14" w:rsidRDefault="00903ED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414C9C" w:rsidRPr="00D52543" w:rsidRDefault="00414C9C" w:rsidP="00414C9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14C9C" w:rsidRPr="00D52543" w:rsidRDefault="00414C9C" w:rsidP="00414C9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903EDC" w:rsidRPr="00712A14" w:rsidRDefault="00903ED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903EDC" w:rsidRPr="00712A14" w:rsidRDefault="00903ED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903EDC" w:rsidRPr="00712A14" w:rsidRDefault="00903EDC" w:rsidP="00414C9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712A14">
            <w:rPr>
              <w:rFonts w:ascii="Arial" w:hAnsi="Arial"/>
              <w:sz w:val="18"/>
              <w:lang w:val="fr-CA"/>
            </w:rPr>
            <w:t>CA</w:t>
          </w:r>
          <w:r w:rsidR="00712A14">
            <w:rPr>
              <w:rFonts w:ascii="Arial" w:hAnsi="Arial"/>
              <w:sz w:val="18"/>
              <w:lang w:val="fr-CA"/>
            </w:rPr>
            <w:t>Q</w:t>
          </w:r>
          <w:r w:rsidRPr="00712A14">
            <w:rPr>
              <w:rFonts w:ascii="Arial" w:hAnsi="Arial"/>
              <w:sz w:val="18"/>
              <w:lang w:val="fr-CA"/>
            </w:rPr>
            <w:t>. 01</w:t>
          </w:r>
          <w:r w:rsidR="003B106B">
            <w:rPr>
              <w:rFonts w:ascii="Arial" w:hAnsi="Arial"/>
              <w:sz w:val="18"/>
              <w:lang w:val="fr-CA"/>
            </w:rPr>
            <w:t>7</w:t>
          </w:r>
          <w:r w:rsidRPr="00712A14">
            <w:rPr>
              <w:rFonts w:ascii="Arial" w:hAnsi="Arial"/>
              <w:sz w:val="18"/>
              <w:lang w:val="fr-CA"/>
            </w:rPr>
            <w:br/>
          </w:r>
          <w:r w:rsidR="00712A14" w:rsidRPr="00F70450">
            <w:rPr>
              <w:rFonts w:ascii="Arial" w:hAnsi="Arial"/>
              <w:snapToGrid w:val="0"/>
              <w:sz w:val="18"/>
              <w:lang w:val="fr-CA"/>
            </w:rPr>
            <w:t>Page</w:t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532CDB">
            <w:rPr>
              <w:rFonts w:ascii="Arial" w:hAnsi="Arial"/>
              <w:noProof/>
              <w:snapToGrid w:val="0"/>
              <w:sz w:val="18"/>
              <w:lang w:val="fr-CA"/>
            </w:rPr>
            <w:t>2</w:t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="00712A14">
            <w:rPr>
              <w:rFonts w:ascii="Arial" w:hAnsi="Arial"/>
              <w:snapToGrid w:val="0"/>
              <w:sz w:val="18"/>
              <w:lang w:val="fr-CA"/>
            </w:rPr>
            <w:t>de</w:t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532CDB">
            <w:rPr>
              <w:rFonts w:ascii="Arial" w:hAnsi="Arial"/>
              <w:noProof/>
              <w:snapToGrid w:val="0"/>
              <w:sz w:val="18"/>
              <w:lang w:val="fr-CA"/>
            </w:rPr>
            <w:t>2</w:t>
          </w:r>
          <w:r w:rsidRPr="00712A14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903EDC" w:rsidRDefault="00903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03ED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903EDC" w:rsidRDefault="00903ED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03EDC" w:rsidRDefault="0021426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03EDC" w:rsidRDefault="00903ED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14C9C" w:rsidRPr="00D52543" w:rsidRDefault="00414C9C" w:rsidP="00414C9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14C9C" w:rsidRPr="00D52543" w:rsidRDefault="00414C9C" w:rsidP="00414C9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903EDC" w:rsidRDefault="00903ED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03EDC" w:rsidRDefault="00903ED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03EDC" w:rsidRDefault="00903EDC" w:rsidP="00414C9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712A14">
            <w:rPr>
              <w:rFonts w:ascii="Arial" w:hAnsi="Arial"/>
              <w:sz w:val="18"/>
            </w:rPr>
            <w:t>Q</w:t>
          </w:r>
          <w:r>
            <w:rPr>
              <w:rFonts w:ascii="Arial" w:hAnsi="Arial"/>
              <w:sz w:val="18"/>
            </w:rPr>
            <w:t>. 01</w:t>
          </w:r>
          <w:r w:rsidR="003B106B">
            <w:rPr>
              <w:rFonts w:ascii="Arial" w:hAnsi="Arial"/>
              <w:sz w:val="18"/>
            </w:rPr>
            <w:t>7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F684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712A14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F684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03EDC" w:rsidRDefault="00903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3B" w:rsidRDefault="00381D3B">
      <w:r>
        <w:separator/>
      </w:r>
    </w:p>
  </w:footnote>
  <w:footnote w:type="continuationSeparator" w:id="0">
    <w:p w:rsidR="00381D3B" w:rsidRDefault="0038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14" w:rsidRPr="00712A14" w:rsidRDefault="00712A14" w:rsidP="00712A14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>
      <w:rPr>
        <w:rFonts w:ascii="Arial" w:hAnsi="Arial"/>
        <w:b/>
        <w:color w:val="000000"/>
        <w:sz w:val="28"/>
        <w:lang w:val="fr-CA"/>
      </w:rPr>
      <w:t>N</w:t>
    </w:r>
    <w:r w:rsidRPr="00712A14">
      <w:rPr>
        <w:rFonts w:ascii="Arial" w:hAnsi="Arial"/>
        <w:b/>
        <w:color w:val="000000"/>
        <w:sz w:val="28"/>
        <w:lang w:val="fr-CA"/>
      </w:rPr>
      <w:t>ettoyage et entretien – Centrifugeuse réfrigérée</w:t>
    </w:r>
  </w:p>
  <w:p w:rsidR="00903EDC" w:rsidRPr="00712A14" w:rsidRDefault="00903EDC" w:rsidP="00712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DC" w:rsidRPr="00712A14" w:rsidRDefault="0021426C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C9C" w:rsidRPr="003837EB" w:rsidRDefault="00414C9C" w:rsidP="00414C9C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3837EB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414C9C" w:rsidRPr="003837EB" w:rsidRDefault="00414C9C" w:rsidP="00414C9C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3837EB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903EDC" w:rsidRPr="00712A14" w:rsidRDefault="00903EDC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903EDC" w:rsidRPr="00712A14" w:rsidRDefault="00712A14" w:rsidP="00712A14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712A14">
      <w:rPr>
        <w:rFonts w:ascii="Arial" w:hAnsi="Arial"/>
        <w:b/>
        <w:color w:val="000000"/>
        <w:sz w:val="28"/>
        <w:lang w:val="fr-CA"/>
      </w:rPr>
      <w:t>Nettoyage et entretien – Centrifugeuse réfrigérée</w:t>
    </w:r>
  </w:p>
  <w:p w:rsidR="00903EDC" w:rsidRPr="00712A14" w:rsidRDefault="00903EDC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</w:p>
  <w:p w:rsidR="00903EDC" w:rsidRPr="00712A14" w:rsidRDefault="00903EDC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712A14">
      <w:rPr>
        <w:rFonts w:ascii="Arial" w:hAnsi="Arial" w:cs="Arial"/>
        <w:b/>
        <w:bCs/>
        <w:color w:val="000000"/>
        <w:lang w:val="fr-CA"/>
      </w:rPr>
      <w:tab/>
    </w:r>
    <w:r w:rsidR="0021426C" w:rsidRPr="00712A14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A4F5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903EDC" w:rsidRPr="00712A14">
      <w:tc>
        <w:tcPr>
          <w:tcW w:w="4428" w:type="dxa"/>
        </w:tcPr>
        <w:p w:rsidR="00903EDC" w:rsidRPr="00712A14" w:rsidRDefault="00712A14" w:rsidP="003837EB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712A14">
            <w:rPr>
              <w:rFonts w:ascii="Arial" w:hAnsi="Arial" w:cs="Arial"/>
              <w:color w:val="000000"/>
              <w:lang w:val="fr-CA"/>
            </w:rPr>
            <w:t>Approbation :</w:t>
          </w:r>
          <w:r w:rsidR="003B106B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903EDC" w:rsidRPr="00712A14" w:rsidRDefault="00903EDC" w:rsidP="003B106B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712A14">
            <w:rPr>
              <w:rFonts w:ascii="Arial" w:hAnsi="Arial" w:cs="Arial"/>
              <w:color w:val="000000"/>
              <w:lang w:val="fr-CA"/>
            </w:rPr>
            <w:t xml:space="preserve">Document </w:t>
          </w:r>
          <w:r w:rsidR="00712A14" w:rsidRPr="00712A14">
            <w:rPr>
              <w:rFonts w:ascii="Arial" w:hAnsi="Arial" w:cs="Arial"/>
              <w:color w:val="000000"/>
              <w:lang w:val="fr-CA"/>
            </w:rPr>
            <w:t>n</w:t>
          </w:r>
          <w:r w:rsidR="00712A14" w:rsidRPr="00712A14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="00712A14" w:rsidRPr="00712A14">
            <w:rPr>
              <w:rFonts w:ascii="Arial" w:hAnsi="Arial" w:cs="Arial"/>
              <w:color w:val="000000"/>
              <w:lang w:val="fr-CA"/>
            </w:rPr>
            <w:t xml:space="preserve"> : </w:t>
          </w:r>
          <w:r w:rsidRPr="00712A14">
            <w:rPr>
              <w:rFonts w:ascii="Arial" w:hAnsi="Arial" w:cs="Arial"/>
              <w:color w:val="000000"/>
              <w:lang w:val="fr-CA"/>
            </w:rPr>
            <w:t>CA</w:t>
          </w:r>
          <w:r w:rsidR="00712A14" w:rsidRPr="00712A14">
            <w:rPr>
              <w:rFonts w:ascii="Arial" w:hAnsi="Arial" w:cs="Arial"/>
              <w:color w:val="000000"/>
              <w:lang w:val="fr-CA"/>
            </w:rPr>
            <w:t>Q</w:t>
          </w:r>
          <w:r w:rsidRPr="00712A14">
            <w:rPr>
              <w:rFonts w:ascii="Arial" w:hAnsi="Arial" w:cs="Arial"/>
              <w:color w:val="000000"/>
              <w:lang w:val="fr-CA"/>
            </w:rPr>
            <w:t>.01</w:t>
          </w:r>
          <w:r w:rsidR="003B106B">
            <w:rPr>
              <w:rFonts w:ascii="Arial" w:hAnsi="Arial" w:cs="Arial"/>
              <w:color w:val="000000"/>
              <w:lang w:val="fr-CA"/>
            </w:rPr>
            <w:t>7</w:t>
          </w:r>
        </w:p>
      </w:tc>
    </w:tr>
    <w:tr w:rsidR="00903EDC" w:rsidRPr="00712A14">
      <w:tc>
        <w:tcPr>
          <w:tcW w:w="4428" w:type="dxa"/>
        </w:tcPr>
        <w:p w:rsidR="00903EDC" w:rsidRPr="00712A14" w:rsidRDefault="00712A14" w:rsidP="00712A1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712A14">
            <w:rPr>
              <w:rFonts w:ascii="Arial" w:hAnsi="Arial" w:cs="Arial"/>
              <w:color w:val="00000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903EDC" w:rsidRPr="00712A14" w:rsidRDefault="00712A14" w:rsidP="00712A1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712A14">
            <w:rPr>
              <w:rFonts w:ascii="Arial" w:hAnsi="Arial" w:cs="Arial"/>
              <w:color w:val="000000"/>
              <w:lang w:val="fr-CA"/>
            </w:rPr>
            <w:t>Catégorie : Contrôle et assurance de la qualité</w:t>
          </w:r>
        </w:p>
      </w:tc>
    </w:tr>
    <w:tr w:rsidR="00903EDC" w:rsidRPr="00712A14">
      <w:tc>
        <w:tcPr>
          <w:tcW w:w="4428" w:type="dxa"/>
        </w:tcPr>
        <w:p w:rsidR="00903EDC" w:rsidRPr="00712A14" w:rsidRDefault="00712A14" w:rsidP="00712A1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712A14">
            <w:rPr>
              <w:rFonts w:ascii="Arial" w:hAnsi="Arial" w:cs="Arial"/>
              <w:color w:val="000000"/>
              <w:lang w:val="fr-CA"/>
            </w:rPr>
            <w:t>Date de révision</w:t>
          </w:r>
          <w:r w:rsidR="003B106B">
            <w:rPr>
              <w:rFonts w:ascii="Arial" w:hAnsi="Arial" w:cs="Arial"/>
              <w:color w:val="000000"/>
              <w:lang w:val="fr-CA"/>
            </w:rPr>
            <w:t> : 2009/12/31</w:t>
          </w:r>
          <w:r w:rsidR="003837EB">
            <w:rPr>
              <w:rFonts w:ascii="Arial" w:hAnsi="Arial" w:cs="Arial"/>
              <w:color w:val="000000"/>
              <w:lang w:val="fr-CA"/>
            </w:rPr>
            <w:t>; 2015/09/01</w:t>
          </w:r>
        </w:p>
      </w:tc>
      <w:tc>
        <w:tcPr>
          <w:tcW w:w="4428" w:type="dxa"/>
        </w:tcPr>
        <w:p w:rsidR="00903EDC" w:rsidRPr="00712A14" w:rsidRDefault="00712A14" w:rsidP="00712A1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712A14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="00903EDC" w:rsidRPr="00712A14">
            <w:rPr>
              <w:rFonts w:ascii="Arial" w:hAnsi="Arial" w:cs="Arial"/>
              <w:color w:val="000000"/>
              <w:lang w:val="fr-CA"/>
            </w:rPr>
            <w:fldChar w:fldCharType="begin"/>
          </w:r>
          <w:r w:rsidR="00903EDC" w:rsidRPr="00712A14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="00903EDC" w:rsidRPr="00712A14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0F6848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="00903EDC" w:rsidRPr="00712A14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903EDC" w:rsidRPr="00712A14" w:rsidRDefault="0021426C">
    <w:pPr>
      <w:pStyle w:val="Header"/>
      <w:rPr>
        <w:color w:val="000000"/>
        <w:lang w:val="fr-CA"/>
      </w:rPr>
    </w:pPr>
    <w:r w:rsidRPr="00712A14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76F0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903EDC" w:rsidRPr="00712A14">
      <w:rPr>
        <w:rFonts w:ascii="Arial" w:hAnsi="Arial" w:cs="Arial"/>
        <w:color w:val="000000"/>
        <w:lang w:val="fr-CA"/>
      </w:rPr>
      <w:tab/>
    </w:r>
  </w:p>
  <w:p w:rsidR="00903EDC" w:rsidRPr="00712A14" w:rsidRDefault="00903EDC">
    <w:pPr>
      <w:pStyle w:val="Header"/>
      <w:rPr>
        <w:color w:val="00000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14"/>
    <w:rsid w:val="00022AE8"/>
    <w:rsid w:val="000B6866"/>
    <w:rsid w:val="000F6848"/>
    <w:rsid w:val="00100E1F"/>
    <w:rsid w:val="0021426C"/>
    <w:rsid w:val="002424EB"/>
    <w:rsid w:val="002511F7"/>
    <w:rsid w:val="00381D3B"/>
    <w:rsid w:val="003837EB"/>
    <w:rsid w:val="003B106B"/>
    <w:rsid w:val="00414C9C"/>
    <w:rsid w:val="00475D6A"/>
    <w:rsid w:val="00532CDB"/>
    <w:rsid w:val="005D60F3"/>
    <w:rsid w:val="00712A14"/>
    <w:rsid w:val="008216ED"/>
    <w:rsid w:val="0082562C"/>
    <w:rsid w:val="00886E7B"/>
    <w:rsid w:val="00903EDC"/>
    <w:rsid w:val="009416A6"/>
    <w:rsid w:val="00A11546"/>
    <w:rsid w:val="00AB72B7"/>
    <w:rsid w:val="00CA3A96"/>
    <w:rsid w:val="00E6254B"/>
    <w:rsid w:val="00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C2164-5D7D-43FC-ADB5-CA0A2EFB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414C9C"/>
    <w:rPr>
      <w:lang w:val="en-US" w:eastAsia="en-US"/>
    </w:rPr>
  </w:style>
  <w:style w:type="paragraph" w:styleId="ListParagraph">
    <w:name w:val="List Paragraph"/>
    <w:basedOn w:val="Normal"/>
    <w:uiPriority w:val="72"/>
    <w:qFormat/>
    <w:rsid w:val="003837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QCA.019 - Refrigerated Centrifuges -Cleaning Maintenance</vt:lpstr>
      <vt:lpstr>QCA.019 - Refrigerated Centrifuges -Cleaning Maintenance</vt:lpstr>
    </vt:vector>
  </TitlesOfParts>
  <Company>The Ottawa Hospital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QCA.019 - Refrigerated Centrifuges -Cleaning Maintenance</dc:title>
  <dc:subject/>
  <dc:creator>TOPO</dc:creator>
  <cp:keywords/>
  <cp:lastModifiedBy>Nesrallah, Heather</cp:lastModifiedBy>
  <cp:revision>2</cp:revision>
  <cp:lastPrinted>2010-06-17T14:16:00Z</cp:lastPrinted>
  <dcterms:created xsi:type="dcterms:W3CDTF">2019-08-13T00:29:00Z</dcterms:created>
  <dcterms:modified xsi:type="dcterms:W3CDTF">2019-08-13T00:29:00Z</dcterms:modified>
</cp:coreProperties>
</file>