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8D" w:rsidRPr="00EF0FF1" w:rsidRDefault="0040078D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EF0FF1">
        <w:rPr>
          <w:rFonts w:ascii="Arial" w:hAnsi="Arial"/>
          <w:b/>
          <w:color w:val="000000"/>
          <w:sz w:val="28"/>
          <w:lang w:val="fr-CA"/>
        </w:rPr>
        <w:t>Principe</w:t>
      </w:r>
    </w:p>
    <w:p w:rsidR="0040078D" w:rsidRPr="00EF0FF1" w:rsidRDefault="0040078D">
      <w:pPr>
        <w:rPr>
          <w:rFonts w:ascii="Arial" w:hAnsi="Arial"/>
          <w:b/>
          <w:color w:val="000000"/>
          <w:sz w:val="24"/>
          <w:lang w:val="fr-CA"/>
        </w:rPr>
      </w:pPr>
    </w:p>
    <w:p w:rsidR="00B07467" w:rsidRPr="00EF0FF1" w:rsidRDefault="00B07467" w:rsidP="00B07467">
      <w:pPr>
        <w:ind w:left="720"/>
        <w:rPr>
          <w:rFonts w:ascii="Arial" w:hAnsi="Arial"/>
          <w:color w:val="000000"/>
          <w:sz w:val="24"/>
          <w:lang w:val="fr-CA"/>
        </w:rPr>
      </w:pPr>
      <w:r w:rsidRPr="00EF0FF1">
        <w:rPr>
          <w:rFonts w:ascii="Arial" w:hAnsi="Arial"/>
          <w:color w:val="000000"/>
          <w:sz w:val="24"/>
          <w:lang w:val="fr-CA"/>
        </w:rPr>
        <w:t>Conformément aux normes et aux exigences d’accréditation, l’équipement du L</w:t>
      </w:r>
      <w:r w:rsidR="007A1C16">
        <w:rPr>
          <w:rFonts w:ascii="Arial" w:hAnsi="Arial"/>
          <w:color w:val="000000"/>
          <w:sz w:val="24"/>
          <w:lang w:val="fr-CA"/>
        </w:rPr>
        <w:t>aboratoire de médecine transfusionnelle (L</w:t>
      </w:r>
      <w:r w:rsidRPr="00EF0FF1">
        <w:rPr>
          <w:rFonts w:ascii="Arial" w:hAnsi="Arial"/>
          <w:color w:val="000000"/>
          <w:sz w:val="24"/>
          <w:lang w:val="fr-CA"/>
        </w:rPr>
        <w:t>MT</w:t>
      </w:r>
      <w:r w:rsidR="007A1C16">
        <w:rPr>
          <w:rFonts w:ascii="Arial" w:hAnsi="Arial"/>
          <w:color w:val="000000"/>
          <w:sz w:val="24"/>
          <w:lang w:val="fr-CA"/>
        </w:rPr>
        <w:t>)</w:t>
      </w:r>
      <w:r w:rsidRPr="00EF0FF1">
        <w:rPr>
          <w:rFonts w:ascii="Arial" w:hAnsi="Arial"/>
          <w:color w:val="000000"/>
          <w:sz w:val="24"/>
          <w:lang w:val="fr-CA"/>
        </w:rPr>
        <w:t xml:space="preserve"> doit être régulièrement nettoyé et maintenu en bon état de fonctionnement. </w:t>
      </w:r>
    </w:p>
    <w:p w:rsidR="0040078D" w:rsidRPr="00EF0FF1" w:rsidRDefault="0040078D">
      <w:pPr>
        <w:ind w:left="720"/>
        <w:rPr>
          <w:rFonts w:ascii="Arial" w:hAnsi="Arial"/>
          <w:color w:val="000000"/>
          <w:sz w:val="24"/>
          <w:lang w:val="fr-CA"/>
        </w:rPr>
      </w:pPr>
    </w:p>
    <w:p w:rsidR="0040078D" w:rsidRPr="00EF0FF1" w:rsidRDefault="00B07467" w:rsidP="00B07467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40078D" w:rsidRPr="00EF0FF1" w:rsidRDefault="0040078D">
      <w:pPr>
        <w:rPr>
          <w:rFonts w:ascii="Arial" w:hAnsi="Arial"/>
          <w:b/>
          <w:color w:val="000000"/>
          <w:sz w:val="24"/>
          <w:lang w:val="fr-CA"/>
        </w:rPr>
      </w:pPr>
    </w:p>
    <w:p w:rsidR="0040078D" w:rsidRPr="00EF0FF1" w:rsidRDefault="00B07467" w:rsidP="00B07467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EF0FF1">
        <w:rPr>
          <w:rFonts w:ascii="Arial" w:hAnsi="Arial"/>
          <w:color w:val="000000"/>
          <w:sz w:val="24"/>
          <w:lang w:val="fr-CA"/>
        </w:rPr>
        <w:t xml:space="preserve">L'équipement </w:t>
      </w:r>
      <w:r w:rsidR="00F66DF3">
        <w:rPr>
          <w:rFonts w:ascii="Arial" w:hAnsi="Arial"/>
          <w:color w:val="000000"/>
          <w:sz w:val="24"/>
          <w:lang w:val="fr-CA"/>
        </w:rPr>
        <w:t xml:space="preserve">du LMT </w:t>
      </w:r>
      <w:r w:rsidRPr="00EF0FF1">
        <w:rPr>
          <w:rFonts w:ascii="Arial" w:hAnsi="Arial"/>
          <w:color w:val="000000"/>
          <w:sz w:val="24"/>
          <w:lang w:val="fr-CA"/>
        </w:rPr>
        <w:t>qui sert pour le traitement, les analyse</w:t>
      </w:r>
      <w:r w:rsidR="007A1C16">
        <w:rPr>
          <w:rFonts w:ascii="Arial" w:hAnsi="Arial"/>
          <w:color w:val="000000"/>
          <w:sz w:val="24"/>
          <w:lang w:val="fr-CA"/>
        </w:rPr>
        <w:t>s</w:t>
      </w:r>
      <w:r w:rsidRPr="00EF0FF1">
        <w:rPr>
          <w:rFonts w:ascii="Arial" w:hAnsi="Arial"/>
          <w:color w:val="000000"/>
          <w:sz w:val="24"/>
          <w:lang w:val="fr-CA"/>
        </w:rPr>
        <w:t>, l'entreposage et la mise en circulation des produits sanguins doit être maintenu en bon état et nettoyé régulièrement.</w:t>
      </w:r>
      <w:r w:rsidR="0040078D" w:rsidRPr="00EF0FF1">
        <w:rPr>
          <w:rFonts w:ascii="Arial" w:hAnsi="Arial"/>
          <w:color w:val="000000"/>
          <w:sz w:val="24"/>
          <w:lang w:val="fr-CA"/>
        </w:rPr>
        <w:t xml:space="preserve"> </w:t>
      </w:r>
    </w:p>
    <w:p w:rsidR="0040078D" w:rsidRPr="00EF0FF1" w:rsidRDefault="0040078D">
      <w:pPr>
        <w:ind w:left="720"/>
        <w:rPr>
          <w:rFonts w:ascii="Arial" w:hAnsi="Arial"/>
          <w:color w:val="000000"/>
          <w:sz w:val="24"/>
          <w:lang w:val="fr-CA"/>
        </w:rPr>
      </w:pPr>
    </w:p>
    <w:p w:rsidR="0040078D" w:rsidRDefault="007A1C16" w:rsidP="00B07467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7A1C16">
        <w:rPr>
          <w:rFonts w:ascii="Arial" w:hAnsi="Arial"/>
          <w:color w:val="000000"/>
          <w:sz w:val="24"/>
          <w:lang w:val="fr-CA"/>
        </w:rPr>
        <w:t>Le dossier d</w:t>
      </w:r>
      <w:r>
        <w:rPr>
          <w:rFonts w:ascii="Arial" w:hAnsi="Arial"/>
          <w:color w:val="000000"/>
          <w:sz w:val="24"/>
          <w:lang w:val="fr-CA"/>
        </w:rPr>
        <w:t xml:space="preserve">e validation, </w:t>
      </w:r>
      <w:r w:rsidRPr="007A1C16">
        <w:rPr>
          <w:rFonts w:ascii="Arial" w:hAnsi="Arial"/>
          <w:color w:val="000000"/>
          <w:sz w:val="24"/>
          <w:lang w:val="fr-CA"/>
        </w:rPr>
        <w:t>d’étalonnage, d</w:t>
      </w:r>
      <w:r>
        <w:rPr>
          <w:rFonts w:ascii="Arial" w:hAnsi="Arial"/>
          <w:color w:val="000000"/>
          <w:sz w:val="24"/>
          <w:lang w:val="fr-CA"/>
        </w:rPr>
        <w:t>’entretien préventif, d</w:t>
      </w:r>
      <w:r w:rsidRPr="007A1C16">
        <w:rPr>
          <w:rFonts w:ascii="Arial" w:hAnsi="Arial"/>
          <w:color w:val="000000"/>
          <w:sz w:val="24"/>
          <w:lang w:val="fr-CA"/>
        </w:rPr>
        <w:t xml:space="preserve">e réparation </w:t>
      </w:r>
      <w:r>
        <w:rPr>
          <w:rFonts w:ascii="Arial" w:hAnsi="Arial"/>
          <w:color w:val="000000"/>
          <w:sz w:val="24"/>
          <w:lang w:val="fr-CA"/>
        </w:rPr>
        <w:t xml:space="preserve">et d’élimination de l’équipement </w:t>
      </w:r>
      <w:r w:rsidRPr="007A1C16">
        <w:rPr>
          <w:rFonts w:ascii="Arial" w:hAnsi="Arial"/>
          <w:color w:val="000000"/>
          <w:sz w:val="24"/>
          <w:lang w:val="fr-CA"/>
        </w:rPr>
        <w:t>doit être gardé pendant toute la durée de vie utile de l’équipement et cinq (5) années par la suite</w:t>
      </w:r>
      <w:r>
        <w:rPr>
          <w:rFonts w:ascii="Arial" w:hAnsi="Arial"/>
          <w:color w:val="000000"/>
          <w:sz w:val="24"/>
          <w:lang w:val="fr-CA"/>
        </w:rPr>
        <w:t xml:space="preserve"> </w:t>
      </w:r>
      <w:r w:rsidRPr="007A1C16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Pr="007A1C16">
        <w:rPr>
          <w:rFonts w:ascii="Arial" w:hAnsi="Arial"/>
          <w:color w:val="000000"/>
          <w:sz w:val="24"/>
          <w:lang w:val="fr-CA"/>
        </w:rPr>
        <w:t>.</w:t>
      </w:r>
    </w:p>
    <w:p w:rsidR="007A1C16" w:rsidRDefault="007A1C16" w:rsidP="007A1C16">
      <w:pPr>
        <w:pStyle w:val="ListParagraph"/>
        <w:rPr>
          <w:rFonts w:ascii="Arial" w:hAnsi="Arial"/>
          <w:color w:val="000000"/>
          <w:sz w:val="24"/>
          <w:lang w:val="fr-CA"/>
        </w:rPr>
      </w:pPr>
    </w:p>
    <w:p w:rsidR="007A1C16" w:rsidRPr="00EF0FF1" w:rsidRDefault="007A1C16" w:rsidP="007A1C16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7A1C16">
        <w:rPr>
          <w:rFonts w:ascii="Arial" w:hAnsi="Arial"/>
          <w:color w:val="000000"/>
          <w:sz w:val="24"/>
          <w:lang w:val="fr-CA"/>
        </w:rPr>
        <w:t>L</w:t>
      </w:r>
      <w:r>
        <w:rPr>
          <w:rFonts w:ascii="Arial" w:hAnsi="Arial"/>
          <w:color w:val="000000"/>
          <w:sz w:val="24"/>
          <w:lang w:val="fr-CA"/>
        </w:rPr>
        <w:t xml:space="preserve">’équipement doit être étiqueté </w:t>
      </w:r>
      <w:r w:rsidR="00C42518">
        <w:rPr>
          <w:rFonts w:ascii="Arial" w:hAnsi="Arial"/>
          <w:color w:val="000000"/>
          <w:sz w:val="24"/>
          <w:lang w:val="fr-CA"/>
        </w:rPr>
        <w:t>pour indiquer qu’il a été étalonné et mentionner quand le prochain étalonnage doit être fait</w:t>
      </w:r>
      <w:r w:rsidRPr="007A1C16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Pr="007A1C16">
        <w:rPr>
          <w:rFonts w:ascii="Arial" w:hAnsi="Arial"/>
          <w:color w:val="000000"/>
          <w:sz w:val="24"/>
          <w:lang w:val="fr-CA"/>
        </w:rPr>
        <w:t>.</w:t>
      </w:r>
      <w:r>
        <w:rPr>
          <w:rFonts w:ascii="Arial" w:hAnsi="Arial"/>
          <w:color w:val="000000"/>
          <w:sz w:val="24"/>
          <w:lang w:val="fr-CA"/>
        </w:rPr>
        <w:br/>
      </w:r>
    </w:p>
    <w:p w:rsidR="007A1C16" w:rsidRPr="00EF0FF1" w:rsidRDefault="00C42518" w:rsidP="007A1C16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L’équipement doit être régulièrement nettoyé et décontaminé s’il entre en contact avec du matériel biologique</w:t>
      </w:r>
      <w:r w:rsidR="007A1C16" w:rsidRPr="007A1C16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="007A1C16" w:rsidRPr="007A1C16">
        <w:rPr>
          <w:rFonts w:ascii="Arial" w:hAnsi="Arial"/>
          <w:color w:val="000000"/>
          <w:sz w:val="24"/>
          <w:lang w:val="fr-CA"/>
        </w:rPr>
        <w:t>.</w:t>
      </w:r>
    </w:p>
    <w:p w:rsidR="007A1C16" w:rsidRPr="00EF0FF1" w:rsidRDefault="007A1C16" w:rsidP="007A1C16">
      <w:pPr>
        <w:ind w:left="1440"/>
        <w:rPr>
          <w:rFonts w:ascii="Arial" w:hAnsi="Arial"/>
          <w:color w:val="000000"/>
          <w:sz w:val="24"/>
          <w:lang w:val="fr-CA"/>
        </w:rPr>
      </w:pPr>
    </w:p>
    <w:p w:rsidR="0040078D" w:rsidRPr="00EF0FF1" w:rsidRDefault="0040078D">
      <w:pPr>
        <w:rPr>
          <w:rFonts w:ascii="Arial" w:hAnsi="Arial"/>
          <w:color w:val="000000"/>
          <w:sz w:val="24"/>
          <w:lang w:val="fr-CA"/>
        </w:rPr>
      </w:pPr>
    </w:p>
    <w:p w:rsidR="0040078D" w:rsidRPr="00EF0FF1" w:rsidRDefault="00B07467" w:rsidP="00B07467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>Échantillons - S.O.</w:t>
      </w:r>
    </w:p>
    <w:p w:rsidR="0040078D" w:rsidRPr="00EF0FF1" w:rsidRDefault="0040078D">
      <w:pPr>
        <w:rPr>
          <w:rFonts w:ascii="Arial" w:hAnsi="Arial"/>
          <w:color w:val="000000"/>
          <w:sz w:val="24"/>
          <w:lang w:val="fr-CA"/>
        </w:rPr>
      </w:pPr>
    </w:p>
    <w:p w:rsidR="0040078D" w:rsidRPr="00EF0FF1" w:rsidRDefault="00B07467" w:rsidP="00B07467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>Matériel</w:t>
      </w:r>
    </w:p>
    <w:p w:rsidR="0040078D" w:rsidRPr="00EF0FF1" w:rsidRDefault="0040078D">
      <w:pPr>
        <w:rPr>
          <w:rFonts w:ascii="Arial" w:hAnsi="Arial"/>
          <w:color w:val="000000"/>
          <w:sz w:val="24"/>
          <w:lang w:val="fr-CA"/>
        </w:rPr>
      </w:pPr>
    </w:p>
    <w:p w:rsidR="0040078D" w:rsidRPr="00EF0FF1" w:rsidRDefault="00B07467" w:rsidP="00B07467">
      <w:pPr>
        <w:ind w:left="2880" w:hanging="2160"/>
        <w:rPr>
          <w:rFonts w:ascii="Arial" w:hAnsi="Arial"/>
          <w:sz w:val="24"/>
          <w:lang w:val="fr-CA"/>
        </w:rPr>
      </w:pPr>
      <w:r w:rsidRPr="00123F27">
        <w:rPr>
          <w:rFonts w:ascii="Arial" w:hAnsi="Arial"/>
          <w:b/>
          <w:color w:val="000000"/>
          <w:sz w:val="24"/>
          <w:lang w:val="fr-CA"/>
        </w:rPr>
        <w:t>Équipement :</w:t>
      </w:r>
      <w:r w:rsidRPr="00EF0FF1">
        <w:rPr>
          <w:rFonts w:ascii="Arial" w:hAnsi="Arial"/>
          <w:color w:val="000000"/>
          <w:sz w:val="24"/>
          <w:lang w:val="fr-CA"/>
        </w:rPr>
        <w:t xml:space="preserve"> à nettoyer ou qui doit faire l'objet d'un entretien préventif</w:t>
      </w:r>
      <w:r w:rsidR="0040078D" w:rsidRPr="00EF0FF1">
        <w:rPr>
          <w:rFonts w:ascii="Arial" w:hAnsi="Arial"/>
          <w:b/>
          <w:sz w:val="24"/>
          <w:lang w:val="fr-CA"/>
        </w:rPr>
        <w:tab/>
      </w:r>
      <w:r w:rsidR="0040078D" w:rsidRPr="00EF0FF1">
        <w:rPr>
          <w:rFonts w:ascii="Arial" w:hAnsi="Arial"/>
          <w:sz w:val="24"/>
          <w:lang w:val="fr-CA"/>
        </w:rPr>
        <w:t xml:space="preserve"> </w:t>
      </w:r>
    </w:p>
    <w:p w:rsidR="0040078D" w:rsidRPr="00EF0FF1" w:rsidRDefault="0040078D">
      <w:pPr>
        <w:ind w:left="2880" w:hanging="2160"/>
        <w:rPr>
          <w:rFonts w:ascii="Arial" w:hAnsi="Arial"/>
          <w:sz w:val="24"/>
          <w:lang w:val="fr-CA"/>
        </w:rPr>
      </w:pPr>
    </w:p>
    <w:p w:rsidR="0040078D" w:rsidRPr="00EF0FF1" w:rsidRDefault="00B07467" w:rsidP="00EF0FF1">
      <w:pPr>
        <w:ind w:left="2430" w:hanging="1710"/>
        <w:rPr>
          <w:rFonts w:ascii="Arial" w:hAnsi="Arial"/>
          <w:sz w:val="24"/>
          <w:lang w:val="fr-CA"/>
        </w:rPr>
      </w:pPr>
      <w:r w:rsidRPr="00EF0FF1">
        <w:rPr>
          <w:rFonts w:ascii="Arial" w:hAnsi="Arial"/>
          <w:b/>
          <w:color w:val="000000"/>
          <w:sz w:val="24"/>
          <w:lang w:val="fr-CA"/>
        </w:rPr>
        <w:lastRenderedPageBreak/>
        <w:t xml:space="preserve">Fournitures : </w:t>
      </w:r>
      <w:r w:rsidR="00EF0FF1" w:rsidRPr="00EF0FF1">
        <w:rPr>
          <w:rFonts w:ascii="Arial" w:hAnsi="Arial"/>
          <w:b/>
          <w:color w:val="000000"/>
          <w:sz w:val="24"/>
          <w:lang w:val="fr-CA"/>
        </w:rPr>
        <w:tab/>
      </w:r>
      <w:r w:rsidRPr="00EF0FF1">
        <w:rPr>
          <w:rFonts w:ascii="Arial" w:hAnsi="Arial"/>
          <w:color w:val="000000"/>
          <w:sz w:val="24"/>
          <w:lang w:val="fr-CA"/>
        </w:rPr>
        <w:t>agent désinfectant non corrosif</w:t>
      </w:r>
    </w:p>
    <w:p w:rsidR="0040078D" w:rsidRPr="00EF0FF1" w:rsidRDefault="00EF0FF1" w:rsidP="00725B8C">
      <w:pPr>
        <w:pStyle w:val="BlockText"/>
        <w:ind w:left="2430" w:hanging="1710"/>
        <w:rPr>
          <w:lang w:val="fr-CA"/>
        </w:rPr>
      </w:pPr>
      <w:r w:rsidRPr="00EF0FF1">
        <w:rPr>
          <w:color w:val="000000"/>
          <w:lang w:val="fr-CA"/>
        </w:rPr>
        <w:tab/>
        <w:t>r</w:t>
      </w:r>
      <w:r w:rsidR="00B07467" w:rsidRPr="00EF0FF1">
        <w:rPr>
          <w:color w:val="000000"/>
          <w:lang w:val="fr-CA"/>
        </w:rPr>
        <w:t xml:space="preserve">egistre de température et de nettoyage quotidien - </w:t>
      </w:r>
      <w:r w:rsidRPr="00EF0FF1">
        <w:rPr>
          <w:color w:val="000000"/>
          <w:lang w:val="fr-CA"/>
        </w:rPr>
        <w:t>r</w:t>
      </w:r>
      <w:r w:rsidR="00B07467" w:rsidRPr="00EF0FF1">
        <w:rPr>
          <w:color w:val="000000"/>
          <w:lang w:val="fr-CA"/>
        </w:rPr>
        <w:t>éfrigérateurs (CAQ.002F1)</w:t>
      </w:r>
    </w:p>
    <w:p w:rsidR="00725B8C" w:rsidRDefault="00EF0FF1" w:rsidP="00725B8C">
      <w:pPr>
        <w:pStyle w:val="Header"/>
        <w:ind w:left="2430"/>
        <w:rPr>
          <w:rFonts w:ascii="Arial" w:hAnsi="Arial"/>
          <w:color w:val="000000"/>
          <w:sz w:val="24"/>
          <w:lang w:val="fr-CA"/>
        </w:rPr>
      </w:pPr>
      <w:r w:rsidRPr="00EF0FF1">
        <w:rPr>
          <w:rFonts w:ascii="Arial" w:hAnsi="Arial"/>
          <w:bCs/>
          <w:color w:val="000000"/>
          <w:sz w:val="24"/>
          <w:lang w:val="fr-CA"/>
        </w:rPr>
        <w:t>r</w:t>
      </w:r>
      <w:r w:rsidR="00B07467" w:rsidRPr="00EF0FF1">
        <w:rPr>
          <w:rFonts w:ascii="Arial" w:hAnsi="Arial"/>
          <w:bCs/>
          <w:color w:val="000000"/>
          <w:sz w:val="24"/>
          <w:lang w:val="fr-CA"/>
        </w:rPr>
        <w:t>egistre de températ</w:t>
      </w:r>
      <w:r w:rsidR="00725B8C">
        <w:rPr>
          <w:rFonts w:ascii="Arial" w:hAnsi="Arial"/>
          <w:bCs/>
          <w:color w:val="000000"/>
          <w:sz w:val="24"/>
          <w:lang w:val="fr-CA"/>
        </w:rPr>
        <w:t xml:space="preserve">ure et de nettoyage quotidien </w:t>
      </w:r>
      <w:r w:rsidRPr="00EF0FF1">
        <w:rPr>
          <w:rFonts w:ascii="Arial" w:hAnsi="Arial"/>
          <w:bCs/>
          <w:color w:val="000000"/>
          <w:sz w:val="24"/>
          <w:lang w:val="fr-CA"/>
        </w:rPr>
        <w:t>c</w:t>
      </w:r>
      <w:r w:rsidR="00B07467" w:rsidRPr="00EF0FF1">
        <w:rPr>
          <w:rFonts w:ascii="Arial" w:hAnsi="Arial"/>
          <w:bCs/>
          <w:color w:val="000000"/>
          <w:sz w:val="24"/>
          <w:lang w:val="fr-CA"/>
        </w:rPr>
        <w:t>ongélateurs (CAQ.002F2)</w:t>
      </w:r>
      <w:r w:rsidR="00EC7F34">
        <w:rPr>
          <w:rFonts w:ascii="Arial" w:hAnsi="Arial"/>
          <w:bCs/>
          <w:color w:val="000000"/>
          <w:sz w:val="24"/>
          <w:lang w:val="fr-CA"/>
        </w:rPr>
        <w:br/>
      </w:r>
      <w:r w:rsidR="00EC7F34" w:rsidRPr="00F66DF3">
        <w:rPr>
          <w:rFonts w:ascii="Arial" w:hAnsi="Arial"/>
          <w:bCs/>
          <w:color w:val="000000"/>
          <w:sz w:val="24"/>
          <w:lang w:val="fr-CA"/>
        </w:rPr>
        <w:t>registre de température et de nettoyage quotidien – incubateur à plaquettes (CAQ.00</w:t>
      </w:r>
      <w:r w:rsidR="00F66DF3" w:rsidRPr="00F66DF3">
        <w:rPr>
          <w:rFonts w:ascii="Arial" w:hAnsi="Arial"/>
          <w:bCs/>
          <w:color w:val="000000"/>
          <w:sz w:val="24"/>
          <w:lang w:val="fr-CA"/>
        </w:rPr>
        <w:t>2</w:t>
      </w:r>
      <w:r w:rsidR="00EC7F34" w:rsidRPr="00F66DF3">
        <w:rPr>
          <w:rFonts w:ascii="Arial" w:hAnsi="Arial"/>
          <w:bCs/>
          <w:color w:val="000000"/>
          <w:sz w:val="24"/>
          <w:lang w:val="fr-CA"/>
        </w:rPr>
        <w:t>F3)</w:t>
      </w:r>
      <w:r w:rsidR="0040078D" w:rsidRPr="00EF0FF1">
        <w:rPr>
          <w:rFonts w:ascii="Arial" w:hAnsi="Arial"/>
          <w:color w:val="000000"/>
          <w:sz w:val="24"/>
          <w:lang w:val="fr-CA"/>
        </w:rPr>
        <w:tab/>
      </w:r>
      <w:r w:rsidR="0040078D" w:rsidRPr="00EF0FF1">
        <w:rPr>
          <w:rFonts w:ascii="Arial" w:hAnsi="Arial"/>
          <w:color w:val="000000"/>
          <w:sz w:val="24"/>
          <w:lang w:val="fr-CA"/>
        </w:rPr>
        <w:tab/>
      </w:r>
    </w:p>
    <w:p w:rsidR="00725B8C" w:rsidRPr="00725B8C" w:rsidRDefault="00725B8C" w:rsidP="00725B8C">
      <w:pPr>
        <w:pStyle w:val="Header"/>
        <w:ind w:left="2430"/>
        <w:rPr>
          <w:rFonts w:ascii="Arial" w:hAnsi="Arial" w:cs="Arial"/>
          <w:bCs/>
          <w:color w:val="000000"/>
          <w:sz w:val="24"/>
          <w:szCs w:val="24"/>
          <w:lang w:val="fr-CA"/>
        </w:rPr>
      </w:pPr>
      <w:r>
        <w:rPr>
          <w:rFonts w:ascii="Arial" w:hAnsi="Arial" w:cs="Arial"/>
          <w:bCs/>
          <w:color w:val="000000"/>
          <w:sz w:val="24"/>
          <w:szCs w:val="24"/>
          <w:lang w:val="fr-CA"/>
        </w:rPr>
        <w:tab/>
        <w:t>c</w:t>
      </w:r>
      <w:r w:rsidRPr="00725B8C">
        <w:rPr>
          <w:rFonts w:ascii="Arial" w:hAnsi="Arial" w:cs="Arial"/>
          <w:bCs/>
          <w:color w:val="000000"/>
          <w:sz w:val="24"/>
          <w:szCs w:val="24"/>
          <w:lang w:val="fr-CA"/>
        </w:rPr>
        <w:t>alibration de la température des bains-maries et des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    </w:t>
      </w:r>
      <w:r w:rsidRPr="00725B8C">
        <w:rPr>
          <w:rFonts w:ascii="Arial" w:hAnsi="Arial" w:cs="Arial"/>
          <w:bCs/>
          <w:color w:val="000000"/>
          <w:sz w:val="24"/>
          <w:szCs w:val="24"/>
          <w:lang w:val="fr-CA"/>
        </w:rPr>
        <w:t>blocs chauffants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>(CAQ.006F)</w:t>
      </w:r>
    </w:p>
    <w:p w:rsidR="0040078D" w:rsidRPr="00EF0FF1" w:rsidRDefault="0040078D" w:rsidP="00EC7F34">
      <w:pPr>
        <w:ind w:left="2430" w:right="-360" w:hanging="1710"/>
        <w:rPr>
          <w:rFonts w:ascii="Arial" w:hAnsi="Arial"/>
          <w:color w:val="000000"/>
          <w:sz w:val="24"/>
          <w:lang w:val="fr-CA"/>
        </w:rPr>
      </w:pPr>
      <w:r w:rsidRPr="00EF0FF1">
        <w:rPr>
          <w:rFonts w:ascii="Arial" w:hAnsi="Arial"/>
          <w:color w:val="000000"/>
          <w:sz w:val="24"/>
          <w:lang w:val="fr-CA"/>
        </w:rPr>
        <w:tab/>
      </w:r>
    </w:p>
    <w:p w:rsidR="0040078D" w:rsidRPr="00EF0FF1" w:rsidRDefault="00B07467" w:rsidP="00B07467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442712" w:rsidRPr="00EF0FF1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EF0FF1">
        <w:rPr>
          <w:rFonts w:ascii="Arial" w:hAnsi="Arial"/>
          <w:b/>
          <w:color w:val="000000"/>
          <w:sz w:val="28"/>
          <w:lang w:val="fr-CA"/>
        </w:rPr>
        <w:t>S.O</w:t>
      </w:r>
      <w:r w:rsidR="00EF0FF1" w:rsidRPr="00EF0FF1">
        <w:rPr>
          <w:rFonts w:ascii="Arial" w:hAnsi="Arial"/>
          <w:b/>
          <w:color w:val="000000"/>
          <w:sz w:val="28"/>
          <w:lang w:val="fr-CA"/>
        </w:rPr>
        <w:t>.</w:t>
      </w:r>
    </w:p>
    <w:p w:rsidR="0040078D" w:rsidRPr="00EF0FF1" w:rsidRDefault="0040078D">
      <w:pPr>
        <w:rPr>
          <w:rFonts w:ascii="Arial" w:hAnsi="Arial"/>
          <w:b/>
          <w:color w:val="000000"/>
          <w:sz w:val="24"/>
          <w:lang w:val="fr-CA"/>
        </w:rPr>
      </w:pPr>
    </w:p>
    <w:p w:rsidR="0040078D" w:rsidRPr="00EF0FF1" w:rsidRDefault="00B07467" w:rsidP="00B07467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40078D" w:rsidRDefault="0040078D">
      <w:pPr>
        <w:rPr>
          <w:rFonts w:ascii="Arial" w:hAnsi="Arial"/>
          <w:b/>
          <w:sz w:val="28"/>
        </w:rPr>
      </w:pPr>
    </w:p>
    <w:p w:rsidR="0040078D" w:rsidRPr="006823AA" w:rsidRDefault="00EF0FF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823AA">
        <w:rPr>
          <w:rFonts w:ascii="Arial" w:hAnsi="Arial"/>
          <w:spacing w:val="-2"/>
          <w:sz w:val="24"/>
          <w:lang w:val="fr-CA"/>
        </w:rPr>
        <w:t>T</w:t>
      </w:r>
      <w:r w:rsidR="006823AA" w:rsidRPr="006823AA">
        <w:rPr>
          <w:rFonts w:ascii="Arial" w:hAnsi="Arial"/>
          <w:spacing w:val="-2"/>
          <w:sz w:val="24"/>
          <w:lang w:val="fr-CA"/>
        </w:rPr>
        <w:t>ous</w:t>
      </w:r>
      <w:r w:rsidRPr="006823AA">
        <w:rPr>
          <w:rFonts w:ascii="Arial" w:hAnsi="Arial"/>
          <w:spacing w:val="-2"/>
          <w:sz w:val="24"/>
          <w:lang w:val="fr-CA"/>
        </w:rPr>
        <w:t xml:space="preserve"> les </w:t>
      </w:r>
      <w:r w:rsidR="00442712" w:rsidRPr="006823AA">
        <w:rPr>
          <w:rFonts w:ascii="Arial" w:hAnsi="Arial"/>
          <w:spacing w:val="-2"/>
          <w:sz w:val="24"/>
          <w:lang w:val="fr-CA"/>
        </w:rPr>
        <w:t>réfrigérateurs </w:t>
      </w:r>
      <w:r w:rsidR="0040078D" w:rsidRPr="006823AA">
        <w:rPr>
          <w:rFonts w:ascii="Arial" w:hAnsi="Arial"/>
          <w:spacing w:val="-2"/>
          <w:sz w:val="24"/>
          <w:lang w:val="fr-CA"/>
        </w:rPr>
        <w:t>:</w:t>
      </w:r>
    </w:p>
    <w:p w:rsidR="0040078D" w:rsidRPr="00EF0FF1" w:rsidRDefault="0040078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40078D" w:rsidRPr="00EF0FF1" w:rsidRDefault="004351F5" w:rsidP="004351F5">
      <w:pPr>
        <w:numPr>
          <w:ilvl w:val="2"/>
          <w:numId w:val="1"/>
        </w:numPr>
        <w:suppressAutoHyphens/>
        <w:ind w:right="360"/>
        <w:rPr>
          <w:rFonts w:ascii="Arial" w:hAnsi="Arial"/>
          <w:spacing w:val="-2"/>
          <w:sz w:val="24"/>
          <w:lang w:val="fr-CA"/>
        </w:rPr>
      </w:pP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Essuyer avec un linge humide et un agent désinfectant non corrosif les </w:t>
      </w:r>
      <w:r w:rsidR="00EF0FF1" w:rsidRPr="00EF0FF1">
        <w:rPr>
          <w:rFonts w:ascii="Arial" w:hAnsi="Arial"/>
          <w:color w:val="000000"/>
          <w:spacing w:val="-2"/>
          <w:sz w:val="24"/>
          <w:lang w:val="fr-CA"/>
        </w:rPr>
        <w:t>p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arois intérieures et </w:t>
      </w:r>
      <w:r w:rsidR="00EF0FF1" w:rsidRPr="00EF0FF1">
        <w:rPr>
          <w:rFonts w:ascii="Arial" w:hAnsi="Arial"/>
          <w:color w:val="000000"/>
          <w:spacing w:val="-2"/>
          <w:sz w:val="24"/>
          <w:lang w:val="fr-CA"/>
        </w:rPr>
        <w:t xml:space="preserve">les 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>tablette</w:t>
      </w:r>
      <w:r w:rsidR="00EF0FF1" w:rsidRPr="00EF0FF1">
        <w:rPr>
          <w:rFonts w:ascii="Arial" w:hAnsi="Arial"/>
          <w:color w:val="000000"/>
          <w:spacing w:val="-2"/>
          <w:sz w:val="24"/>
          <w:lang w:val="fr-CA"/>
        </w:rPr>
        <w:t>s</w:t>
      </w:r>
      <w:r w:rsidR="00EF0FF1">
        <w:rPr>
          <w:rFonts w:ascii="Arial" w:hAnsi="Arial"/>
          <w:color w:val="000000"/>
          <w:spacing w:val="-2"/>
          <w:sz w:val="24"/>
          <w:lang w:val="fr-CA"/>
        </w:rPr>
        <w:t xml:space="preserve"> de chaque appareil</w:t>
      </w:r>
      <w:r w:rsidR="006823AA" w:rsidRPr="00EF0FF1">
        <w:rPr>
          <w:rFonts w:ascii="Arial" w:hAnsi="Arial"/>
          <w:color w:val="000000"/>
          <w:spacing w:val="-2"/>
          <w:sz w:val="24"/>
          <w:lang w:val="fr-CA"/>
        </w:rPr>
        <w:t>.</w:t>
      </w:r>
      <w:r w:rsidR="006823AA">
        <w:rPr>
          <w:rFonts w:ascii="Arial" w:hAnsi="Arial"/>
          <w:spacing w:val="-2"/>
          <w:sz w:val="24"/>
          <w:lang w:val="fr-CA"/>
        </w:rPr>
        <w:t xml:space="preserve"> </w:t>
      </w:r>
      <w:r w:rsidR="00F66DF3">
        <w:rPr>
          <w:rFonts w:ascii="Arial" w:hAnsi="Arial"/>
          <w:spacing w:val="-2"/>
          <w:sz w:val="24"/>
          <w:lang w:val="fr-CA"/>
        </w:rPr>
        <w:t>F</w:t>
      </w:r>
      <w:r w:rsidR="006823AA" w:rsidRPr="00EF0FF1">
        <w:rPr>
          <w:rFonts w:ascii="Arial" w:hAnsi="Arial"/>
          <w:color w:val="000000"/>
          <w:spacing w:val="-2"/>
          <w:sz w:val="24"/>
          <w:lang w:val="fr-CA"/>
        </w:rPr>
        <w:t xml:space="preserve">aire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 xml:space="preserve">le nettoyage </w:t>
      </w:r>
      <w:r w:rsidR="006823AA" w:rsidRPr="00EF0FF1">
        <w:rPr>
          <w:rFonts w:ascii="Arial" w:hAnsi="Arial"/>
          <w:color w:val="000000"/>
          <w:spacing w:val="-2"/>
          <w:sz w:val="24"/>
          <w:lang w:val="fr-CA"/>
        </w:rPr>
        <w:t xml:space="preserve">une fois par mois </w:t>
      </w:r>
      <w:r w:rsidR="006823AA" w:rsidRPr="006823AA">
        <w:rPr>
          <w:rFonts w:ascii="Arial" w:hAnsi="Arial"/>
          <w:color w:val="000000"/>
          <w:spacing w:val="-2"/>
          <w:sz w:val="24"/>
          <w:lang w:val="fr-CA"/>
        </w:rPr>
        <w:t xml:space="preserve">et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 xml:space="preserve">le noter </w:t>
      </w:r>
      <w:r w:rsidR="006823AA" w:rsidRPr="006823AA">
        <w:rPr>
          <w:rFonts w:ascii="Arial" w:hAnsi="Arial"/>
          <w:color w:val="000000"/>
          <w:spacing w:val="-2"/>
          <w:sz w:val="24"/>
          <w:lang w:val="fr-CA"/>
        </w:rPr>
        <w:t xml:space="preserve">sur le formulaire </w:t>
      </w:r>
      <w:r w:rsidRPr="006823AA">
        <w:rPr>
          <w:rFonts w:ascii="Arial" w:hAnsi="Arial"/>
          <w:color w:val="000000"/>
          <w:spacing w:val="-2"/>
          <w:sz w:val="24"/>
          <w:lang w:val="fr-CA"/>
        </w:rPr>
        <w:t>CAQ.002F1 - Registre des température</w:t>
      </w:r>
      <w:r w:rsidR="00123F27" w:rsidRPr="006823AA">
        <w:rPr>
          <w:rFonts w:ascii="Arial" w:hAnsi="Arial"/>
          <w:color w:val="000000"/>
          <w:spacing w:val="-2"/>
          <w:sz w:val="24"/>
          <w:lang w:val="fr-CA"/>
        </w:rPr>
        <w:t>s</w:t>
      </w:r>
      <w:r w:rsidRPr="006823AA">
        <w:rPr>
          <w:rFonts w:ascii="Arial" w:hAnsi="Arial"/>
          <w:color w:val="000000"/>
          <w:spacing w:val="-2"/>
          <w:sz w:val="24"/>
          <w:lang w:val="fr-CA"/>
        </w:rPr>
        <w:t xml:space="preserve"> et de nettoyage quotidien - Réfrigérateurs</w:t>
      </w:r>
    </w:p>
    <w:p w:rsidR="0040078D" w:rsidRPr="00EF0FF1" w:rsidRDefault="0040078D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6823AA" w:rsidRDefault="006823AA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6823AA">
        <w:rPr>
          <w:rFonts w:ascii="Arial" w:hAnsi="Arial"/>
          <w:color w:val="000000"/>
          <w:spacing w:val="-2"/>
          <w:sz w:val="24"/>
          <w:lang w:val="fr-CA"/>
        </w:rPr>
        <w:t>Tous</w:t>
      </w:r>
      <w:r w:rsidR="00EF0FF1" w:rsidRPr="006823AA">
        <w:rPr>
          <w:rFonts w:ascii="Arial" w:hAnsi="Arial"/>
          <w:color w:val="000000"/>
          <w:spacing w:val="-2"/>
          <w:sz w:val="24"/>
          <w:lang w:val="fr-CA"/>
        </w:rPr>
        <w:t xml:space="preserve"> les </w:t>
      </w:r>
      <w:r w:rsidR="00442712" w:rsidRPr="006823AA">
        <w:rPr>
          <w:rFonts w:ascii="Arial" w:hAnsi="Arial"/>
          <w:color w:val="000000"/>
          <w:spacing w:val="-2"/>
          <w:sz w:val="24"/>
          <w:lang w:val="fr-CA"/>
        </w:rPr>
        <w:t>congélateurs </w:t>
      </w:r>
      <w:r w:rsidR="0040078D" w:rsidRPr="006823AA">
        <w:rPr>
          <w:rFonts w:ascii="Arial" w:hAnsi="Arial"/>
          <w:color w:val="000000"/>
          <w:spacing w:val="-2"/>
          <w:sz w:val="24"/>
          <w:lang w:val="fr-CA"/>
        </w:rPr>
        <w:t>:</w:t>
      </w:r>
    </w:p>
    <w:p w:rsidR="0040078D" w:rsidRPr="00EF0FF1" w:rsidRDefault="0040078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EF0FF1" w:rsidRDefault="004351F5" w:rsidP="004351F5">
      <w:pPr>
        <w:numPr>
          <w:ilvl w:val="2"/>
          <w:numId w:val="1"/>
        </w:numPr>
        <w:suppressAutoHyphens/>
        <w:ind w:right="360"/>
        <w:rPr>
          <w:rFonts w:ascii="Arial" w:hAnsi="Arial"/>
          <w:color w:val="000000"/>
          <w:spacing w:val="-2"/>
          <w:sz w:val="24"/>
          <w:lang w:val="fr-CA"/>
        </w:rPr>
      </w:pPr>
      <w:r w:rsidRPr="00EF0FF1">
        <w:rPr>
          <w:rFonts w:ascii="Arial" w:hAnsi="Arial"/>
          <w:color w:val="000000"/>
          <w:spacing w:val="-2"/>
          <w:sz w:val="24"/>
          <w:lang w:val="fr-CA"/>
        </w:rPr>
        <w:t>Décongeler tous les congélateurs au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 xml:space="preserve"> besoin ou suivant les recommandations du fabricant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40078D" w:rsidRPr="00EF0FF1" w:rsidRDefault="0040078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EF0FF1" w:rsidRDefault="004351F5" w:rsidP="004351F5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EF0FF1">
        <w:rPr>
          <w:rFonts w:ascii="Arial" w:hAnsi="Arial"/>
          <w:color w:val="000000"/>
          <w:spacing w:val="-2"/>
          <w:sz w:val="24"/>
          <w:lang w:val="fr-CA"/>
        </w:rPr>
        <w:t>Un registre de nettoyage et de décongélation sera maintenu.</w:t>
      </w:r>
      <w:r w:rsidR="0040078D" w:rsidRPr="00EF0FF1">
        <w:rPr>
          <w:rFonts w:ascii="Arial" w:hAnsi="Arial"/>
          <w:color w:val="000000"/>
          <w:spacing w:val="-2"/>
          <w:sz w:val="24"/>
          <w:lang w:val="fr-CA"/>
        </w:rPr>
        <w:t xml:space="preserve"> Form</w:t>
      </w:r>
      <w:r w:rsidR="00EF0FF1" w:rsidRPr="00EF0FF1">
        <w:rPr>
          <w:rFonts w:ascii="Arial" w:hAnsi="Arial"/>
          <w:color w:val="000000"/>
          <w:spacing w:val="-2"/>
          <w:sz w:val="24"/>
          <w:lang w:val="fr-CA"/>
        </w:rPr>
        <w:t>ulaire CA</w:t>
      </w:r>
      <w:r w:rsidR="0040078D" w:rsidRPr="00EF0FF1">
        <w:rPr>
          <w:rFonts w:ascii="Arial" w:hAnsi="Arial"/>
          <w:color w:val="000000"/>
          <w:spacing w:val="-2"/>
          <w:sz w:val="24"/>
          <w:lang w:val="fr-CA"/>
        </w:rPr>
        <w:t>Q.002F2</w:t>
      </w:r>
    </w:p>
    <w:p w:rsidR="0040078D" w:rsidRPr="00EF0FF1" w:rsidRDefault="0040078D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6823AA" w:rsidRDefault="004351F5" w:rsidP="004351F5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6823AA">
        <w:rPr>
          <w:rFonts w:ascii="Arial" w:hAnsi="Arial"/>
          <w:color w:val="000000"/>
          <w:spacing w:val="-2"/>
          <w:sz w:val="24"/>
          <w:lang w:val="fr-CA"/>
        </w:rPr>
        <w:t>Bains</w:t>
      </w:r>
      <w:r w:rsidR="007A73B5">
        <w:rPr>
          <w:rFonts w:ascii="Arial" w:hAnsi="Arial"/>
          <w:color w:val="000000"/>
          <w:spacing w:val="-2"/>
          <w:sz w:val="24"/>
          <w:lang w:val="fr-CA"/>
        </w:rPr>
        <w:t>-marie</w:t>
      </w:r>
      <w:r w:rsidRPr="006823AA">
        <w:rPr>
          <w:rFonts w:ascii="Arial" w:hAnsi="Arial"/>
          <w:color w:val="000000"/>
          <w:spacing w:val="-2"/>
          <w:sz w:val="24"/>
          <w:lang w:val="fr-CA"/>
        </w:rPr>
        <w:t xml:space="preserve"> et blocs </w:t>
      </w:r>
      <w:r w:rsidR="00442712" w:rsidRPr="006823AA">
        <w:rPr>
          <w:rFonts w:ascii="Arial" w:hAnsi="Arial"/>
          <w:color w:val="000000"/>
          <w:spacing w:val="-2"/>
          <w:sz w:val="24"/>
          <w:lang w:val="fr-CA"/>
        </w:rPr>
        <w:t>chauffants </w:t>
      </w:r>
      <w:r w:rsidRPr="006823AA">
        <w:rPr>
          <w:rFonts w:ascii="Arial" w:hAnsi="Arial"/>
          <w:color w:val="000000"/>
          <w:spacing w:val="-2"/>
          <w:sz w:val="24"/>
          <w:lang w:val="fr-CA"/>
        </w:rPr>
        <w:t>:</w:t>
      </w:r>
    </w:p>
    <w:p w:rsidR="0040078D" w:rsidRPr="006823AA" w:rsidRDefault="0040078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EF0FF1" w:rsidRPr="00EF0FF1" w:rsidRDefault="00EF0FF1" w:rsidP="00EF0FF1">
      <w:pPr>
        <w:numPr>
          <w:ilvl w:val="2"/>
          <w:numId w:val="1"/>
        </w:numPr>
        <w:suppressAutoHyphens/>
        <w:ind w:right="360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Nettoyer t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ous les bains-marie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>utilisés pour décongeler des produits sanguins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 tous les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>mois</w:t>
      </w:r>
      <w:r w:rsidR="0040078D" w:rsidRPr="00EF0FF1">
        <w:rPr>
          <w:rFonts w:ascii="Arial" w:hAnsi="Arial"/>
          <w:color w:val="000000"/>
          <w:spacing w:val="-2"/>
          <w:sz w:val="24"/>
          <w:lang w:val="fr-CA"/>
        </w:rPr>
        <w:t xml:space="preserve"> (o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>u conformément aux directives du fabricant</w:t>
      </w:r>
      <w:r w:rsidR="0040078D" w:rsidRPr="00EF0FF1">
        <w:rPr>
          <w:rFonts w:ascii="Arial" w:hAnsi="Arial"/>
          <w:color w:val="000000"/>
          <w:spacing w:val="-2"/>
          <w:sz w:val="24"/>
          <w:lang w:val="fr-CA"/>
        </w:rPr>
        <w:t xml:space="preserve">)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>ou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 plus souvent,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>en cas de bris de produit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40078D" w:rsidRPr="00EF0FF1" w:rsidRDefault="0040078D" w:rsidP="00EF0FF1">
      <w:pPr>
        <w:suppressAutoHyphens/>
        <w:ind w:right="360"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Default="00EF0FF1" w:rsidP="004351F5">
      <w:pPr>
        <w:numPr>
          <w:ilvl w:val="2"/>
          <w:numId w:val="1"/>
        </w:numPr>
        <w:suppressAutoHyphens/>
        <w:ind w:right="360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Nettoyer l</w:t>
      </w:r>
      <w:r w:rsidR="004351F5" w:rsidRPr="00EF0FF1">
        <w:rPr>
          <w:rFonts w:ascii="Arial" w:hAnsi="Arial"/>
          <w:color w:val="000000"/>
          <w:spacing w:val="-2"/>
          <w:sz w:val="24"/>
          <w:lang w:val="fr-CA"/>
        </w:rPr>
        <w:t xml:space="preserve">es </w:t>
      </w:r>
      <w:r w:rsidR="007A73B5">
        <w:rPr>
          <w:rFonts w:ascii="Arial" w:hAnsi="Arial"/>
          <w:color w:val="000000"/>
          <w:spacing w:val="-2"/>
          <w:sz w:val="24"/>
          <w:lang w:val="fr-CA"/>
        </w:rPr>
        <w:t>bains-marie</w:t>
      </w:r>
      <w:r w:rsidR="004351F5" w:rsidRPr="00EF0FF1">
        <w:rPr>
          <w:rFonts w:ascii="Arial" w:hAnsi="Arial"/>
          <w:color w:val="000000"/>
          <w:spacing w:val="-2"/>
          <w:sz w:val="24"/>
          <w:lang w:val="fr-CA"/>
        </w:rPr>
        <w:t xml:space="preserve"> et </w:t>
      </w:r>
      <w:r w:rsidR="007A73B5">
        <w:rPr>
          <w:rFonts w:ascii="Arial" w:hAnsi="Arial"/>
          <w:color w:val="000000"/>
          <w:spacing w:val="-2"/>
          <w:sz w:val="24"/>
          <w:lang w:val="fr-CA"/>
        </w:rPr>
        <w:t>blocs</w:t>
      </w:r>
      <w:r w:rsidR="004351F5" w:rsidRPr="00EF0FF1">
        <w:rPr>
          <w:rFonts w:ascii="Arial" w:hAnsi="Arial"/>
          <w:color w:val="000000"/>
          <w:spacing w:val="-2"/>
          <w:sz w:val="24"/>
          <w:lang w:val="fr-CA"/>
        </w:rPr>
        <w:t xml:space="preserve"> chauffants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 xml:space="preserve">utilisés pour les épreuves sérologiques </w:t>
      </w:r>
      <w:r w:rsidR="004351F5" w:rsidRPr="00EF0FF1">
        <w:rPr>
          <w:rFonts w:ascii="Arial" w:hAnsi="Arial"/>
          <w:color w:val="000000"/>
          <w:spacing w:val="-2"/>
          <w:sz w:val="24"/>
          <w:lang w:val="fr-CA"/>
        </w:rPr>
        <w:t xml:space="preserve">une fois par mois ou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>selon les recommandations du fabricant</w:t>
      </w:r>
      <w:r w:rsidR="004351F5" w:rsidRPr="00EF0FF1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6823AA" w:rsidRPr="00EF0FF1" w:rsidRDefault="006823AA" w:rsidP="004351F5">
      <w:pPr>
        <w:numPr>
          <w:ilvl w:val="2"/>
          <w:numId w:val="1"/>
        </w:numPr>
        <w:suppressAutoHyphens/>
        <w:ind w:right="360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Documenter sur le formulaire CAQ.006F.</w:t>
      </w:r>
    </w:p>
    <w:p w:rsidR="0040078D" w:rsidRPr="00EF0FF1" w:rsidRDefault="0040078D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C42518" w:rsidRDefault="0040078D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C42518">
        <w:rPr>
          <w:rFonts w:ascii="Arial" w:hAnsi="Arial"/>
          <w:color w:val="000000"/>
          <w:spacing w:val="-2"/>
          <w:sz w:val="24"/>
          <w:lang w:val="fr-CA"/>
        </w:rPr>
        <w:t>B</w:t>
      </w:r>
      <w:r w:rsidR="00EF0FF1" w:rsidRPr="00C42518">
        <w:rPr>
          <w:rFonts w:ascii="Arial" w:hAnsi="Arial"/>
          <w:color w:val="000000"/>
          <w:spacing w:val="-2"/>
          <w:sz w:val="24"/>
          <w:lang w:val="fr-CA"/>
        </w:rPr>
        <w:t xml:space="preserve">ancs de travail et </w:t>
      </w:r>
      <w:r w:rsidR="00442712" w:rsidRPr="00C42518">
        <w:rPr>
          <w:rFonts w:ascii="Arial" w:hAnsi="Arial"/>
          <w:color w:val="000000"/>
          <w:spacing w:val="-2"/>
          <w:sz w:val="24"/>
          <w:lang w:val="fr-CA"/>
        </w:rPr>
        <w:t>équipement </w:t>
      </w:r>
      <w:r w:rsidRPr="00C42518">
        <w:rPr>
          <w:rFonts w:ascii="Arial" w:hAnsi="Arial"/>
          <w:color w:val="000000"/>
          <w:spacing w:val="-2"/>
          <w:sz w:val="24"/>
          <w:lang w:val="fr-CA"/>
        </w:rPr>
        <w:t>:</w:t>
      </w:r>
    </w:p>
    <w:p w:rsidR="0040078D" w:rsidRPr="00EF0FF1" w:rsidRDefault="0040078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EF0FF1" w:rsidRDefault="00EF0FF1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Suivre les procédures normalisées relatives au nettoyage, à l’entreposage et à l’entretien des bancs de travail et de l’équipement.</w:t>
      </w:r>
    </w:p>
    <w:p w:rsidR="0040078D" w:rsidRPr="00EF0FF1" w:rsidRDefault="0040078D">
      <w:pPr>
        <w:pStyle w:val="Header"/>
        <w:tabs>
          <w:tab w:val="clear" w:pos="4320"/>
          <w:tab w:val="clear" w:pos="8640"/>
        </w:tabs>
        <w:suppressAutoHyphens/>
        <w:rPr>
          <w:color w:val="000000"/>
          <w:spacing w:val="-2"/>
          <w:lang w:val="fr-CA"/>
        </w:rPr>
      </w:pPr>
    </w:p>
    <w:p w:rsidR="0040078D" w:rsidRPr="00C42518" w:rsidRDefault="00442712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C42518">
        <w:rPr>
          <w:rFonts w:ascii="Arial" w:hAnsi="Arial"/>
          <w:color w:val="000000"/>
          <w:spacing w:val="-2"/>
          <w:sz w:val="24"/>
          <w:lang w:val="fr-CA"/>
        </w:rPr>
        <w:t>Pipettes </w:t>
      </w:r>
      <w:r w:rsidR="0040078D" w:rsidRPr="00C42518">
        <w:rPr>
          <w:rFonts w:ascii="Arial" w:hAnsi="Arial"/>
          <w:color w:val="000000"/>
          <w:spacing w:val="-2"/>
          <w:sz w:val="24"/>
          <w:lang w:val="fr-CA"/>
        </w:rPr>
        <w:t>:</w:t>
      </w:r>
      <w:r w:rsidR="00DF3DD4" w:rsidRPr="00C42518">
        <w:rPr>
          <w:rFonts w:ascii="Arial" w:hAnsi="Arial"/>
          <w:color w:val="000000"/>
          <w:spacing w:val="-2"/>
          <w:sz w:val="24"/>
          <w:lang w:val="fr-CA"/>
        </w:rPr>
        <w:t xml:space="preserve">      </w:t>
      </w:r>
      <w:r w:rsidR="0040078D" w:rsidRPr="00C42518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40078D" w:rsidRPr="00EF0FF1" w:rsidRDefault="0040078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EF0FF1" w:rsidRDefault="00C42518" w:rsidP="004351F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Nettoyer les pipettes et les é</w:t>
      </w:r>
      <w:r w:rsidR="00EF0FF1">
        <w:rPr>
          <w:rFonts w:ascii="Arial" w:hAnsi="Arial"/>
          <w:color w:val="000000"/>
          <w:spacing w:val="-2"/>
          <w:sz w:val="24"/>
          <w:lang w:val="fr-CA"/>
        </w:rPr>
        <w:t xml:space="preserve">talonner aux 6 mois </w:t>
      </w:r>
      <w:r>
        <w:rPr>
          <w:rFonts w:ascii="Arial" w:hAnsi="Arial"/>
          <w:color w:val="000000"/>
          <w:spacing w:val="-2"/>
          <w:sz w:val="24"/>
          <w:lang w:val="fr-CA"/>
        </w:rPr>
        <w:t>ou suivant les recommandations du fabricant. En cas de contamination, la pipette doit être nettoyée et étalonnée de nouveau avant d’être réutilisée</w:t>
      </w:r>
      <w:r w:rsidR="00EF0FF1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40078D" w:rsidRPr="00EF0FF1" w:rsidRDefault="0040078D">
      <w:pPr>
        <w:suppressAutoHyphens/>
        <w:ind w:left="1440"/>
        <w:rPr>
          <w:rFonts w:ascii="Arial" w:hAnsi="Arial"/>
          <w:color w:val="000000"/>
          <w:spacing w:val="-2"/>
          <w:sz w:val="24"/>
          <w:lang w:val="fr-CA"/>
        </w:rPr>
      </w:pPr>
    </w:p>
    <w:p w:rsidR="00EF0FF1" w:rsidRPr="00EF0FF1" w:rsidRDefault="00C42518" w:rsidP="00EF0FF1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L</w:t>
      </w:r>
      <w:r w:rsidR="00F66DF3">
        <w:rPr>
          <w:rFonts w:ascii="Arial" w:hAnsi="Arial"/>
          <w:color w:val="000000"/>
          <w:spacing w:val="-2"/>
          <w:sz w:val="24"/>
          <w:lang w:val="fr-CA"/>
        </w:rPr>
        <w:t>e nettoyage et l</w:t>
      </w:r>
      <w:r>
        <w:rPr>
          <w:rFonts w:ascii="Arial" w:hAnsi="Arial"/>
          <w:color w:val="000000"/>
          <w:spacing w:val="-2"/>
          <w:sz w:val="24"/>
          <w:lang w:val="fr-CA"/>
        </w:rPr>
        <w:t>’étalonnage doi</w:t>
      </w:r>
      <w:r w:rsidR="00F66DF3">
        <w:rPr>
          <w:rFonts w:ascii="Arial" w:hAnsi="Arial"/>
          <w:color w:val="000000"/>
          <w:spacing w:val="-2"/>
          <w:sz w:val="24"/>
          <w:lang w:val="fr-CA"/>
        </w:rPr>
        <w:t>ven</w:t>
      </w:r>
      <w:r>
        <w:rPr>
          <w:rFonts w:ascii="Arial" w:hAnsi="Arial"/>
          <w:color w:val="000000"/>
          <w:spacing w:val="-2"/>
          <w:sz w:val="24"/>
          <w:lang w:val="fr-CA"/>
        </w:rPr>
        <w:t>t être documenté</w:t>
      </w:r>
      <w:r w:rsidR="00F66DF3">
        <w:rPr>
          <w:rFonts w:ascii="Arial" w:hAnsi="Arial"/>
          <w:color w:val="000000"/>
          <w:spacing w:val="-2"/>
          <w:sz w:val="24"/>
          <w:lang w:val="fr-CA"/>
        </w:rPr>
        <w:t>s</w:t>
      </w:r>
      <w:r w:rsidR="00EF0FF1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40078D" w:rsidRPr="00EF0FF1" w:rsidRDefault="0040078D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40078D" w:rsidRPr="006823AA" w:rsidRDefault="00EF0FF1">
      <w:pPr>
        <w:pStyle w:val="Heading9"/>
        <w:numPr>
          <w:ilvl w:val="1"/>
          <w:numId w:val="1"/>
        </w:numPr>
        <w:rPr>
          <w:color w:val="000000"/>
          <w:u w:val="none"/>
          <w:lang w:val="fr-CA"/>
        </w:rPr>
      </w:pPr>
      <w:r w:rsidRPr="006823AA">
        <w:rPr>
          <w:color w:val="000000"/>
          <w:u w:val="none"/>
          <w:lang w:val="fr-CA"/>
        </w:rPr>
        <w:t>Tout l’</w:t>
      </w:r>
      <w:r w:rsidR="00442712" w:rsidRPr="006823AA">
        <w:rPr>
          <w:color w:val="000000"/>
          <w:u w:val="none"/>
          <w:lang w:val="fr-CA"/>
        </w:rPr>
        <w:t>équipement </w:t>
      </w:r>
      <w:r w:rsidR="0040078D" w:rsidRPr="006823AA">
        <w:rPr>
          <w:color w:val="000000"/>
          <w:u w:val="none"/>
          <w:lang w:val="fr-CA"/>
        </w:rPr>
        <w:t xml:space="preserve">: </w:t>
      </w:r>
    </w:p>
    <w:p w:rsidR="0040078D" w:rsidRPr="006823AA" w:rsidRDefault="0040078D">
      <w:pPr>
        <w:rPr>
          <w:lang w:val="fr-CA"/>
        </w:rPr>
      </w:pPr>
    </w:p>
    <w:p w:rsidR="0040078D" w:rsidRPr="00EF0FF1" w:rsidRDefault="00EF0FF1" w:rsidP="004351F5">
      <w:pPr>
        <w:numPr>
          <w:ilvl w:val="2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EF0FF1">
        <w:rPr>
          <w:rFonts w:ascii="Arial" w:hAnsi="Arial"/>
          <w:color w:val="000000"/>
          <w:spacing w:val="-2"/>
          <w:sz w:val="24"/>
          <w:lang w:val="fr-CA"/>
        </w:rPr>
        <w:t>Nettoyer et désinfecter t</w:t>
      </w:r>
      <w:r w:rsidR="004351F5" w:rsidRPr="00EF0FF1">
        <w:rPr>
          <w:rFonts w:ascii="Arial" w:hAnsi="Arial"/>
          <w:color w:val="000000"/>
          <w:spacing w:val="-2"/>
          <w:sz w:val="24"/>
          <w:lang w:val="fr-CA"/>
        </w:rPr>
        <w:t>out équipement avant d</w:t>
      </w:r>
      <w:r w:rsidRPr="00EF0FF1">
        <w:rPr>
          <w:rFonts w:ascii="Arial" w:hAnsi="Arial"/>
          <w:color w:val="000000"/>
          <w:spacing w:val="-2"/>
          <w:sz w:val="24"/>
          <w:lang w:val="fr-CA"/>
        </w:rPr>
        <w:t xml:space="preserve">e l’envoyer à se faire réparer ou entretenir. 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 xml:space="preserve">Voir CAQ.016 </w:t>
      </w:r>
      <w:r w:rsidR="00E30F82">
        <w:rPr>
          <w:rFonts w:ascii="Arial" w:hAnsi="Arial"/>
          <w:color w:val="000000"/>
          <w:spacing w:val="-2"/>
          <w:sz w:val="24"/>
          <w:lang w:val="fr-CA"/>
        </w:rPr>
        <w:t>–</w:t>
      </w:r>
      <w:r w:rsidR="006823AA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E30F82">
        <w:rPr>
          <w:rFonts w:ascii="Arial" w:hAnsi="Arial"/>
          <w:color w:val="000000"/>
          <w:spacing w:val="-2"/>
          <w:sz w:val="24"/>
          <w:lang w:val="fr-CA"/>
        </w:rPr>
        <w:t>Nettoyage et désinfection de l’équipement avant de l’envoyer à l’extérieur pour réparation ou entretien.</w:t>
      </w:r>
    </w:p>
    <w:p w:rsidR="0040078D" w:rsidRPr="00EF0FF1" w:rsidRDefault="0040078D">
      <w:pPr>
        <w:ind w:left="720"/>
        <w:rPr>
          <w:rFonts w:ascii="Arial" w:hAnsi="Arial"/>
          <w:color w:val="000000"/>
          <w:sz w:val="24"/>
          <w:lang w:val="fr-CA"/>
        </w:rPr>
      </w:pPr>
    </w:p>
    <w:p w:rsidR="0040078D" w:rsidRPr="00EF0FF1" w:rsidRDefault="004351F5" w:rsidP="004351F5">
      <w:pPr>
        <w:numPr>
          <w:ilvl w:val="0"/>
          <w:numId w:val="1"/>
        </w:num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 xml:space="preserve">Documentation </w:t>
      </w:r>
      <w:r w:rsidR="00442712" w:rsidRPr="00EF0FF1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EF0FF1">
        <w:rPr>
          <w:rFonts w:ascii="Arial" w:hAnsi="Arial"/>
          <w:b/>
          <w:color w:val="000000"/>
          <w:sz w:val="28"/>
          <w:lang w:val="fr-CA"/>
        </w:rPr>
        <w:t>S.O.</w:t>
      </w:r>
    </w:p>
    <w:p w:rsidR="0040078D" w:rsidRPr="00EF0FF1" w:rsidRDefault="0040078D">
      <w:pPr>
        <w:spacing w:line="228" w:lineRule="auto"/>
        <w:ind w:left="720"/>
        <w:rPr>
          <w:rFonts w:ascii="Arial" w:hAnsi="Arial"/>
          <w:color w:val="000000"/>
          <w:lang w:val="fr-CA"/>
        </w:rPr>
      </w:pPr>
    </w:p>
    <w:p w:rsidR="0040078D" w:rsidRPr="00EF0FF1" w:rsidRDefault="00EF5FBD" w:rsidP="004351F5">
      <w:pPr>
        <w:numPr>
          <w:ilvl w:val="0"/>
          <w:numId w:val="1"/>
        </w:num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>R</w:t>
      </w:r>
      <w:r w:rsidR="004351F5" w:rsidRPr="00EF0FF1">
        <w:rPr>
          <w:rFonts w:ascii="Arial" w:hAnsi="Arial"/>
          <w:b/>
          <w:color w:val="000000"/>
          <w:sz w:val="28"/>
          <w:lang w:val="fr-CA"/>
        </w:rPr>
        <w:t xml:space="preserve">emarques </w:t>
      </w:r>
      <w:r w:rsidRPr="00EF0FF1">
        <w:rPr>
          <w:rFonts w:ascii="Arial" w:hAnsi="Arial"/>
          <w:b/>
          <w:color w:val="000000"/>
          <w:sz w:val="28"/>
          <w:lang w:val="fr-CA"/>
        </w:rPr>
        <w:t>–</w:t>
      </w:r>
      <w:r w:rsidR="004351F5" w:rsidRPr="00EF0FF1">
        <w:rPr>
          <w:rFonts w:ascii="Arial" w:hAnsi="Arial"/>
          <w:b/>
          <w:color w:val="000000"/>
          <w:sz w:val="28"/>
          <w:lang w:val="fr-CA"/>
        </w:rPr>
        <w:t xml:space="preserve"> </w:t>
      </w:r>
      <w:r w:rsidRPr="00EF0FF1">
        <w:rPr>
          <w:rFonts w:ascii="Arial" w:hAnsi="Arial"/>
          <w:b/>
          <w:color w:val="000000"/>
          <w:sz w:val="28"/>
          <w:lang w:val="fr-CA"/>
        </w:rPr>
        <w:t>S.O.</w:t>
      </w:r>
    </w:p>
    <w:p w:rsidR="0040078D" w:rsidRPr="00EF0FF1" w:rsidRDefault="0040078D">
      <w:pPr>
        <w:spacing w:line="228" w:lineRule="auto"/>
        <w:ind w:left="720"/>
        <w:rPr>
          <w:rFonts w:ascii="Arial" w:hAnsi="Arial"/>
          <w:color w:val="000000"/>
          <w:lang w:val="fr-CA"/>
        </w:rPr>
      </w:pPr>
    </w:p>
    <w:p w:rsidR="0040078D" w:rsidRPr="00EF0FF1" w:rsidRDefault="004351F5" w:rsidP="004351F5">
      <w:pPr>
        <w:numPr>
          <w:ilvl w:val="0"/>
          <w:numId w:val="1"/>
        </w:num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 w:rsidRPr="00EF0FF1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40078D" w:rsidRPr="00EF0FF1" w:rsidRDefault="0040078D">
      <w:pPr>
        <w:spacing w:line="228" w:lineRule="auto"/>
        <w:rPr>
          <w:rFonts w:ascii="Arial" w:hAnsi="Arial" w:cs="Arial"/>
          <w:color w:val="000000"/>
          <w:sz w:val="24"/>
          <w:lang w:val="fr-CA"/>
        </w:rPr>
      </w:pPr>
    </w:p>
    <w:p w:rsidR="0040078D" w:rsidRDefault="00C42518" w:rsidP="004351F5">
      <w:pPr>
        <w:numPr>
          <w:ilvl w:val="1"/>
          <w:numId w:val="1"/>
        </w:numPr>
        <w:spacing w:line="228" w:lineRule="auto"/>
        <w:rPr>
          <w:rFonts w:ascii="Arial" w:hAnsi="Arial" w:cs="Arial"/>
          <w:color w:val="000000"/>
          <w:sz w:val="24"/>
          <w:lang w:val="fr-CA"/>
        </w:rPr>
      </w:pPr>
      <w:r w:rsidRPr="00E62FAA">
        <w:rPr>
          <w:rFonts w:ascii="Arial" w:hAnsi="Arial" w:cs="Arial"/>
          <w:i/>
          <w:color w:val="000000"/>
          <w:sz w:val="24"/>
          <w:lang w:val="fr-CA"/>
        </w:rPr>
        <w:t>Standards for Hospital Transfusion Services</w:t>
      </w:r>
      <w:r w:rsidRPr="00C42518">
        <w:rPr>
          <w:rFonts w:ascii="Arial" w:hAnsi="Arial" w:cs="Arial"/>
          <w:color w:val="000000"/>
          <w:sz w:val="24"/>
          <w:lang w:val="fr-CA"/>
        </w:rPr>
        <w:t xml:space="preserve">, </w:t>
      </w:r>
      <w:r w:rsidR="000D0F31">
        <w:rPr>
          <w:rFonts w:ascii="Arial" w:hAnsi="Arial" w:cs="Arial"/>
          <w:color w:val="000000"/>
          <w:sz w:val="24"/>
          <w:lang w:val="fr-CA"/>
        </w:rPr>
        <w:t>V</w:t>
      </w:r>
      <w:r w:rsidR="000D0F31" w:rsidRPr="00A271EC">
        <w:rPr>
          <w:rFonts w:ascii="Arial" w:hAnsi="Arial"/>
          <w:color w:val="000000"/>
          <w:sz w:val="24"/>
          <w:lang w:val="fr-CA"/>
        </w:rPr>
        <w:t>ersion 3 (février 2011), Société canadienne de médecine transfusionnelle</w:t>
      </w:r>
      <w:r w:rsidRPr="00C42518">
        <w:rPr>
          <w:rFonts w:ascii="Arial" w:hAnsi="Arial" w:cs="Arial"/>
          <w:color w:val="000000"/>
          <w:sz w:val="24"/>
          <w:lang w:val="fr-CA"/>
        </w:rPr>
        <w:t xml:space="preserve">,  </w:t>
      </w:r>
      <w:r>
        <w:rPr>
          <w:rFonts w:ascii="Arial" w:hAnsi="Arial" w:cs="Arial"/>
          <w:color w:val="000000"/>
          <w:sz w:val="24"/>
          <w:lang w:val="fr-CA"/>
        </w:rPr>
        <w:t>3.</w:t>
      </w:r>
      <w:r w:rsidR="000D0F31">
        <w:rPr>
          <w:rFonts w:ascii="Arial" w:hAnsi="Arial" w:cs="Arial"/>
          <w:color w:val="000000"/>
          <w:sz w:val="24"/>
          <w:lang w:val="fr-CA"/>
        </w:rPr>
        <w:t>1</w:t>
      </w:r>
      <w:r>
        <w:rPr>
          <w:rFonts w:ascii="Arial" w:hAnsi="Arial" w:cs="Arial"/>
          <w:color w:val="000000"/>
          <w:sz w:val="24"/>
          <w:lang w:val="fr-CA"/>
        </w:rPr>
        <w:t>.</w:t>
      </w:r>
      <w:r w:rsidR="000D0F31">
        <w:rPr>
          <w:rFonts w:ascii="Arial" w:hAnsi="Arial" w:cs="Arial"/>
          <w:color w:val="000000"/>
          <w:sz w:val="24"/>
          <w:lang w:val="fr-CA"/>
        </w:rPr>
        <w:t>2</w:t>
      </w:r>
      <w:r>
        <w:rPr>
          <w:rFonts w:ascii="Arial" w:hAnsi="Arial" w:cs="Arial"/>
          <w:color w:val="000000"/>
          <w:sz w:val="24"/>
          <w:lang w:val="fr-CA"/>
        </w:rPr>
        <w:t>, 3.</w:t>
      </w:r>
      <w:r w:rsidR="000D0F31">
        <w:rPr>
          <w:rFonts w:ascii="Arial" w:hAnsi="Arial" w:cs="Arial"/>
          <w:color w:val="000000"/>
          <w:sz w:val="24"/>
          <w:lang w:val="fr-CA"/>
        </w:rPr>
        <w:t>1</w:t>
      </w:r>
      <w:r>
        <w:rPr>
          <w:rFonts w:ascii="Arial" w:hAnsi="Arial" w:cs="Arial"/>
          <w:color w:val="000000"/>
          <w:sz w:val="24"/>
          <w:lang w:val="fr-CA"/>
        </w:rPr>
        <w:t>.4</w:t>
      </w:r>
      <w:r w:rsidR="000D0F31">
        <w:rPr>
          <w:rFonts w:ascii="Arial" w:hAnsi="Arial" w:cs="Arial"/>
          <w:color w:val="000000"/>
          <w:sz w:val="24"/>
          <w:lang w:val="fr-CA"/>
        </w:rPr>
        <w:t>, 3.1.11, 6.6.9, Annexe A.</w:t>
      </w:r>
      <w:r w:rsidR="00F66DF3">
        <w:rPr>
          <w:rFonts w:ascii="Arial" w:hAnsi="Arial" w:cs="Arial"/>
          <w:color w:val="000000"/>
          <w:sz w:val="24"/>
          <w:lang w:val="fr-CA"/>
        </w:rPr>
        <w:br/>
      </w:r>
    </w:p>
    <w:p w:rsidR="00F66DF3" w:rsidRDefault="00F66DF3" w:rsidP="004351F5">
      <w:pPr>
        <w:numPr>
          <w:ilvl w:val="1"/>
          <w:numId w:val="1"/>
        </w:numPr>
        <w:spacing w:line="228" w:lineRule="auto"/>
        <w:rPr>
          <w:rFonts w:ascii="Arial" w:hAnsi="Arial" w:cs="Arial"/>
          <w:color w:val="000000"/>
          <w:sz w:val="24"/>
          <w:lang w:val="fr-CA"/>
        </w:rPr>
      </w:pPr>
      <w:r w:rsidRPr="0058788F">
        <w:rPr>
          <w:rFonts w:ascii="Arial" w:hAnsi="Arial" w:cs="Arial"/>
          <w:sz w:val="24"/>
        </w:rPr>
        <w:t xml:space="preserve">IQMH Requirements and Guidance Information (décembre 2013), </w:t>
      </w:r>
      <w:r>
        <w:rPr>
          <w:rFonts w:ascii="Arial" w:hAnsi="Arial" w:cs="Arial"/>
          <w:sz w:val="24"/>
        </w:rPr>
        <w:t>v</w:t>
      </w:r>
      <w:r w:rsidRPr="0058788F">
        <w:rPr>
          <w:rFonts w:ascii="Arial" w:hAnsi="Arial" w:cs="Arial"/>
          <w:sz w:val="24"/>
        </w:rPr>
        <w:t>ersion 6; IV</w:t>
      </w:r>
      <w:r w:rsidRPr="0058788F">
        <w:rPr>
          <w:rFonts w:ascii="Arial" w:hAnsi="Arial"/>
          <w:color w:val="000000"/>
          <w:sz w:val="24"/>
          <w:lang w:val="fr-CA"/>
        </w:rPr>
        <w:t>.</w:t>
      </w:r>
    </w:p>
    <w:p w:rsidR="00F66DF3" w:rsidRPr="0058788F" w:rsidRDefault="00F66DF3" w:rsidP="00F66DF3">
      <w:pPr>
        <w:spacing w:line="228" w:lineRule="auto"/>
        <w:ind w:left="1418" w:hanging="709"/>
        <w:rPr>
          <w:sz w:val="24"/>
          <w:lang w:val="fr-CA"/>
        </w:rPr>
      </w:pPr>
      <w:r w:rsidRPr="0058788F">
        <w:rPr>
          <w:rFonts w:ascii="Arial" w:hAnsi="Arial"/>
          <w:color w:val="000000"/>
          <w:sz w:val="32"/>
          <w:lang w:val="fr-CA"/>
        </w:rPr>
        <w:tab/>
      </w:r>
    </w:p>
    <w:p w:rsidR="00F66DF3" w:rsidRPr="00D86D02" w:rsidRDefault="00F66DF3" w:rsidP="00F66DF3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1</w:t>
      </w:r>
      <w:r w:rsidRPr="00D86D02">
        <w:rPr>
          <w:rFonts w:ascii="Arial" w:hAnsi="Arial"/>
          <w:b/>
          <w:sz w:val="28"/>
          <w:lang w:val="fr-CA"/>
        </w:rPr>
        <w:t>0.0 Suivi des révisions</w:t>
      </w:r>
    </w:p>
    <w:p w:rsidR="00F66DF3" w:rsidRPr="00D86D02" w:rsidRDefault="00F66DF3" w:rsidP="00F66DF3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F66DF3" w:rsidRPr="00D86D02" w:rsidTr="00AE2ACF">
        <w:tc>
          <w:tcPr>
            <w:tcW w:w="2660" w:type="dxa"/>
            <w:shd w:val="clear" w:color="auto" w:fill="F2F2F2"/>
          </w:tcPr>
          <w:p w:rsidR="00F66DF3" w:rsidRPr="00D86D02" w:rsidRDefault="00F66DF3" w:rsidP="00AE2ACF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F66DF3" w:rsidRPr="00D86D02" w:rsidRDefault="00F66DF3" w:rsidP="00AE2ACF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F66DF3" w:rsidRPr="00D86D02" w:rsidTr="00AE2ACF">
        <w:tc>
          <w:tcPr>
            <w:tcW w:w="2660" w:type="dxa"/>
            <w:shd w:val="clear" w:color="auto" w:fill="auto"/>
          </w:tcPr>
          <w:p w:rsidR="00F66DF3" w:rsidRPr="00D86D02" w:rsidRDefault="00F66DF3" w:rsidP="00AE2ACF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F66DF3" w:rsidRPr="00D86D02" w:rsidRDefault="00F66DF3" w:rsidP="00F66DF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F66DF3" w:rsidRPr="00D86D02" w:rsidRDefault="00F66DF3" w:rsidP="00F66DF3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F66DF3" w:rsidRDefault="00F66DF3" w:rsidP="00F66DF3">
      <w:pPr>
        <w:rPr>
          <w:lang w:val="fr-CA"/>
        </w:rPr>
      </w:pPr>
    </w:p>
    <w:p w:rsidR="00F66DF3" w:rsidRDefault="00F66DF3" w:rsidP="00F66DF3">
      <w:pPr>
        <w:rPr>
          <w:lang w:val="fr-CA"/>
        </w:rPr>
      </w:pPr>
    </w:p>
    <w:p w:rsidR="00F66DF3" w:rsidRPr="00D856F9" w:rsidRDefault="00F66DF3" w:rsidP="00F66DF3">
      <w:pPr>
        <w:spacing w:line="228" w:lineRule="auto"/>
        <w:rPr>
          <w:rFonts w:ascii="Arial" w:hAnsi="Arial" w:cs="Arial"/>
          <w:color w:val="000000"/>
          <w:sz w:val="24"/>
          <w:lang w:val="fr-CA"/>
        </w:rPr>
      </w:pPr>
    </w:p>
    <w:sectPr w:rsidR="00F66DF3" w:rsidRPr="00D856F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950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026" w:rsidRDefault="000F2026">
      <w:r>
        <w:separator/>
      </w:r>
    </w:p>
  </w:endnote>
  <w:endnote w:type="continuationSeparator" w:id="0">
    <w:p w:rsidR="000F2026" w:rsidRDefault="000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F5FB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F5FBD" w:rsidRDefault="00EF5FBD">
          <w:pPr>
            <w:pStyle w:val="Footer"/>
            <w:jc w:val="center"/>
            <w:rPr>
              <w:sz w:val="8"/>
            </w:rPr>
          </w:pPr>
        </w:p>
        <w:p w:rsidR="00EF5FBD" w:rsidRDefault="00DD389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F5FBD" w:rsidRDefault="00EF5FB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66DF3" w:rsidRPr="00D52543" w:rsidRDefault="00F66DF3" w:rsidP="00F66DF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F66DF3" w:rsidRDefault="00F66DF3" w:rsidP="00F66DF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EF5FBD" w:rsidRDefault="00EF5FB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F5FBD" w:rsidRDefault="00EF5FB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F5FBD" w:rsidRDefault="00EF5FBD" w:rsidP="00F66DF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CAQ.012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25B8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25B8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F5FBD" w:rsidRDefault="00EF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F5FB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F5FBD" w:rsidRDefault="00EF5FB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F5FBD" w:rsidRDefault="00DD389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EF5FBD" w:rsidRDefault="00EF5FB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42518" w:rsidRPr="00D52543" w:rsidRDefault="00C42518" w:rsidP="00C4251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EF5FBD" w:rsidRDefault="00C4251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F66DF3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EF5FBD" w:rsidRDefault="00EF5FB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EF5FBD" w:rsidRDefault="00EF5FB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F5FBD" w:rsidRDefault="00EF5FBD" w:rsidP="00F66DF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EF0FF1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 xml:space="preserve">.012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25B8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EF0FF1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25B8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F5FBD" w:rsidRDefault="00E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026" w:rsidRDefault="000F2026">
      <w:r>
        <w:separator/>
      </w:r>
    </w:p>
  </w:footnote>
  <w:footnote w:type="continuationSeparator" w:id="0">
    <w:p w:rsidR="000F2026" w:rsidRDefault="000F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FBD" w:rsidRPr="00D856F9" w:rsidRDefault="00EF5FBD" w:rsidP="004351F5">
    <w:pPr>
      <w:pStyle w:val="BodyText2"/>
      <w:rPr>
        <w:color w:val="000000"/>
        <w:lang w:val="fr-CA"/>
      </w:rPr>
    </w:pPr>
    <w:r w:rsidRPr="00D856F9">
      <w:rPr>
        <w:color w:val="000000"/>
        <w:lang w:val="fr-CA"/>
      </w:rPr>
      <w:t xml:space="preserve">Calendrier de nettoyage - Réfrigérateurs, congélateurs, bains-marie, banc de travail et équipement </w:t>
    </w:r>
  </w:p>
  <w:p w:rsidR="00EF5FBD" w:rsidRDefault="00EF5FBD" w:rsidP="004351F5">
    <w:pPr>
      <w:pStyle w:val="BodyText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F3" w:rsidRPr="00BC2384" w:rsidRDefault="00DD3897" w:rsidP="00F66DF3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FBD" w:rsidRPr="00D856F9" w:rsidRDefault="00EF5FBD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</w:rPr>
    </w:pPr>
  </w:p>
  <w:p w:rsidR="000D0F31" w:rsidRPr="00A271EC" w:rsidRDefault="000D0F31" w:rsidP="000D0F31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271EC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0D0F31" w:rsidRPr="00F31516" w:rsidRDefault="000D0F31" w:rsidP="000D0F31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  <w:r w:rsidRPr="00A271EC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EF5FBD" w:rsidRPr="00D856F9" w:rsidRDefault="00EF5FBD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EF5FBD" w:rsidRPr="00D856F9" w:rsidRDefault="00EF5FBD" w:rsidP="00B07467">
    <w:pPr>
      <w:pStyle w:val="BodyText2"/>
      <w:rPr>
        <w:color w:val="000000"/>
        <w:lang w:val="fr-CA"/>
      </w:rPr>
    </w:pPr>
    <w:r w:rsidRPr="00D856F9">
      <w:rPr>
        <w:color w:val="000000"/>
        <w:lang w:val="fr-CA"/>
      </w:rPr>
      <w:t xml:space="preserve">Calendrier de nettoyage - réfrigérateur, congélateur, bain-marie, banc de travail et équipement </w:t>
    </w:r>
  </w:p>
  <w:p w:rsidR="00EF5FBD" w:rsidRPr="00D856F9" w:rsidRDefault="00EF5FBD">
    <w:pPr>
      <w:pStyle w:val="Header"/>
      <w:jc w:val="center"/>
      <w:rPr>
        <w:rFonts w:ascii="Arial" w:hAnsi="Arial" w:cs="Arial"/>
        <w:b/>
        <w:bCs/>
        <w:color w:val="000000"/>
        <w:sz w:val="28"/>
        <w:lang w:val="fr-CA"/>
      </w:rPr>
    </w:pPr>
  </w:p>
  <w:p w:rsidR="00EF5FBD" w:rsidRPr="00D856F9" w:rsidRDefault="00EF5FBD">
    <w:pPr>
      <w:pStyle w:val="Header"/>
      <w:rPr>
        <w:rFonts w:ascii="Arial" w:hAnsi="Arial" w:cs="Arial"/>
        <w:b/>
        <w:bCs/>
        <w:color w:val="000000"/>
        <w:lang w:val="fr-CA"/>
      </w:rPr>
    </w:pPr>
    <w:r w:rsidRPr="00D856F9">
      <w:rPr>
        <w:rFonts w:ascii="Arial" w:hAnsi="Arial" w:cs="Arial"/>
        <w:b/>
        <w:bCs/>
        <w:color w:val="000000"/>
        <w:lang w:val="fr-CA"/>
      </w:rPr>
      <w:tab/>
    </w:r>
    <w:r w:rsidR="00DD3897" w:rsidRPr="00D856F9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3730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EF5FBD" w:rsidRPr="00D856F9">
      <w:tc>
        <w:tcPr>
          <w:tcW w:w="4428" w:type="dxa"/>
        </w:tcPr>
        <w:p w:rsidR="00EF5FBD" w:rsidRPr="00D856F9" w:rsidRDefault="00EF5FBD" w:rsidP="00F66DF3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856F9">
            <w:rPr>
              <w:rFonts w:ascii="Arial" w:hAnsi="Arial" w:cs="Arial"/>
              <w:color w:val="000000"/>
              <w:lang w:val="fr-CA"/>
            </w:rPr>
            <w:t>Approbation :</w:t>
          </w:r>
          <w:r w:rsidR="00930131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EF5FBD" w:rsidRPr="00D856F9" w:rsidRDefault="00EF5FBD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856F9">
            <w:rPr>
              <w:rFonts w:ascii="Arial" w:hAnsi="Arial" w:cs="Arial"/>
              <w:color w:val="000000"/>
              <w:lang w:val="fr-CA"/>
            </w:rPr>
            <w:t>Document n</w:t>
          </w:r>
          <w:r w:rsidRPr="00D856F9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D856F9">
            <w:rPr>
              <w:rFonts w:ascii="Arial" w:hAnsi="Arial" w:cs="Arial"/>
              <w:color w:val="000000"/>
              <w:lang w:val="fr-CA"/>
            </w:rPr>
            <w:t xml:space="preserve"> : CAQ.012</w:t>
          </w:r>
        </w:p>
      </w:tc>
    </w:tr>
    <w:tr w:rsidR="00EF5FBD" w:rsidRPr="00D856F9">
      <w:tc>
        <w:tcPr>
          <w:tcW w:w="4428" w:type="dxa"/>
        </w:tcPr>
        <w:p w:rsidR="00EF5FBD" w:rsidRPr="00D856F9" w:rsidRDefault="00EF5FBD" w:rsidP="00B07467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856F9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EF5FBD" w:rsidRPr="00D856F9" w:rsidRDefault="00EF5FBD" w:rsidP="00B07467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856F9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EF5FBD" w:rsidRPr="00D856F9">
      <w:tc>
        <w:tcPr>
          <w:tcW w:w="4428" w:type="dxa"/>
        </w:tcPr>
        <w:p w:rsidR="00EF5FBD" w:rsidRPr="00D856F9" w:rsidRDefault="00EF5FBD" w:rsidP="00B07467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856F9">
            <w:rPr>
              <w:rFonts w:ascii="Arial" w:hAnsi="Arial" w:cs="Arial"/>
              <w:color w:val="000000"/>
              <w:lang w:val="fr-CA"/>
            </w:rPr>
            <w:t>Date de révision :</w:t>
          </w:r>
          <w:r w:rsidR="00930131"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F66DF3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EF5FBD" w:rsidRPr="00D856F9" w:rsidRDefault="00EF5FBD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856F9">
            <w:rPr>
              <w:rFonts w:ascii="Arial" w:hAnsi="Arial" w:cs="Arial"/>
              <w:color w:val="000000"/>
              <w:lang w:val="fr-CA"/>
            </w:rPr>
            <w:t>Pages :</w:t>
          </w:r>
          <w:r w:rsidR="00DF3DD4">
            <w:rPr>
              <w:rFonts w:ascii="Arial" w:hAnsi="Arial" w:cs="Arial"/>
              <w:color w:val="000000"/>
              <w:lang w:val="fr-CA"/>
            </w:rPr>
            <w:t xml:space="preserve"> </w:t>
          </w:r>
          <w:r w:rsidRPr="00D856F9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D856F9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D856F9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725B8C">
            <w:rPr>
              <w:rFonts w:ascii="Arial" w:hAnsi="Arial" w:cs="Arial"/>
              <w:noProof/>
              <w:color w:val="000000"/>
              <w:lang w:val="fr-CA"/>
            </w:rPr>
            <w:t>3</w:t>
          </w:r>
          <w:r w:rsidRPr="00D856F9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EF5FBD" w:rsidRPr="00D856F9" w:rsidRDefault="00DD3897">
    <w:pPr>
      <w:pStyle w:val="Header"/>
      <w:rPr>
        <w:color w:val="000000"/>
        <w:lang w:val="fr-CA"/>
      </w:rPr>
    </w:pPr>
    <w:r w:rsidRPr="00D856F9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5AC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EF5FBD" w:rsidRPr="00D856F9">
      <w:rPr>
        <w:rFonts w:ascii="Arial" w:hAnsi="Arial" w:cs="Arial"/>
        <w:color w:val="000000"/>
        <w:lang w:val="fr-CA"/>
      </w:rPr>
      <w:tab/>
    </w:r>
  </w:p>
  <w:p w:rsidR="00EF5FBD" w:rsidRPr="00D856F9" w:rsidRDefault="00EF5FB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7"/>
    <w:rsid w:val="0005658D"/>
    <w:rsid w:val="000577FD"/>
    <w:rsid w:val="000D0F31"/>
    <w:rsid w:val="000F2026"/>
    <w:rsid w:val="00123F27"/>
    <w:rsid w:val="002B228F"/>
    <w:rsid w:val="0040078D"/>
    <w:rsid w:val="004351F5"/>
    <w:rsid w:val="00442712"/>
    <w:rsid w:val="00640941"/>
    <w:rsid w:val="006823AA"/>
    <w:rsid w:val="006D43F7"/>
    <w:rsid w:val="006F4B83"/>
    <w:rsid w:val="00725B8C"/>
    <w:rsid w:val="007620A8"/>
    <w:rsid w:val="007A1C16"/>
    <w:rsid w:val="007A73B5"/>
    <w:rsid w:val="00826D1C"/>
    <w:rsid w:val="00856421"/>
    <w:rsid w:val="00884DDD"/>
    <w:rsid w:val="008D2F7E"/>
    <w:rsid w:val="00925285"/>
    <w:rsid w:val="00930131"/>
    <w:rsid w:val="00951F0B"/>
    <w:rsid w:val="00AE2ACF"/>
    <w:rsid w:val="00B07467"/>
    <w:rsid w:val="00C42518"/>
    <w:rsid w:val="00CF5FD8"/>
    <w:rsid w:val="00D5309C"/>
    <w:rsid w:val="00D856F9"/>
    <w:rsid w:val="00DA5C91"/>
    <w:rsid w:val="00DD3897"/>
    <w:rsid w:val="00DF3DD4"/>
    <w:rsid w:val="00E145E0"/>
    <w:rsid w:val="00E30F82"/>
    <w:rsid w:val="00E62FAA"/>
    <w:rsid w:val="00EC7F34"/>
    <w:rsid w:val="00EF0FF1"/>
    <w:rsid w:val="00EF5FBD"/>
    <w:rsid w:val="00EF7077"/>
    <w:rsid w:val="00F66DF3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6AE9E-02DB-4F90-ABE6-D37C19EE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spacing w:val="-2"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  <w:jc w:val="center"/>
    </w:pPr>
    <w:rPr>
      <w:rFonts w:ascii="Arial" w:hAnsi="Arial"/>
      <w:b/>
      <w:spacing w:val="-2"/>
      <w:sz w:val="28"/>
      <w:lang w:val="en-GB"/>
    </w:rPr>
  </w:style>
  <w:style w:type="paragraph" w:styleId="BlockText">
    <w:name w:val="Block Text"/>
    <w:basedOn w:val="Normal"/>
    <w:pPr>
      <w:ind w:left="2160" w:right="-360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123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A1C16"/>
    <w:pPr>
      <w:ind w:left="708"/>
    </w:pPr>
  </w:style>
  <w:style w:type="character" w:styleId="CommentReference">
    <w:name w:val="annotation reference"/>
    <w:rsid w:val="00EC7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F34"/>
  </w:style>
  <w:style w:type="character" w:customStyle="1" w:styleId="CommentTextChar">
    <w:name w:val="Comment Text Char"/>
    <w:link w:val="CommentText"/>
    <w:rsid w:val="00EC7F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7F34"/>
    <w:rPr>
      <w:b/>
      <w:bCs/>
    </w:rPr>
  </w:style>
  <w:style w:type="character" w:customStyle="1" w:styleId="CommentSubjectChar">
    <w:name w:val="Comment Subject Char"/>
    <w:link w:val="CommentSubject"/>
    <w:rsid w:val="00EC7F34"/>
    <w:rPr>
      <w:b/>
      <w:bCs/>
      <w:lang w:val="en-US" w:eastAsia="en-US"/>
    </w:rPr>
  </w:style>
  <w:style w:type="character" w:customStyle="1" w:styleId="HeaderChar">
    <w:name w:val="Header Char"/>
    <w:link w:val="Header"/>
    <w:rsid w:val="00F66D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QCA.012 - Cleaning Schedule Equipment</vt:lpstr>
      <vt:lpstr>QCA.012 - Cleaning Schedule Equipment</vt:lpstr>
    </vt:vector>
  </TitlesOfParts>
  <Company>The Ottawa Hospital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QCA.012 - Cleaning Schedule Equipment</dc:title>
  <dc:subject/>
  <dc:creator>TOPO</dc:creator>
  <cp:keywords/>
  <cp:lastModifiedBy>Nesrallah, Heather</cp:lastModifiedBy>
  <cp:revision>2</cp:revision>
  <cp:lastPrinted>2017-05-02T16:52:00Z</cp:lastPrinted>
  <dcterms:created xsi:type="dcterms:W3CDTF">2019-08-13T00:21:00Z</dcterms:created>
  <dcterms:modified xsi:type="dcterms:W3CDTF">2019-08-13T00:21:00Z</dcterms:modified>
</cp:coreProperties>
</file>