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25"/>
        <w:gridCol w:w="1701"/>
        <w:gridCol w:w="1422"/>
        <w:gridCol w:w="1701"/>
        <w:gridCol w:w="1350"/>
        <w:gridCol w:w="1350"/>
      </w:tblGrid>
      <w:tr w:rsidR="008E5E1C" w:rsidRPr="005505E2" w:rsidTr="00B0345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4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lang w:val="fr-CA"/>
              </w:rPr>
            </w:pPr>
            <w:bookmarkStart w:id="0" w:name="_GoBack"/>
            <w:bookmarkEnd w:id="0"/>
          </w:p>
          <w:p w:rsidR="008E5E1C" w:rsidRPr="005505E2" w:rsidRDefault="008E5E1C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lang w:val="fr-CA"/>
              </w:rPr>
            </w:pPr>
            <w:r w:rsidRPr="005505E2">
              <w:rPr>
                <w:rFonts w:ascii="Arial" w:hAnsi="Arial" w:cs="Arial"/>
                <w:b/>
                <w:color w:val="000000"/>
                <w:sz w:val="28"/>
                <w:lang w:val="fr-CA"/>
              </w:rPr>
              <w:t xml:space="preserve"> Réception des réactifs</w:t>
            </w: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before="40" w:after="40" w:line="21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Spécificité </w:t>
            </w:r>
          </w:p>
        </w:tc>
        <w:tc>
          <w:tcPr>
            <w:tcW w:w="112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E5E1C" w:rsidRPr="005505E2" w:rsidRDefault="00E36DBF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="008E5E1C" w:rsidRPr="005505E2">
              <w:rPr>
                <w:rFonts w:ascii="Arial" w:hAnsi="Arial" w:cs="Arial"/>
                <w:b/>
                <w:sz w:val="18"/>
                <w:szCs w:val="18"/>
                <w:lang w:val="fr-CA"/>
              </w:rPr>
              <w:t>Aspect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E5E1C" w:rsidRDefault="008E5E1C" w:rsidP="005505E2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037456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Fabricant et </w:t>
            </w:r>
          </w:p>
          <w:p w:rsidR="008E5E1C" w:rsidRPr="00037456" w:rsidRDefault="008E5E1C" w:rsidP="005505E2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37456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n</w:t>
            </w:r>
            <w:r w:rsidRPr="00037456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fr-CA"/>
              </w:rPr>
              <w:t>o</w:t>
            </w:r>
            <w:r w:rsidRPr="00037456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 de lot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8E5E1C" w:rsidRPr="005505E2" w:rsidRDefault="00E36DBF" w:rsidP="005505E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="008E5E1C" w:rsidRPr="005505E2">
              <w:rPr>
                <w:rFonts w:ascii="Arial" w:hAnsi="Arial" w:cs="Arial"/>
                <w:b/>
                <w:sz w:val="18"/>
                <w:szCs w:val="18"/>
                <w:lang w:val="fr-CA"/>
              </w:rPr>
              <w:t>Date de péremption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E5E1C" w:rsidRPr="005505E2" w:rsidRDefault="008E5E1C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b/>
                <w:sz w:val="18"/>
                <w:szCs w:val="18"/>
                <w:lang w:val="fr-CA"/>
              </w:rPr>
              <w:t>Date de réception et vérification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5E1C" w:rsidRPr="005505E2" w:rsidRDefault="008E5E1C" w:rsidP="005505E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Vérifié par :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E36DBF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="008E5E1C">
              <w:rPr>
                <w:rFonts w:ascii="Arial" w:hAnsi="Arial" w:cs="Arial"/>
                <w:b/>
                <w:sz w:val="18"/>
                <w:szCs w:val="18"/>
                <w:lang w:val="fr-CA"/>
              </w:rPr>
              <w:t>Résultats attendus</w:t>
            </w: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Hématies A1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top w:val="nil"/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Hématies A2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Hématies B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 xml:space="preserve">Cellules recou-vertes d'IgG 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dépistage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dépistage II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dépis-tage III (facultatif)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panel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 xml:space="preserve">Anti-A 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 xml:space="preserve">Anti-B 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Anti-A,B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pStyle w:val="Header"/>
              <w:tabs>
                <w:tab w:val="clear" w:pos="4320"/>
                <w:tab w:val="clear" w:pos="8640"/>
              </w:tabs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Anti-D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Témoin anti-D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GAH p</w:t>
            </w: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olysp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écifique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E1C" w:rsidRPr="005505E2" w:rsidRDefault="008E5E1C" w:rsidP="005505E2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Anti-IgG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Anti-C3b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sz w:val="18"/>
                <w:szCs w:val="18"/>
                <w:lang w:val="fr-CA"/>
              </w:rPr>
              <w:t>Albumine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Agent de potentialisation</w:t>
            </w: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E1C" w:rsidRPr="005505E2" w:rsidRDefault="008E5E1C" w:rsidP="005505E2">
            <w:pPr>
              <w:pStyle w:val="BodyText"/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05E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Réactifs de phénotypage</w:t>
            </w:r>
          </w:p>
          <w:p w:rsidR="008E5E1C" w:rsidRPr="005505E2" w:rsidRDefault="008E5E1C">
            <w:pPr>
              <w:spacing w:before="40"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E5E1C" w:rsidRPr="005505E2" w:rsidTr="008E5E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C" w:rsidRPr="005505E2" w:rsidRDefault="008E5E1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422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350" w:type="dxa"/>
          </w:tcPr>
          <w:p w:rsidR="008E5E1C" w:rsidRPr="005505E2" w:rsidRDefault="008E5E1C">
            <w:pPr>
              <w:spacing w:line="21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:rsidR="00DD28DD" w:rsidRPr="005505E2" w:rsidRDefault="005505E2" w:rsidP="005505E2">
      <w:pPr>
        <w:spacing w:line="216" w:lineRule="auto"/>
        <w:rPr>
          <w:rFonts w:ascii="Arial" w:hAnsi="Arial" w:cs="Arial"/>
          <w:sz w:val="18"/>
          <w:szCs w:val="18"/>
          <w:lang w:val="fr-CA"/>
        </w:rPr>
      </w:pPr>
      <w:r w:rsidRPr="005505E2">
        <w:rPr>
          <w:rFonts w:ascii="Arial" w:hAnsi="Arial" w:cs="Arial"/>
          <w:color w:val="000000"/>
          <w:sz w:val="18"/>
          <w:szCs w:val="18"/>
          <w:lang w:val="fr-CA"/>
        </w:rPr>
        <w:t>S : satisfaisant  N : non satisfaisant</w:t>
      </w:r>
      <w:r w:rsidR="00874973">
        <w:rPr>
          <w:rFonts w:ascii="Arial" w:hAnsi="Arial" w:cs="Arial"/>
          <w:color w:val="000000"/>
          <w:sz w:val="18"/>
          <w:szCs w:val="18"/>
          <w:lang w:val="fr-CA"/>
        </w:rPr>
        <w:t xml:space="preserve">   </w:t>
      </w:r>
    </w:p>
    <w:sectPr w:rsidR="00DD28DD" w:rsidRPr="0055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151" w:bottom="1151" w:left="1151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21" w:rsidRDefault="00AC5621">
      <w:r>
        <w:separator/>
      </w:r>
    </w:p>
  </w:endnote>
  <w:endnote w:type="continuationSeparator" w:id="0">
    <w:p w:rsidR="00AC5621" w:rsidRDefault="00AC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BF" w:rsidRDefault="00E36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470"/>
      <w:gridCol w:w="1620"/>
    </w:tblGrid>
    <w:tr w:rsidR="00DD28DD" w:rsidRPr="005505E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DD28DD" w:rsidRDefault="00DD28D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D28DD" w:rsidRDefault="008648A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top w:val="nil"/>
          </w:tcBorders>
        </w:tcPr>
        <w:p w:rsidR="00DD28DD" w:rsidRDefault="00DD28D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E5E1C" w:rsidRPr="00D52543" w:rsidRDefault="008E5E1C" w:rsidP="008E5E1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8E5E1C" w:rsidRPr="00D52543" w:rsidRDefault="008E5E1C" w:rsidP="008E5E1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1427C0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DD28DD" w:rsidRDefault="00DD28D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DD28DD" w:rsidRPr="005505E2" w:rsidRDefault="00DD28D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28DD" w:rsidRPr="005505E2" w:rsidRDefault="005505E2" w:rsidP="001427C0">
          <w:pPr>
            <w:pStyle w:val="Footer"/>
            <w:jc w:val="right"/>
            <w:rPr>
              <w:rFonts w:ascii="Arial" w:hAnsi="Arial"/>
              <w:sz w:val="18"/>
            </w:rPr>
          </w:pPr>
          <w:r w:rsidRPr="005505E2">
            <w:rPr>
              <w:rFonts w:ascii="Arial" w:hAnsi="Arial"/>
              <w:sz w:val="18"/>
            </w:rPr>
            <w:t>CAQ</w:t>
          </w:r>
          <w:r w:rsidR="00DD28DD" w:rsidRPr="005505E2">
            <w:rPr>
              <w:rFonts w:ascii="Arial" w:hAnsi="Arial"/>
              <w:sz w:val="18"/>
            </w:rPr>
            <w:t xml:space="preserve">.001F1 </w:t>
          </w:r>
          <w:r w:rsidR="00DD28DD" w:rsidRPr="005505E2">
            <w:rPr>
              <w:rFonts w:ascii="Arial" w:hAnsi="Arial"/>
              <w:sz w:val="18"/>
            </w:rPr>
            <w:br/>
          </w:r>
          <w:r w:rsidR="00DD28DD" w:rsidRPr="005505E2">
            <w:rPr>
              <w:rFonts w:ascii="Arial" w:hAnsi="Arial"/>
              <w:snapToGrid w:val="0"/>
              <w:sz w:val="18"/>
            </w:rPr>
            <w:t xml:space="preserve">Page 1 </w:t>
          </w:r>
          <w:r w:rsidRPr="005505E2">
            <w:rPr>
              <w:rFonts w:ascii="Arial" w:hAnsi="Arial"/>
              <w:snapToGrid w:val="0"/>
              <w:sz w:val="18"/>
            </w:rPr>
            <w:t>de</w:t>
          </w:r>
          <w:r w:rsidR="00DD28DD" w:rsidRPr="005505E2">
            <w:rPr>
              <w:rFonts w:ascii="Arial" w:hAnsi="Arial"/>
              <w:snapToGrid w:val="0"/>
              <w:sz w:val="18"/>
            </w:rPr>
            <w:t xml:space="preserve"> 1</w:t>
          </w:r>
        </w:p>
      </w:tc>
    </w:tr>
  </w:tbl>
  <w:p w:rsidR="00DD28DD" w:rsidRDefault="00DD28DD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BF" w:rsidRDefault="00E3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21" w:rsidRDefault="00AC5621">
      <w:r>
        <w:separator/>
      </w:r>
    </w:p>
  </w:footnote>
  <w:footnote w:type="continuationSeparator" w:id="0">
    <w:p w:rsidR="00AC5621" w:rsidRDefault="00AC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BF" w:rsidRDefault="00E3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DD" w:rsidRPr="005505E2" w:rsidRDefault="005505E2" w:rsidP="00E36DBF">
    <w:pPr>
      <w:pStyle w:val="Header"/>
      <w:jc w:val="center"/>
      <w:rPr>
        <w:lang w:val="fr-CA"/>
      </w:rPr>
    </w:pPr>
    <w:r>
      <w:rPr>
        <w:rFonts w:ascii="Arial" w:hAnsi="Arial"/>
        <w:b/>
        <w:sz w:val="28"/>
        <w:lang w:val="fr-CA"/>
      </w:rPr>
      <w:t xml:space="preserve">CQ - </w:t>
    </w:r>
    <w:r w:rsidR="001A18B8">
      <w:rPr>
        <w:rFonts w:ascii="Arial" w:hAnsi="Arial"/>
        <w:b/>
        <w:sz w:val="28"/>
        <w:lang w:val="fr-CA"/>
      </w:rPr>
      <w:t>G</w:t>
    </w:r>
    <w:r w:rsidRPr="005505E2">
      <w:rPr>
        <w:rFonts w:ascii="Arial" w:hAnsi="Arial"/>
        <w:b/>
        <w:sz w:val="28"/>
        <w:lang w:val="fr-CA"/>
      </w:rPr>
      <w:t>lobules rouges et antisérums commerciaux</w:t>
    </w:r>
    <w:r w:rsidR="00DD28DD" w:rsidRPr="005505E2">
      <w:rPr>
        <w:rFonts w:ascii="Arial" w:hAnsi="Arial" w:cs="Arial"/>
        <w:sz w:val="18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BF" w:rsidRDefault="00E36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4600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72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2075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84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213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574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29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3A3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CB35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D64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752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032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19"/>
  </w:num>
  <w:num w:numId="6">
    <w:abstractNumId w:val="7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E2"/>
    <w:rsid w:val="00037456"/>
    <w:rsid w:val="001427C0"/>
    <w:rsid w:val="001A18B8"/>
    <w:rsid w:val="0027206E"/>
    <w:rsid w:val="002B70DB"/>
    <w:rsid w:val="00454123"/>
    <w:rsid w:val="00515BC2"/>
    <w:rsid w:val="005505E2"/>
    <w:rsid w:val="00622F35"/>
    <w:rsid w:val="00793A7B"/>
    <w:rsid w:val="008648A5"/>
    <w:rsid w:val="00874973"/>
    <w:rsid w:val="008E5E1C"/>
    <w:rsid w:val="00AC5621"/>
    <w:rsid w:val="00B03457"/>
    <w:rsid w:val="00B73663"/>
    <w:rsid w:val="00BA0E95"/>
    <w:rsid w:val="00C412D2"/>
    <w:rsid w:val="00DD28DD"/>
    <w:rsid w:val="00E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FB42F-5E66-4847-B817-BAE9AE5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documents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QCA.001F1 - Quality Control of Reagent Red Cells and Antisera</vt:lpstr>
      <vt:lpstr>QCA.001F1 - Quality Control of Reagent Red Cells and Antisera</vt:lpstr>
    </vt:vector>
  </TitlesOfParts>
  <Company>HealthPro Computer Services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QCA.001F1 - Quality Control of Reagent Red Cells and Antisera</dc:title>
  <dc:subject/>
  <dc:creator>TOPO</dc:creator>
  <cp:keywords/>
  <cp:lastModifiedBy>Nesrallah, Heather</cp:lastModifiedBy>
  <cp:revision>2</cp:revision>
  <cp:lastPrinted>2010-04-22T19:53:00Z</cp:lastPrinted>
  <dcterms:created xsi:type="dcterms:W3CDTF">2019-08-12T23:30:00Z</dcterms:created>
  <dcterms:modified xsi:type="dcterms:W3CDTF">2019-08-12T23:30:00Z</dcterms:modified>
</cp:coreProperties>
</file>