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5DE48" w14:textId="77777777" w:rsidR="00FF12D3" w:rsidRDefault="00FF12D3" w:rsidP="00C13BA8"/>
    <w:tbl>
      <w:tblPr>
        <w:tblpPr w:leftFromText="180" w:rightFromText="180" w:vertAnchor="page" w:horzAnchor="margin" w:tblpY="144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939"/>
      </w:tblGrid>
      <w:tr w:rsidR="00FF12D3" w:rsidRPr="00565DDB" w14:paraId="3195692B" w14:textId="77777777" w:rsidTr="003522AB">
        <w:trPr>
          <w:trHeight w:val="1418"/>
        </w:trPr>
        <w:tc>
          <w:tcPr>
            <w:tcW w:w="3524" w:type="dxa"/>
            <w:tcBorders>
              <w:top w:val="nil"/>
              <w:left w:val="nil"/>
              <w:bottom w:val="single" w:sz="4" w:space="0" w:color="auto"/>
              <w:right w:val="nil"/>
            </w:tcBorders>
          </w:tcPr>
          <w:p w14:paraId="07CD3AB7" w14:textId="77777777" w:rsidR="00274E30" w:rsidRDefault="00274E30" w:rsidP="00AE0ED7">
            <w:pPr>
              <w:pStyle w:val="Heading2"/>
              <w:rPr>
                <w:lang w:val="en-CA"/>
              </w:rPr>
            </w:pPr>
          </w:p>
          <w:p w14:paraId="675227B0" w14:textId="3009832F" w:rsidR="00FF12D3" w:rsidRPr="007A2837" w:rsidRDefault="002E1B1F" w:rsidP="00AE0ED7">
            <w:pPr>
              <w:pStyle w:val="Heading2"/>
              <w:rPr>
                <w:rFonts w:asciiTheme="minorHAnsi" w:hAnsiTheme="minorHAnsi"/>
                <w:lang w:val="en-CA"/>
              </w:rPr>
            </w:pPr>
            <w:bookmarkStart w:id="0" w:name="_Toc459813929"/>
            <w:bookmarkStart w:id="1" w:name="_Toc467578465"/>
            <w:bookmarkStart w:id="2" w:name="_Toc470798664"/>
            <w:r w:rsidRPr="007A2837">
              <w:rPr>
                <w:rFonts w:asciiTheme="minorHAnsi" w:hAnsiTheme="minorHAnsi"/>
                <w:color w:val="00467D"/>
                <w:lang w:val="en-CA"/>
              </w:rPr>
              <w:t xml:space="preserve">Appendix </w:t>
            </w:r>
            <w:bookmarkEnd w:id="0"/>
            <w:bookmarkEnd w:id="1"/>
            <w:r w:rsidR="009827E0" w:rsidRPr="007A2837">
              <w:rPr>
                <w:rFonts w:asciiTheme="minorHAnsi" w:hAnsiTheme="minorHAnsi"/>
                <w:color w:val="00467D"/>
                <w:lang w:val="en-CA"/>
              </w:rPr>
              <w:t>6</w:t>
            </w:r>
            <w:bookmarkEnd w:id="2"/>
          </w:p>
        </w:tc>
        <w:tc>
          <w:tcPr>
            <w:tcW w:w="6939" w:type="dxa"/>
            <w:tcBorders>
              <w:top w:val="nil"/>
              <w:left w:val="nil"/>
              <w:bottom w:val="single" w:sz="4" w:space="0" w:color="auto"/>
              <w:right w:val="nil"/>
            </w:tcBorders>
          </w:tcPr>
          <w:p w14:paraId="55C98764" w14:textId="77777777" w:rsidR="002E1B1F" w:rsidRDefault="002E1B1F" w:rsidP="00AE0ED7">
            <w:pPr>
              <w:jc w:val="center"/>
              <w:rPr>
                <w:b/>
                <w:lang w:val="en-CA"/>
              </w:rPr>
            </w:pPr>
          </w:p>
          <w:p w14:paraId="2F5BFC38" w14:textId="77777777" w:rsidR="002E1B1F" w:rsidRDefault="002E1B1F" w:rsidP="00AE0ED7">
            <w:pPr>
              <w:jc w:val="center"/>
              <w:rPr>
                <w:b/>
                <w:lang w:val="en-CA"/>
              </w:rPr>
            </w:pPr>
          </w:p>
          <w:p w14:paraId="76E7B19A" w14:textId="77777777" w:rsidR="00FF12D3" w:rsidRPr="008353EB" w:rsidRDefault="00FF12D3" w:rsidP="00AE0ED7">
            <w:pPr>
              <w:jc w:val="center"/>
              <w:rPr>
                <w:b/>
                <w:lang w:val="en-CA"/>
              </w:rPr>
            </w:pPr>
          </w:p>
        </w:tc>
      </w:tr>
      <w:tr w:rsidR="002E1B1F" w:rsidRPr="00565DDB" w14:paraId="48F18D9C" w14:textId="77777777" w:rsidTr="003522AB">
        <w:trPr>
          <w:trHeight w:val="785"/>
        </w:trPr>
        <w:tc>
          <w:tcPr>
            <w:tcW w:w="3524" w:type="dxa"/>
            <w:tcBorders>
              <w:top w:val="single" w:sz="4" w:space="0" w:color="auto"/>
            </w:tcBorders>
          </w:tcPr>
          <w:p w14:paraId="4BF052CA" w14:textId="77777777" w:rsidR="002E1B1F" w:rsidRPr="008353EB" w:rsidRDefault="002E1B1F" w:rsidP="00AE0ED7">
            <w:pPr>
              <w:jc w:val="center"/>
              <w:rPr>
                <w:b/>
                <w:lang w:val="en-CA"/>
              </w:rPr>
            </w:pPr>
            <w:r w:rsidRPr="008353EB">
              <w:rPr>
                <w:b/>
                <w:lang w:val="en-CA"/>
              </w:rPr>
              <w:t>BLOOD PRODUCT</w:t>
            </w:r>
          </w:p>
          <w:p w14:paraId="5DA4E3C0" w14:textId="77777777" w:rsidR="002E1B1F" w:rsidRDefault="002E1B1F" w:rsidP="00AE0ED7">
            <w:pPr>
              <w:jc w:val="center"/>
              <w:rPr>
                <w:b/>
                <w:lang w:val="en-CA"/>
              </w:rPr>
            </w:pPr>
            <w:r w:rsidRPr="008353EB">
              <w:rPr>
                <w:b/>
                <w:lang w:val="en-CA"/>
              </w:rPr>
              <w:t>MONOGRAPH</w:t>
            </w:r>
          </w:p>
        </w:tc>
        <w:tc>
          <w:tcPr>
            <w:tcW w:w="6939" w:type="dxa"/>
            <w:tcBorders>
              <w:top w:val="single" w:sz="4" w:space="0" w:color="auto"/>
            </w:tcBorders>
          </w:tcPr>
          <w:p w14:paraId="19C22AD3" w14:textId="77777777" w:rsidR="002E1B1F" w:rsidRDefault="002E1B1F" w:rsidP="00AE0ED7">
            <w:pPr>
              <w:jc w:val="center"/>
              <w:rPr>
                <w:b/>
                <w:lang w:val="en-CA"/>
              </w:rPr>
            </w:pPr>
            <w:r w:rsidRPr="008353EB">
              <w:rPr>
                <w:b/>
                <w:lang w:val="en-CA"/>
              </w:rPr>
              <w:t>RED BLOOD CELLS</w:t>
            </w:r>
          </w:p>
        </w:tc>
      </w:tr>
      <w:tr w:rsidR="00C13BA8" w:rsidRPr="00565DDB" w14:paraId="258F3B4C" w14:textId="77777777" w:rsidTr="003522AB">
        <w:trPr>
          <w:trHeight w:val="1181"/>
        </w:trPr>
        <w:tc>
          <w:tcPr>
            <w:tcW w:w="10463" w:type="dxa"/>
            <w:gridSpan w:val="2"/>
          </w:tcPr>
          <w:p w14:paraId="75D272E9" w14:textId="77777777" w:rsidR="00C13BA8" w:rsidRPr="00925327" w:rsidRDefault="00C13BA8" w:rsidP="00AE0ED7">
            <w:pPr>
              <w:rPr>
                <w:rFonts w:ascii="Arial" w:hAnsi="Arial" w:cs="Arial"/>
                <w:b/>
                <w:i/>
                <w:sz w:val="20"/>
                <w:szCs w:val="20"/>
              </w:rPr>
            </w:pPr>
            <w:r w:rsidRPr="00684F8C">
              <w:rPr>
                <w:rFonts w:ascii="Arial" w:hAnsi="Arial" w:cs="Arial"/>
                <w:lang w:val="en-CA"/>
              </w:rPr>
              <w:t>For complete information refer to</w:t>
            </w:r>
            <w:r w:rsidRPr="00F04AA3">
              <w:rPr>
                <w:rFonts w:ascii="Arial" w:hAnsi="Arial" w:cs="Arial"/>
                <w:b/>
                <w:lang w:val="en-CA"/>
              </w:rPr>
              <w:t xml:space="preserve"> </w:t>
            </w:r>
            <w:r w:rsidRPr="00F04AA3">
              <w:rPr>
                <w:rFonts w:ascii="Arial" w:hAnsi="Arial" w:cs="Arial"/>
                <w:b/>
                <w:i/>
                <w:lang w:val="en-CA"/>
              </w:rPr>
              <w:t>Blood and Blood products - Ordering, Issuing and Administration of Blo</w:t>
            </w:r>
            <w:r>
              <w:rPr>
                <w:rFonts w:ascii="Arial" w:hAnsi="Arial" w:cs="Arial"/>
                <w:b/>
                <w:i/>
                <w:lang w:val="en-CA"/>
              </w:rPr>
              <w:t>od and Blood Products Policy &amp; Procedure</w:t>
            </w:r>
            <w:r w:rsidRPr="00F04AA3">
              <w:rPr>
                <w:rFonts w:ascii="Arial" w:hAnsi="Arial" w:cs="Arial"/>
                <w:b/>
                <w:lang w:val="en-CA"/>
              </w:rPr>
              <w:t>.</w:t>
            </w:r>
          </w:p>
        </w:tc>
      </w:tr>
      <w:tr w:rsidR="00C13BA8" w:rsidRPr="00382BA4" w14:paraId="4C241347" w14:textId="77777777" w:rsidTr="003522AB">
        <w:trPr>
          <w:trHeight w:val="375"/>
        </w:trPr>
        <w:tc>
          <w:tcPr>
            <w:tcW w:w="10463" w:type="dxa"/>
            <w:gridSpan w:val="2"/>
          </w:tcPr>
          <w:p w14:paraId="02E2A6C2" w14:textId="77777777" w:rsidR="00C13BA8" w:rsidRPr="0035289C" w:rsidRDefault="00C13BA8" w:rsidP="00AE0ED7">
            <w:pPr>
              <w:pStyle w:val="Header"/>
              <w:tabs>
                <w:tab w:val="clear" w:pos="4320"/>
                <w:tab w:val="center" w:pos="-108"/>
              </w:tabs>
              <w:spacing w:before="40" w:after="40"/>
              <w:jc w:val="center"/>
              <w:rPr>
                <w:rFonts w:ascii="Arial" w:hAnsi="Arial"/>
                <w:b/>
                <w:i/>
                <w:sz w:val="20"/>
              </w:rPr>
            </w:pPr>
            <w:r w:rsidRPr="0035289C">
              <w:rPr>
                <w:rFonts w:ascii="Arial" w:hAnsi="Arial"/>
                <w:b/>
                <w:i/>
                <w:sz w:val="20"/>
              </w:rPr>
              <w:t>CONSENT FOR TRANSFUSION IS REQUIRED</w:t>
            </w:r>
          </w:p>
        </w:tc>
      </w:tr>
    </w:tbl>
    <w:p w14:paraId="1F046A7B" w14:textId="77777777" w:rsidR="00C13BA8" w:rsidRPr="0035289C" w:rsidRDefault="00C13BA8" w:rsidP="00433C01">
      <w:pPr>
        <w:rPr>
          <w:rFonts w:ascii="Arial" w:hAnsi="Arial"/>
          <w:sz w:val="20"/>
          <w:lang w:val="en-CA"/>
        </w:rPr>
      </w:pPr>
      <w:r w:rsidRPr="0035289C">
        <w:rPr>
          <w:rFonts w:ascii="Arial" w:hAnsi="Arial"/>
          <w:b/>
          <w:sz w:val="20"/>
          <w:lang w:val="en-CA"/>
        </w:rPr>
        <w:t>CLASSIFICATION:</w:t>
      </w:r>
      <w:r w:rsidRPr="0035289C">
        <w:rPr>
          <w:rFonts w:ascii="Arial" w:hAnsi="Arial"/>
          <w:sz w:val="20"/>
          <w:lang w:val="en-CA"/>
        </w:rPr>
        <w:t xml:space="preserve">  Blood component used to increase oxygen carrying capacity and improve tissue oxygenation.</w:t>
      </w:r>
    </w:p>
    <w:p w14:paraId="0775B971" w14:textId="77777777" w:rsidR="00C13BA8" w:rsidRPr="0035289C" w:rsidRDefault="00C13BA8" w:rsidP="00CE5526">
      <w:pPr>
        <w:rPr>
          <w:rFonts w:ascii="Arial" w:hAnsi="Arial"/>
          <w:b/>
          <w:sz w:val="20"/>
          <w:lang w:val="en-CA"/>
        </w:rPr>
      </w:pPr>
      <w:r w:rsidRPr="0035289C">
        <w:rPr>
          <w:rFonts w:ascii="Arial" w:hAnsi="Arial"/>
          <w:b/>
          <w:sz w:val="20"/>
          <w:lang w:val="en-CA"/>
        </w:rPr>
        <w:t>AVAILABILITY:</w:t>
      </w:r>
    </w:p>
    <w:p w14:paraId="4A57E5D6" w14:textId="77777777" w:rsidR="00C13BA8" w:rsidRPr="0035289C" w:rsidRDefault="00C13BA8" w:rsidP="00A966BB">
      <w:pPr>
        <w:pStyle w:val="ListParagraph"/>
        <w:numPr>
          <w:ilvl w:val="0"/>
          <w:numId w:val="4"/>
        </w:numPr>
        <w:spacing w:after="200"/>
        <w:rPr>
          <w:rFonts w:ascii="Arial" w:hAnsi="Arial"/>
          <w:sz w:val="20"/>
          <w:lang w:val="en-CA"/>
        </w:rPr>
      </w:pPr>
      <w:r w:rsidRPr="0035289C">
        <w:rPr>
          <w:rFonts w:ascii="Arial" w:hAnsi="Arial"/>
          <w:sz w:val="20"/>
          <w:lang w:val="en-CA"/>
        </w:rPr>
        <w:t>1 unit per bag - Volume as indicated on manufacturer label – approximately 300 mL</w:t>
      </w:r>
    </w:p>
    <w:p w14:paraId="29192F04" w14:textId="77777777" w:rsidR="00C13BA8" w:rsidRPr="0035289C" w:rsidRDefault="00C13BA8" w:rsidP="00A966BB">
      <w:pPr>
        <w:pStyle w:val="ListParagraph"/>
        <w:numPr>
          <w:ilvl w:val="0"/>
          <w:numId w:val="4"/>
        </w:numPr>
        <w:spacing w:after="200"/>
        <w:rPr>
          <w:rFonts w:ascii="Arial" w:hAnsi="Arial"/>
          <w:sz w:val="20"/>
          <w:lang w:val="en-CA"/>
        </w:rPr>
      </w:pPr>
      <w:r w:rsidRPr="0035289C">
        <w:rPr>
          <w:rFonts w:ascii="Arial" w:hAnsi="Arial"/>
          <w:sz w:val="20"/>
          <w:lang w:val="en-CA"/>
        </w:rPr>
        <w:t>Reassess both hemoglobin and clinical status before requesting additional doses.</w:t>
      </w:r>
    </w:p>
    <w:p w14:paraId="462D71FD" w14:textId="77777777" w:rsidR="00C13BA8" w:rsidRPr="0035289C" w:rsidRDefault="00C13BA8" w:rsidP="00CE5526">
      <w:pPr>
        <w:rPr>
          <w:rFonts w:ascii="Arial" w:hAnsi="Arial"/>
          <w:b/>
          <w:sz w:val="20"/>
          <w:lang w:val="en-CA"/>
        </w:rPr>
      </w:pPr>
      <w:r w:rsidRPr="0035289C">
        <w:rPr>
          <w:rFonts w:ascii="Arial" w:hAnsi="Arial"/>
          <w:b/>
          <w:sz w:val="20"/>
          <w:lang w:val="en-CA"/>
        </w:rPr>
        <w:t>STABILITY:</w:t>
      </w:r>
    </w:p>
    <w:p w14:paraId="587ABFF7" w14:textId="77777777" w:rsidR="00C13BA8" w:rsidRPr="0035289C" w:rsidRDefault="00C13BA8" w:rsidP="00433C01">
      <w:pPr>
        <w:rPr>
          <w:rFonts w:ascii="Arial" w:hAnsi="Arial"/>
          <w:sz w:val="20"/>
          <w:lang w:val="en-CA"/>
        </w:rPr>
      </w:pPr>
      <w:r w:rsidRPr="0035289C">
        <w:rPr>
          <w:rFonts w:ascii="Arial" w:hAnsi="Arial"/>
          <w:sz w:val="20"/>
          <w:lang w:val="en-CA"/>
        </w:rPr>
        <w:t xml:space="preserve">Use immediately upon receipt.  Contact Transfusion Laboratory (TL) if transfusion must be delayed.  Complete or terminate transfusion within 4 hours from time of issue.  If Red Blood Cells (RBC) will not be used, return to TL immediately.  </w:t>
      </w:r>
    </w:p>
    <w:p w14:paraId="78234463" w14:textId="77777777" w:rsidR="00C13BA8" w:rsidRPr="0035289C" w:rsidRDefault="00C13BA8" w:rsidP="00CE5526">
      <w:pPr>
        <w:rPr>
          <w:rFonts w:ascii="Arial" w:hAnsi="Arial"/>
          <w:b/>
          <w:sz w:val="20"/>
          <w:lang w:val="en-CA"/>
        </w:rPr>
      </w:pPr>
      <w:r w:rsidRPr="0035289C">
        <w:rPr>
          <w:rFonts w:ascii="Arial" w:hAnsi="Arial"/>
          <w:b/>
          <w:sz w:val="20"/>
          <w:lang w:val="en-CA"/>
        </w:rPr>
        <w:t>PRECAUTIONS:</w:t>
      </w:r>
    </w:p>
    <w:p w14:paraId="7C038C1D" w14:textId="77777777" w:rsidR="00C13BA8" w:rsidRPr="0035289C" w:rsidRDefault="00C13BA8" w:rsidP="00A966BB">
      <w:pPr>
        <w:pStyle w:val="ListParagraph"/>
        <w:numPr>
          <w:ilvl w:val="0"/>
          <w:numId w:val="8"/>
        </w:numPr>
        <w:rPr>
          <w:rFonts w:ascii="Arial" w:hAnsi="Arial"/>
          <w:sz w:val="20"/>
          <w:lang w:val="en-CA"/>
        </w:rPr>
      </w:pPr>
      <w:r w:rsidRPr="0035289C">
        <w:rPr>
          <w:rFonts w:ascii="Arial" w:hAnsi="Arial"/>
          <w:sz w:val="20"/>
          <w:lang w:val="en-CA"/>
        </w:rPr>
        <w:t xml:space="preserve">Fatal hemolytic transfusion reactions can occur if a patient is transfused ABO incompatible blood.  </w:t>
      </w:r>
    </w:p>
    <w:p w14:paraId="2F232202" w14:textId="77777777" w:rsidR="00C13BA8" w:rsidRPr="0035289C" w:rsidRDefault="00C13BA8" w:rsidP="00A966BB">
      <w:pPr>
        <w:pStyle w:val="ListParagraph"/>
        <w:numPr>
          <w:ilvl w:val="0"/>
          <w:numId w:val="8"/>
        </w:numPr>
        <w:rPr>
          <w:rFonts w:ascii="Arial" w:hAnsi="Arial"/>
          <w:sz w:val="20"/>
          <w:lang w:val="en-CA"/>
        </w:rPr>
      </w:pPr>
      <w:r w:rsidRPr="0035289C">
        <w:rPr>
          <w:rFonts w:ascii="Arial" w:hAnsi="Arial"/>
          <w:sz w:val="20"/>
          <w:lang w:val="en-CA"/>
        </w:rPr>
        <w:t xml:space="preserve">Label laboratory samples in the presence of the patient verifying the patient identification (including unique #) matches the sample label.  </w:t>
      </w:r>
    </w:p>
    <w:p w14:paraId="71DC68BC" w14:textId="77777777" w:rsidR="00C13BA8" w:rsidRPr="0035289C" w:rsidRDefault="00C13BA8" w:rsidP="00433C01">
      <w:pPr>
        <w:pStyle w:val="ListParagraph"/>
        <w:ind w:left="360"/>
        <w:rPr>
          <w:rFonts w:ascii="Arial" w:hAnsi="Arial"/>
          <w:sz w:val="20"/>
          <w:lang w:val="en-CA"/>
        </w:rPr>
      </w:pPr>
    </w:p>
    <w:p w14:paraId="2FAAF579" w14:textId="77777777" w:rsidR="00C13BA8" w:rsidRPr="0035289C" w:rsidRDefault="00C13BA8" w:rsidP="00CE5526">
      <w:pPr>
        <w:rPr>
          <w:rFonts w:ascii="Arial" w:hAnsi="Arial"/>
          <w:b/>
          <w:sz w:val="20"/>
          <w:lang w:val="en-CA"/>
        </w:rPr>
      </w:pPr>
      <w:r w:rsidRPr="0035289C">
        <w:rPr>
          <w:rFonts w:ascii="Arial" w:hAnsi="Arial"/>
          <w:b/>
          <w:sz w:val="20"/>
          <w:lang w:val="en-CA"/>
        </w:rPr>
        <w:t>DOSAGE AND INDICATIONS:</w:t>
      </w:r>
    </w:p>
    <w:p w14:paraId="4C98027D" w14:textId="77777777" w:rsidR="00C13BA8" w:rsidRPr="0035289C" w:rsidRDefault="00C13BA8" w:rsidP="00433C01">
      <w:pPr>
        <w:rPr>
          <w:rFonts w:ascii="Arial" w:hAnsi="Arial"/>
          <w:sz w:val="20"/>
          <w:lang w:val="en-CA"/>
        </w:rPr>
      </w:pPr>
      <w:r w:rsidRPr="0035289C">
        <w:rPr>
          <w:rFonts w:ascii="Arial" w:hAnsi="Arial"/>
          <w:sz w:val="20"/>
          <w:lang w:val="en-CA"/>
        </w:rPr>
        <w:t xml:space="preserve">Refer to </w:t>
      </w:r>
      <w:r w:rsidRPr="0035289C">
        <w:rPr>
          <w:rFonts w:ascii="Arial" w:hAnsi="Arial"/>
          <w:i/>
          <w:sz w:val="20"/>
          <w:lang w:val="en-CA"/>
        </w:rPr>
        <w:t>Transfusion Guidelines</w:t>
      </w:r>
      <w:r w:rsidRPr="0035289C">
        <w:rPr>
          <w:rFonts w:ascii="Arial" w:hAnsi="Arial"/>
          <w:sz w:val="20"/>
          <w:lang w:val="en-CA"/>
        </w:rPr>
        <w:t xml:space="preserve">.  Needs for transfusion are based on these guidelines (for certain populations) as well as clinical status.  </w:t>
      </w:r>
    </w:p>
    <w:p w14:paraId="7EA465F3" w14:textId="77777777" w:rsidR="00C13BA8" w:rsidRPr="0035289C" w:rsidRDefault="00C13BA8" w:rsidP="00433C01">
      <w:pPr>
        <w:pStyle w:val="ListParagraph"/>
        <w:ind w:left="0"/>
        <w:rPr>
          <w:rFonts w:ascii="Arial" w:hAnsi="Arial"/>
          <w:b/>
          <w:sz w:val="20"/>
          <w:lang w:val="en-CA"/>
        </w:rPr>
      </w:pPr>
      <w:r w:rsidRPr="0035289C">
        <w:rPr>
          <w:rFonts w:ascii="Arial" w:hAnsi="Arial"/>
          <w:b/>
          <w:sz w:val="20"/>
          <w:lang w:val="en-CA"/>
        </w:rPr>
        <w:t>PREPARATION:</w:t>
      </w:r>
    </w:p>
    <w:p w14:paraId="03E814BD" w14:textId="77777777" w:rsidR="00C13BA8" w:rsidRPr="0035289C" w:rsidRDefault="00C13BA8" w:rsidP="00A966BB">
      <w:pPr>
        <w:pStyle w:val="ListParagraph"/>
        <w:numPr>
          <w:ilvl w:val="0"/>
          <w:numId w:val="5"/>
        </w:numPr>
        <w:spacing w:after="200" w:line="276" w:lineRule="auto"/>
        <w:rPr>
          <w:rFonts w:ascii="Arial" w:hAnsi="Arial"/>
          <w:sz w:val="20"/>
          <w:lang w:val="en-CA"/>
        </w:rPr>
      </w:pPr>
      <w:r w:rsidRPr="0035289C">
        <w:rPr>
          <w:rFonts w:ascii="Arial" w:hAnsi="Arial"/>
          <w:sz w:val="20"/>
          <w:lang w:val="en-CA"/>
        </w:rPr>
        <w:t xml:space="preserve">Enter request into </w:t>
      </w:r>
      <w:proofErr w:type="spellStart"/>
      <w:r w:rsidRPr="0035289C">
        <w:rPr>
          <w:rFonts w:ascii="Arial" w:hAnsi="Arial"/>
          <w:sz w:val="20"/>
          <w:lang w:val="en-CA"/>
        </w:rPr>
        <w:t>Meditech</w:t>
      </w:r>
      <w:proofErr w:type="spellEnd"/>
      <w:r w:rsidRPr="0035289C">
        <w:rPr>
          <w:rFonts w:ascii="Arial" w:hAnsi="Arial"/>
          <w:sz w:val="20"/>
          <w:lang w:val="en-CA"/>
        </w:rPr>
        <w:t xml:space="preserve"> – Order Entry system under the module ‘BB’ for Blood Bank.</w:t>
      </w:r>
    </w:p>
    <w:p w14:paraId="79705B11" w14:textId="77777777" w:rsidR="00C13BA8" w:rsidRPr="0035289C" w:rsidRDefault="00C13BA8" w:rsidP="00A966BB">
      <w:pPr>
        <w:pStyle w:val="ListParagraph"/>
        <w:numPr>
          <w:ilvl w:val="0"/>
          <w:numId w:val="5"/>
        </w:numPr>
        <w:spacing w:after="200" w:line="276" w:lineRule="auto"/>
        <w:rPr>
          <w:rFonts w:ascii="Arial" w:hAnsi="Arial"/>
          <w:sz w:val="20"/>
          <w:lang w:val="en-CA"/>
        </w:rPr>
      </w:pPr>
      <w:r w:rsidRPr="0035289C">
        <w:rPr>
          <w:rFonts w:ascii="Arial" w:hAnsi="Arial"/>
          <w:sz w:val="20"/>
          <w:lang w:val="en-CA"/>
        </w:rPr>
        <w:t xml:space="preserve">Type and screen (T/S) must be in-date to be valid (collected within 28 days for most patients and 3 days for patient transfused or pregnant within the previous 3 months). </w:t>
      </w:r>
    </w:p>
    <w:p w14:paraId="66629528" w14:textId="77777777" w:rsidR="00C13BA8" w:rsidRPr="0035289C" w:rsidRDefault="00C13BA8" w:rsidP="00A966BB">
      <w:pPr>
        <w:pStyle w:val="ListParagraph"/>
        <w:numPr>
          <w:ilvl w:val="0"/>
          <w:numId w:val="5"/>
        </w:numPr>
        <w:spacing w:after="200" w:line="276" w:lineRule="auto"/>
        <w:rPr>
          <w:rFonts w:ascii="Arial" w:hAnsi="Arial"/>
          <w:sz w:val="20"/>
          <w:lang w:val="en-CA"/>
        </w:rPr>
      </w:pPr>
      <w:r w:rsidRPr="0035289C">
        <w:rPr>
          <w:rFonts w:ascii="Arial" w:hAnsi="Arial"/>
          <w:sz w:val="20"/>
          <w:lang w:val="en-CA"/>
        </w:rPr>
        <w:t>Turn-around time for a T/S is approximately one hour but may be longer if antibodies are detected.</w:t>
      </w:r>
    </w:p>
    <w:p w14:paraId="6F0114A4" w14:textId="77777777" w:rsidR="00C13BA8" w:rsidRPr="0035289C" w:rsidRDefault="00C13BA8" w:rsidP="00A966BB">
      <w:pPr>
        <w:pStyle w:val="ListParagraph"/>
        <w:numPr>
          <w:ilvl w:val="0"/>
          <w:numId w:val="5"/>
        </w:numPr>
        <w:spacing w:after="200" w:line="276" w:lineRule="auto"/>
        <w:rPr>
          <w:rFonts w:ascii="Arial" w:hAnsi="Arial"/>
          <w:sz w:val="20"/>
          <w:lang w:val="en-CA"/>
        </w:rPr>
      </w:pPr>
      <w:r w:rsidRPr="0035289C">
        <w:rPr>
          <w:rFonts w:ascii="Arial" w:hAnsi="Arial"/>
          <w:sz w:val="20"/>
          <w:lang w:val="en-CA"/>
        </w:rPr>
        <w:t xml:space="preserve">RBC’s (packed cells) can be viewed in the Patient Care Inquiry system as ‘Ready’ </w:t>
      </w:r>
    </w:p>
    <w:p w14:paraId="1781D41D" w14:textId="77777777" w:rsidR="00C13BA8" w:rsidRPr="0035289C" w:rsidRDefault="00C13BA8" w:rsidP="00433C01">
      <w:pPr>
        <w:pStyle w:val="ListParagraph"/>
        <w:ind w:left="0"/>
        <w:rPr>
          <w:rFonts w:ascii="Arial" w:hAnsi="Arial"/>
          <w:sz w:val="20"/>
          <w:lang w:val="en-CA"/>
        </w:rPr>
      </w:pPr>
    </w:p>
    <w:p w14:paraId="03089237" w14:textId="77777777" w:rsidR="00EB33AE" w:rsidRDefault="00EB33AE">
      <w:pPr>
        <w:rPr>
          <w:rFonts w:ascii="Arial" w:eastAsia="Times New Roman" w:hAnsi="Arial" w:cs="Times New Roman"/>
          <w:b/>
          <w:sz w:val="20"/>
          <w:szCs w:val="24"/>
          <w:lang w:val="en-CA"/>
        </w:rPr>
      </w:pPr>
      <w:r>
        <w:rPr>
          <w:rFonts w:ascii="Arial" w:hAnsi="Arial"/>
          <w:b/>
          <w:sz w:val="20"/>
          <w:lang w:val="en-CA"/>
        </w:rPr>
        <w:br w:type="page"/>
      </w:r>
    </w:p>
    <w:p w14:paraId="6AB30BD0" w14:textId="4D7455B3" w:rsidR="00C13BA8" w:rsidRPr="0035289C" w:rsidRDefault="00C13BA8" w:rsidP="00433C01">
      <w:pPr>
        <w:pStyle w:val="ListParagraph"/>
        <w:ind w:left="0"/>
        <w:rPr>
          <w:rFonts w:ascii="Arial" w:hAnsi="Arial"/>
          <w:b/>
          <w:sz w:val="20"/>
          <w:lang w:val="en-CA"/>
        </w:rPr>
      </w:pPr>
      <w:r w:rsidRPr="0035289C">
        <w:rPr>
          <w:rFonts w:ascii="Arial" w:hAnsi="Arial"/>
          <w:b/>
          <w:sz w:val="20"/>
          <w:lang w:val="en-CA"/>
        </w:rPr>
        <w:lastRenderedPageBreak/>
        <w:t>ADMINISTRATION:</w:t>
      </w:r>
    </w:p>
    <w:p w14:paraId="71D91C00" w14:textId="77777777" w:rsidR="00C13BA8" w:rsidRPr="0035289C" w:rsidRDefault="00C13BA8" w:rsidP="00A966BB">
      <w:pPr>
        <w:pStyle w:val="ListParagraph"/>
        <w:numPr>
          <w:ilvl w:val="0"/>
          <w:numId w:val="6"/>
        </w:numPr>
        <w:rPr>
          <w:rFonts w:ascii="Arial" w:hAnsi="Arial"/>
          <w:sz w:val="20"/>
          <w:lang w:val="en-CA"/>
        </w:rPr>
      </w:pPr>
      <w:r w:rsidRPr="0035289C">
        <w:rPr>
          <w:rFonts w:ascii="Arial" w:hAnsi="Arial"/>
          <w:sz w:val="20"/>
          <w:lang w:val="en-CA"/>
        </w:rPr>
        <w:t>Complete independent double check by two Regulated Health Care Professionals immediately prior to administering the blood transfusion.  If any discrepancy exists, call the TL and DO NOT continue until the discrepancy can be resolved.</w:t>
      </w:r>
    </w:p>
    <w:p w14:paraId="31142C5A" w14:textId="77777777" w:rsidR="00C13BA8" w:rsidRPr="0035289C" w:rsidRDefault="00C13BA8" w:rsidP="00A966BB">
      <w:pPr>
        <w:pStyle w:val="ListParagraph"/>
        <w:numPr>
          <w:ilvl w:val="0"/>
          <w:numId w:val="6"/>
        </w:numPr>
        <w:spacing w:after="200" w:line="276" w:lineRule="auto"/>
        <w:rPr>
          <w:sz w:val="20"/>
          <w:lang w:val="en-CA"/>
        </w:rPr>
      </w:pPr>
      <w:r w:rsidRPr="0035289C">
        <w:rPr>
          <w:rFonts w:ascii="Arial" w:hAnsi="Arial"/>
          <w:sz w:val="20"/>
          <w:lang w:val="en-CA"/>
        </w:rPr>
        <w:t>Blood Set Intravenous tubing (Y-type) with 170-260 micron in-line filter.</w:t>
      </w:r>
    </w:p>
    <w:p w14:paraId="6DF65860" w14:textId="77777777" w:rsidR="00C13BA8" w:rsidRPr="0035289C" w:rsidRDefault="00C13BA8" w:rsidP="00A966BB">
      <w:pPr>
        <w:pStyle w:val="ListParagraph"/>
        <w:numPr>
          <w:ilvl w:val="0"/>
          <w:numId w:val="6"/>
        </w:numPr>
        <w:spacing w:before="200" w:after="200" w:line="276" w:lineRule="auto"/>
        <w:rPr>
          <w:rFonts w:ascii="Arial" w:hAnsi="Arial"/>
          <w:sz w:val="20"/>
          <w:lang w:val="en-CA"/>
        </w:rPr>
      </w:pPr>
      <w:r w:rsidRPr="0035289C">
        <w:rPr>
          <w:rFonts w:ascii="Arial" w:hAnsi="Arial"/>
          <w:sz w:val="20"/>
          <w:lang w:val="en-CA"/>
        </w:rPr>
        <w:t>Compatible only with 0.9% sodium chloride.</w:t>
      </w:r>
    </w:p>
    <w:p w14:paraId="1EA9595B" w14:textId="77777777" w:rsidR="00C13BA8" w:rsidRPr="0035289C" w:rsidRDefault="00C13BA8" w:rsidP="00A966BB">
      <w:pPr>
        <w:pStyle w:val="ListParagraph"/>
        <w:numPr>
          <w:ilvl w:val="0"/>
          <w:numId w:val="6"/>
        </w:numPr>
        <w:spacing w:after="200" w:line="276" w:lineRule="auto"/>
        <w:rPr>
          <w:rFonts w:ascii="Arial" w:hAnsi="Arial"/>
          <w:sz w:val="20"/>
          <w:lang w:val="en-CA"/>
        </w:rPr>
      </w:pPr>
      <w:r w:rsidRPr="0035289C">
        <w:rPr>
          <w:rFonts w:ascii="Arial" w:hAnsi="Arial"/>
          <w:sz w:val="20"/>
          <w:lang w:val="en-CA"/>
        </w:rPr>
        <w:t>Change blood tubing after 2 units of the same type of component or 4 hours of use.</w:t>
      </w:r>
    </w:p>
    <w:p w14:paraId="61D5C2E9" w14:textId="77777777" w:rsidR="00C13BA8" w:rsidRPr="0035289C" w:rsidRDefault="00C13BA8" w:rsidP="00A966BB">
      <w:pPr>
        <w:pStyle w:val="ListParagraph"/>
        <w:numPr>
          <w:ilvl w:val="0"/>
          <w:numId w:val="6"/>
        </w:numPr>
        <w:spacing w:after="200" w:line="276" w:lineRule="auto"/>
        <w:rPr>
          <w:rFonts w:ascii="Arial" w:hAnsi="Arial"/>
          <w:sz w:val="20"/>
          <w:lang w:val="en-CA"/>
        </w:rPr>
      </w:pPr>
      <w:r w:rsidRPr="0035289C">
        <w:rPr>
          <w:rFonts w:ascii="Arial" w:hAnsi="Arial"/>
          <w:sz w:val="20"/>
          <w:lang w:val="en-CA"/>
        </w:rPr>
        <w:t xml:space="preserve">IV access – 22G for slow non-urgent transfusions, CVAD, PICC or implanted ports.  16 – 18 G is required for rapid transfusions to prevent hemolysis of the Red Blood Cells.  </w:t>
      </w:r>
    </w:p>
    <w:p w14:paraId="60A35017" w14:textId="77777777" w:rsidR="00C13BA8" w:rsidRPr="0035289C" w:rsidRDefault="00C13BA8" w:rsidP="00A966BB">
      <w:pPr>
        <w:pStyle w:val="ListParagraph"/>
        <w:numPr>
          <w:ilvl w:val="0"/>
          <w:numId w:val="6"/>
        </w:numPr>
        <w:spacing w:after="200" w:line="276" w:lineRule="auto"/>
        <w:rPr>
          <w:rFonts w:ascii="Arial" w:hAnsi="Arial"/>
          <w:sz w:val="20"/>
          <w:lang w:val="en-CA"/>
        </w:rPr>
      </w:pPr>
      <w:r w:rsidRPr="0035289C">
        <w:rPr>
          <w:rFonts w:ascii="Arial" w:hAnsi="Arial"/>
          <w:sz w:val="20"/>
          <w:lang w:val="en-CA"/>
        </w:rPr>
        <w:t>Dedicated intravenous site or lumen of a central line – no mixing with other IV solution or medications.</w:t>
      </w:r>
    </w:p>
    <w:p w14:paraId="74446E53" w14:textId="77777777" w:rsidR="00C13BA8" w:rsidRPr="0035289C" w:rsidRDefault="00C13BA8" w:rsidP="00A966BB">
      <w:pPr>
        <w:pStyle w:val="ListParagraph"/>
        <w:numPr>
          <w:ilvl w:val="0"/>
          <w:numId w:val="6"/>
        </w:numPr>
        <w:spacing w:after="200" w:line="276" w:lineRule="auto"/>
        <w:rPr>
          <w:rFonts w:ascii="Arial" w:hAnsi="Arial"/>
          <w:sz w:val="20"/>
          <w:lang w:val="en-CA"/>
        </w:rPr>
      </w:pPr>
      <w:r w:rsidRPr="0035289C">
        <w:rPr>
          <w:rFonts w:ascii="Arial" w:hAnsi="Arial"/>
          <w:sz w:val="20"/>
          <w:lang w:val="en-CA"/>
        </w:rPr>
        <w:t>Initiate transfusion slow (1 mL/kg to a maximum rate of 50 mL/hr) for the first 15 minutes to assess patient response.</w:t>
      </w:r>
    </w:p>
    <w:p w14:paraId="00495C8B" w14:textId="77777777" w:rsidR="00C13BA8" w:rsidRPr="0035289C" w:rsidRDefault="00C13BA8" w:rsidP="00A966BB">
      <w:pPr>
        <w:pStyle w:val="ListParagraph"/>
        <w:numPr>
          <w:ilvl w:val="0"/>
          <w:numId w:val="6"/>
        </w:numPr>
        <w:spacing w:after="200" w:line="276" w:lineRule="auto"/>
        <w:rPr>
          <w:rFonts w:ascii="Arial" w:hAnsi="Arial"/>
          <w:sz w:val="20"/>
          <w:lang w:val="en-CA"/>
        </w:rPr>
      </w:pPr>
      <w:r w:rsidRPr="0035289C">
        <w:rPr>
          <w:rFonts w:ascii="Arial" w:hAnsi="Arial"/>
          <w:sz w:val="20"/>
          <w:lang w:val="en-CA"/>
        </w:rPr>
        <w:t>Red Blood Cells are typically transfused over 2 hours.  Patients at risk of circulatory overload (i.e. cardiac or renal disease, elderly, chronic anemia) should be transfused slower with furosemide pre-transfusion.</w:t>
      </w:r>
    </w:p>
    <w:p w14:paraId="196FF3AD" w14:textId="77777777" w:rsidR="00C13BA8" w:rsidRPr="0035289C" w:rsidRDefault="00C13BA8" w:rsidP="00433C01">
      <w:pPr>
        <w:rPr>
          <w:rFonts w:ascii="Arial" w:hAnsi="Arial"/>
          <w:b/>
          <w:sz w:val="20"/>
          <w:lang w:val="en-CA"/>
        </w:rPr>
      </w:pPr>
      <w:r w:rsidRPr="0035289C">
        <w:rPr>
          <w:rFonts w:ascii="Arial" w:hAnsi="Arial"/>
          <w:b/>
          <w:sz w:val="20"/>
          <w:lang w:val="en-CA"/>
        </w:rPr>
        <w:t>ADVERSE EVENTS:</w:t>
      </w:r>
    </w:p>
    <w:p w14:paraId="76E3E9A5" w14:textId="77777777" w:rsidR="00C13BA8" w:rsidRPr="0035289C" w:rsidRDefault="00C13BA8" w:rsidP="00433C01">
      <w:pPr>
        <w:pStyle w:val="NoSpacing"/>
        <w:rPr>
          <w:rFonts w:ascii="Arial" w:hAnsi="Arial"/>
          <w:i/>
          <w:sz w:val="20"/>
        </w:rPr>
      </w:pPr>
      <w:r w:rsidRPr="0035289C">
        <w:rPr>
          <w:rFonts w:ascii="Arial" w:hAnsi="Arial"/>
          <w:sz w:val="20"/>
        </w:rPr>
        <w:t xml:space="preserve">Report all suspected transfusion reactions to the TL; refer to the </w:t>
      </w:r>
      <w:r w:rsidRPr="0035289C">
        <w:rPr>
          <w:rFonts w:ascii="Arial" w:hAnsi="Arial"/>
          <w:i/>
          <w:sz w:val="20"/>
        </w:rPr>
        <w:t>Transfusion Reaction Investigation Policy and Procedure.</w:t>
      </w:r>
    </w:p>
    <w:p w14:paraId="2087572F" w14:textId="77777777" w:rsidR="00C13BA8" w:rsidRPr="0035289C" w:rsidRDefault="00C13BA8" w:rsidP="00433C01">
      <w:pPr>
        <w:rPr>
          <w:rFonts w:ascii="Arial" w:hAnsi="Arial"/>
          <w:b/>
          <w:sz w:val="20"/>
          <w:lang w:val="en-CA"/>
        </w:rPr>
      </w:pPr>
      <w:r w:rsidRPr="0035289C">
        <w:rPr>
          <w:rFonts w:ascii="Arial" w:hAnsi="Arial"/>
          <w:b/>
          <w:sz w:val="20"/>
          <w:lang w:val="en-CA"/>
        </w:rPr>
        <w:t>NURSING IMPLICATIONS:</w:t>
      </w:r>
    </w:p>
    <w:p w14:paraId="032875E0" w14:textId="77777777" w:rsidR="00C13BA8" w:rsidRPr="0035289C" w:rsidRDefault="00C13BA8" w:rsidP="00A966BB">
      <w:pPr>
        <w:pStyle w:val="ListParagraph"/>
        <w:numPr>
          <w:ilvl w:val="0"/>
          <w:numId w:val="7"/>
        </w:numPr>
        <w:spacing w:after="200" w:line="276" w:lineRule="auto"/>
        <w:rPr>
          <w:rFonts w:ascii="Arial" w:hAnsi="Arial"/>
          <w:sz w:val="20"/>
          <w:lang w:val="en-CA"/>
        </w:rPr>
      </w:pPr>
      <w:r w:rsidRPr="0035289C">
        <w:rPr>
          <w:rFonts w:ascii="Arial" w:hAnsi="Arial"/>
          <w:sz w:val="20"/>
          <w:lang w:val="en-CA"/>
        </w:rPr>
        <w:t>Ensure consent is complete before sending for blood from TL.</w:t>
      </w:r>
    </w:p>
    <w:p w14:paraId="423ED702" w14:textId="77777777" w:rsidR="00C13BA8" w:rsidRPr="0035289C" w:rsidRDefault="00C13BA8" w:rsidP="00A966BB">
      <w:pPr>
        <w:pStyle w:val="ListParagraph"/>
        <w:numPr>
          <w:ilvl w:val="0"/>
          <w:numId w:val="7"/>
        </w:numPr>
        <w:autoSpaceDE w:val="0"/>
        <w:autoSpaceDN w:val="0"/>
        <w:adjustRightInd w:val="0"/>
        <w:rPr>
          <w:rFonts w:ascii="Arial" w:hAnsi="Arial"/>
          <w:sz w:val="20"/>
        </w:rPr>
      </w:pPr>
      <w:r w:rsidRPr="0035289C">
        <w:rPr>
          <w:rFonts w:ascii="Arial" w:hAnsi="Arial"/>
          <w:sz w:val="20"/>
        </w:rPr>
        <w:t>Check and document vital signs (temperature, heart rate, blood pressure, respiratory rate and oxygen saturation as follows:</w:t>
      </w:r>
    </w:p>
    <w:p w14:paraId="7FCB5040" w14:textId="77777777" w:rsidR="00C13BA8" w:rsidRPr="0035289C" w:rsidRDefault="00C13BA8" w:rsidP="00433C01">
      <w:pPr>
        <w:pStyle w:val="ListParagraph"/>
        <w:autoSpaceDE w:val="0"/>
        <w:autoSpaceDN w:val="0"/>
        <w:adjustRightInd w:val="0"/>
        <w:ind w:left="1080"/>
        <w:rPr>
          <w:rFonts w:ascii="Arial" w:hAnsi="Arial"/>
          <w:sz w:val="20"/>
        </w:rPr>
      </w:pPr>
    </w:p>
    <w:tbl>
      <w:tblPr>
        <w:tblStyle w:val="TableGrid"/>
        <w:tblW w:w="0" w:type="auto"/>
        <w:tblLook w:val="04A0" w:firstRow="1" w:lastRow="0" w:firstColumn="1" w:lastColumn="0" w:noHBand="0" w:noVBand="1"/>
      </w:tblPr>
      <w:tblGrid>
        <w:gridCol w:w="5008"/>
        <w:gridCol w:w="5009"/>
      </w:tblGrid>
      <w:tr w:rsidR="00C13BA8" w:rsidRPr="00382BA4" w14:paraId="6D5D9FA9" w14:textId="77777777" w:rsidTr="00433C01">
        <w:trPr>
          <w:trHeight w:val="218"/>
        </w:trPr>
        <w:tc>
          <w:tcPr>
            <w:tcW w:w="10017" w:type="dxa"/>
            <w:gridSpan w:val="2"/>
            <w:shd w:val="clear" w:color="auto" w:fill="D9D9D9" w:themeFill="background1" w:themeFillShade="D9"/>
          </w:tcPr>
          <w:p w14:paraId="35D2A701" w14:textId="77777777" w:rsidR="00C13BA8" w:rsidRPr="0035289C" w:rsidRDefault="00C13BA8" w:rsidP="00433C01">
            <w:pPr>
              <w:jc w:val="center"/>
              <w:rPr>
                <w:rFonts w:ascii="Arial" w:hAnsi="Arial"/>
                <w:sz w:val="20"/>
              </w:rPr>
            </w:pPr>
            <w:bookmarkStart w:id="3" w:name="vital"/>
            <w:r w:rsidRPr="00D40C18">
              <w:rPr>
                <w:rFonts w:ascii="Arial" w:hAnsi="Arial"/>
                <w:sz w:val="20"/>
              </w:rPr>
              <w:t>Vital Sign Chart</w:t>
            </w:r>
            <w:bookmarkEnd w:id="3"/>
          </w:p>
        </w:tc>
      </w:tr>
      <w:tr w:rsidR="00C13BA8" w:rsidRPr="00382BA4" w14:paraId="36B5F464" w14:textId="77777777" w:rsidTr="00433C01">
        <w:trPr>
          <w:trHeight w:val="218"/>
        </w:trPr>
        <w:tc>
          <w:tcPr>
            <w:tcW w:w="5008" w:type="dxa"/>
            <w:shd w:val="clear" w:color="auto" w:fill="D9D9D9" w:themeFill="background1" w:themeFillShade="D9"/>
          </w:tcPr>
          <w:p w14:paraId="3BC30F7B" w14:textId="77777777" w:rsidR="00C13BA8" w:rsidRPr="0035289C" w:rsidRDefault="00C13BA8" w:rsidP="00433C01">
            <w:pPr>
              <w:jc w:val="center"/>
              <w:rPr>
                <w:rFonts w:ascii="Arial" w:hAnsi="Arial"/>
                <w:sz w:val="20"/>
              </w:rPr>
            </w:pPr>
            <w:r w:rsidRPr="0035289C">
              <w:rPr>
                <w:rFonts w:ascii="Arial" w:hAnsi="Arial"/>
                <w:sz w:val="20"/>
              </w:rPr>
              <w:t>Adult Population</w:t>
            </w:r>
          </w:p>
        </w:tc>
        <w:tc>
          <w:tcPr>
            <w:tcW w:w="5009" w:type="dxa"/>
            <w:shd w:val="clear" w:color="auto" w:fill="D9D9D9" w:themeFill="background1" w:themeFillShade="D9"/>
          </w:tcPr>
          <w:p w14:paraId="4535A98A" w14:textId="77777777" w:rsidR="00C13BA8" w:rsidRPr="0035289C" w:rsidRDefault="00C13BA8" w:rsidP="00433C01">
            <w:pPr>
              <w:jc w:val="center"/>
              <w:rPr>
                <w:rFonts w:ascii="Arial" w:hAnsi="Arial"/>
                <w:sz w:val="20"/>
              </w:rPr>
            </w:pPr>
            <w:r w:rsidRPr="0035289C">
              <w:rPr>
                <w:rFonts w:ascii="Arial" w:hAnsi="Arial"/>
                <w:sz w:val="20"/>
              </w:rPr>
              <w:t>Neonates and Pediatrics Population</w:t>
            </w:r>
          </w:p>
        </w:tc>
      </w:tr>
      <w:tr w:rsidR="00C13BA8" w:rsidRPr="00382BA4" w14:paraId="4C9B6889" w14:textId="77777777" w:rsidTr="00433C01">
        <w:trPr>
          <w:trHeight w:val="472"/>
        </w:trPr>
        <w:tc>
          <w:tcPr>
            <w:tcW w:w="5008" w:type="dxa"/>
          </w:tcPr>
          <w:p w14:paraId="7D6D7152" w14:textId="77777777" w:rsidR="00C13BA8" w:rsidRPr="0035289C" w:rsidRDefault="00C13BA8" w:rsidP="00433C01">
            <w:pPr>
              <w:jc w:val="both"/>
              <w:rPr>
                <w:rFonts w:ascii="Arial" w:hAnsi="Arial"/>
                <w:sz w:val="20"/>
              </w:rPr>
            </w:pPr>
            <w:r w:rsidRPr="00D40C18">
              <w:rPr>
                <w:rFonts w:ascii="Arial" w:hAnsi="Arial"/>
                <w:sz w:val="20"/>
              </w:rPr>
              <w:t>Baseline (within 30 minutes prior to initiating the transfusion)</w:t>
            </w:r>
          </w:p>
        </w:tc>
        <w:tc>
          <w:tcPr>
            <w:tcW w:w="5009" w:type="dxa"/>
          </w:tcPr>
          <w:p w14:paraId="6AA1648D" w14:textId="77777777" w:rsidR="00C13BA8" w:rsidRPr="0035289C" w:rsidRDefault="00C13BA8" w:rsidP="00433C01">
            <w:pPr>
              <w:jc w:val="both"/>
              <w:rPr>
                <w:rFonts w:ascii="Arial" w:hAnsi="Arial"/>
                <w:sz w:val="20"/>
              </w:rPr>
            </w:pPr>
            <w:r w:rsidRPr="0035289C">
              <w:rPr>
                <w:rFonts w:ascii="Arial" w:hAnsi="Arial"/>
                <w:sz w:val="20"/>
              </w:rPr>
              <w:t>Baseline</w:t>
            </w:r>
          </w:p>
        </w:tc>
      </w:tr>
      <w:tr w:rsidR="00C13BA8" w:rsidRPr="00382BA4" w14:paraId="7684CBDA" w14:textId="77777777" w:rsidTr="00433C01">
        <w:trPr>
          <w:trHeight w:val="460"/>
        </w:trPr>
        <w:tc>
          <w:tcPr>
            <w:tcW w:w="5008" w:type="dxa"/>
          </w:tcPr>
          <w:p w14:paraId="01063E85" w14:textId="77777777" w:rsidR="00C13BA8" w:rsidRPr="0035289C" w:rsidRDefault="00C13BA8" w:rsidP="00433C01">
            <w:pPr>
              <w:jc w:val="both"/>
              <w:rPr>
                <w:rFonts w:ascii="Arial" w:hAnsi="Arial"/>
                <w:sz w:val="20"/>
              </w:rPr>
            </w:pPr>
            <w:r w:rsidRPr="00D40C18">
              <w:rPr>
                <w:rFonts w:ascii="Arial" w:hAnsi="Arial"/>
                <w:sz w:val="20"/>
              </w:rPr>
              <w:t>15 minutes after the blood product entering the vein</w:t>
            </w:r>
          </w:p>
        </w:tc>
        <w:tc>
          <w:tcPr>
            <w:tcW w:w="5009" w:type="dxa"/>
          </w:tcPr>
          <w:p w14:paraId="67991342" w14:textId="77777777" w:rsidR="00C13BA8" w:rsidRPr="0035289C" w:rsidRDefault="00C13BA8" w:rsidP="00433C01">
            <w:pPr>
              <w:jc w:val="both"/>
              <w:rPr>
                <w:rFonts w:ascii="Arial" w:hAnsi="Arial"/>
                <w:sz w:val="20"/>
              </w:rPr>
            </w:pPr>
            <w:r w:rsidRPr="0035289C">
              <w:rPr>
                <w:rFonts w:ascii="Arial" w:hAnsi="Arial"/>
                <w:sz w:val="20"/>
              </w:rPr>
              <w:t>15 minutes after the blood product entering the vein</w:t>
            </w:r>
          </w:p>
        </w:tc>
      </w:tr>
      <w:tr w:rsidR="00C13BA8" w:rsidRPr="00382BA4" w14:paraId="0A2F3E99" w14:textId="77777777" w:rsidTr="00433C01">
        <w:trPr>
          <w:trHeight w:val="230"/>
        </w:trPr>
        <w:tc>
          <w:tcPr>
            <w:tcW w:w="5008" w:type="dxa"/>
          </w:tcPr>
          <w:p w14:paraId="5F8D5FAE" w14:textId="77777777" w:rsidR="00C13BA8" w:rsidRPr="0035289C" w:rsidRDefault="00C13BA8" w:rsidP="00433C01">
            <w:pPr>
              <w:jc w:val="both"/>
              <w:rPr>
                <w:rFonts w:ascii="Arial" w:hAnsi="Arial"/>
                <w:sz w:val="20"/>
              </w:rPr>
            </w:pPr>
            <w:r w:rsidRPr="00D40C18">
              <w:rPr>
                <w:rFonts w:ascii="Arial" w:hAnsi="Arial"/>
                <w:sz w:val="20"/>
              </w:rPr>
              <w:t>Hourly</w:t>
            </w:r>
          </w:p>
        </w:tc>
        <w:tc>
          <w:tcPr>
            <w:tcW w:w="5009" w:type="dxa"/>
          </w:tcPr>
          <w:p w14:paraId="4D9C8F38" w14:textId="77777777" w:rsidR="00C13BA8" w:rsidRPr="0035289C" w:rsidRDefault="00C13BA8" w:rsidP="00433C01">
            <w:pPr>
              <w:jc w:val="both"/>
              <w:rPr>
                <w:rFonts w:ascii="Arial" w:hAnsi="Arial"/>
                <w:sz w:val="20"/>
              </w:rPr>
            </w:pPr>
            <w:r w:rsidRPr="0035289C">
              <w:rPr>
                <w:rFonts w:ascii="Arial" w:hAnsi="Arial"/>
                <w:sz w:val="20"/>
              </w:rPr>
              <w:t>Every 30 minutes</w:t>
            </w:r>
          </w:p>
        </w:tc>
      </w:tr>
      <w:tr w:rsidR="00C13BA8" w:rsidRPr="00382BA4" w14:paraId="739EFDCF" w14:textId="77777777" w:rsidTr="00433C01">
        <w:trPr>
          <w:trHeight w:val="230"/>
        </w:trPr>
        <w:tc>
          <w:tcPr>
            <w:tcW w:w="5008" w:type="dxa"/>
          </w:tcPr>
          <w:p w14:paraId="51813299" w14:textId="77777777" w:rsidR="00C13BA8" w:rsidRPr="0035289C" w:rsidRDefault="00C13BA8" w:rsidP="00433C01">
            <w:pPr>
              <w:jc w:val="both"/>
              <w:rPr>
                <w:rFonts w:ascii="Arial" w:hAnsi="Arial"/>
                <w:sz w:val="20"/>
              </w:rPr>
            </w:pPr>
            <w:r w:rsidRPr="00D40C18">
              <w:rPr>
                <w:rFonts w:ascii="Arial" w:hAnsi="Arial"/>
                <w:sz w:val="20"/>
              </w:rPr>
              <w:t>At the completion of the transfusion</w:t>
            </w:r>
          </w:p>
        </w:tc>
        <w:tc>
          <w:tcPr>
            <w:tcW w:w="5009" w:type="dxa"/>
          </w:tcPr>
          <w:p w14:paraId="647EE834" w14:textId="77777777" w:rsidR="00C13BA8" w:rsidRPr="0035289C" w:rsidRDefault="00C13BA8" w:rsidP="00433C01">
            <w:pPr>
              <w:jc w:val="both"/>
              <w:rPr>
                <w:rFonts w:ascii="Arial" w:hAnsi="Arial"/>
                <w:sz w:val="20"/>
              </w:rPr>
            </w:pPr>
            <w:r w:rsidRPr="0035289C">
              <w:rPr>
                <w:rFonts w:ascii="Arial" w:hAnsi="Arial"/>
                <w:sz w:val="20"/>
              </w:rPr>
              <w:t>At completion</w:t>
            </w:r>
          </w:p>
        </w:tc>
      </w:tr>
      <w:tr w:rsidR="00C13BA8" w:rsidRPr="00382BA4" w14:paraId="1358213A" w14:textId="77777777" w:rsidTr="00433C01">
        <w:trPr>
          <w:trHeight w:val="230"/>
        </w:trPr>
        <w:tc>
          <w:tcPr>
            <w:tcW w:w="5008" w:type="dxa"/>
          </w:tcPr>
          <w:p w14:paraId="357BF61F" w14:textId="77777777" w:rsidR="00C13BA8" w:rsidRPr="0035289C" w:rsidRDefault="00C13BA8" w:rsidP="00433C01">
            <w:pPr>
              <w:jc w:val="both"/>
              <w:rPr>
                <w:rFonts w:ascii="Arial" w:hAnsi="Arial"/>
                <w:sz w:val="20"/>
              </w:rPr>
            </w:pPr>
          </w:p>
        </w:tc>
        <w:tc>
          <w:tcPr>
            <w:tcW w:w="5009" w:type="dxa"/>
          </w:tcPr>
          <w:p w14:paraId="6F9DC9EB" w14:textId="77777777" w:rsidR="00C13BA8" w:rsidRPr="0035289C" w:rsidRDefault="00C13BA8" w:rsidP="00433C01">
            <w:pPr>
              <w:jc w:val="both"/>
              <w:rPr>
                <w:rFonts w:ascii="Arial" w:hAnsi="Arial"/>
                <w:sz w:val="20"/>
              </w:rPr>
            </w:pPr>
            <w:r w:rsidRPr="0035289C">
              <w:rPr>
                <w:rFonts w:ascii="Arial" w:hAnsi="Arial"/>
                <w:sz w:val="20"/>
              </w:rPr>
              <w:t>One hour post transfusion</w:t>
            </w:r>
          </w:p>
        </w:tc>
      </w:tr>
      <w:tr w:rsidR="00C13BA8" w:rsidRPr="00382BA4" w14:paraId="012268F2" w14:textId="77777777" w:rsidTr="00433C01">
        <w:trPr>
          <w:trHeight w:val="677"/>
        </w:trPr>
        <w:tc>
          <w:tcPr>
            <w:tcW w:w="10017" w:type="dxa"/>
            <w:gridSpan w:val="2"/>
          </w:tcPr>
          <w:p w14:paraId="36FF746E" w14:textId="77777777" w:rsidR="00C13BA8" w:rsidRPr="0035289C" w:rsidRDefault="00C13BA8" w:rsidP="00433C01">
            <w:pPr>
              <w:jc w:val="both"/>
              <w:rPr>
                <w:rFonts w:ascii="Arial" w:hAnsi="Arial"/>
                <w:sz w:val="20"/>
              </w:rPr>
            </w:pPr>
            <w:r w:rsidRPr="0035289C">
              <w:rPr>
                <w:rFonts w:ascii="Arial" w:hAnsi="Arial"/>
                <w:sz w:val="20"/>
              </w:rPr>
              <w:t xml:space="preserve">Note: More frequent vital signs may be necessary for patients: who cannot communicate to staff, or are at risk for circulatory overload, or are experiencing a transfusion reaction.  </w:t>
            </w:r>
          </w:p>
        </w:tc>
      </w:tr>
    </w:tbl>
    <w:p w14:paraId="2020BC3F" w14:textId="5762B1BE" w:rsidR="00382BA4" w:rsidRPr="0035289C" w:rsidRDefault="00C13BA8" w:rsidP="00A966BB">
      <w:pPr>
        <w:pStyle w:val="ListParagraph"/>
        <w:numPr>
          <w:ilvl w:val="0"/>
          <w:numId w:val="7"/>
        </w:numPr>
        <w:spacing w:after="4080" w:line="276" w:lineRule="auto"/>
        <w:rPr>
          <w:rFonts w:ascii="Arial" w:hAnsi="Arial"/>
          <w:sz w:val="20"/>
          <w:lang w:val="en-CA"/>
        </w:rPr>
      </w:pPr>
      <w:r w:rsidRPr="0035289C">
        <w:rPr>
          <w:rFonts w:ascii="Arial" w:hAnsi="Arial"/>
          <w:sz w:val="20"/>
          <w:lang w:val="en-CA"/>
        </w:rPr>
        <w:t>Patients who will be discharged soon after being transfused must be provided with written instructions on what to do if a reaction is suspected.</w:t>
      </w:r>
      <w:bookmarkStart w:id="4" w:name="_GoBack"/>
      <w:bookmarkEnd w:id="4"/>
    </w:p>
    <w:sectPr w:rsidR="00382BA4" w:rsidRPr="0035289C" w:rsidSect="004847A5">
      <w:headerReference w:type="default" r:id="rId9"/>
      <w:footerReference w:type="default" r:id="rId10"/>
      <w:pgSz w:w="12240" w:h="15840" w:code="1"/>
      <w:pgMar w:top="-2269" w:right="720" w:bottom="720" w:left="720" w:header="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75616" w15:done="0"/>
  <w15:commentEx w15:paraId="47429751" w15:done="0"/>
  <w15:commentEx w15:paraId="4692969A" w15:paraIdParent="47429751" w15:done="0"/>
  <w15:commentEx w15:paraId="0E992C6A" w15:done="0"/>
  <w15:commentEx w15:paraId="6B09037A" w15:done="0"/>
  <w15:commentEx w15:paraId="07D6137B" w15:done="0"/>
  <w15:commentEx w15:paraId="31B3DFD4" w15:done="0"/>
  <w15:commentEx w15:paraId="66C57967" w15:paraIdParent="31B3DFD4" w15:done="0"/>
  <w15:commentEx w15:paraId="3E029762" w15:done="0"/>
  <w15:commentEx w15:paraId="75F90D63" w15:done="0"/>
  <w15:commentEx w15:paraId="71F7F5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4676" w14:textId="77777777" w:rsidR="0019077C" w:rsidRDefault="0019077C" w:rsidP="00645298">
      <w:pPr>
        <w:spacing w:after="0" w:line="240" w:lineRule="auto"/>
      </w:pPr>
      <w:r>
        <w:separator/>
      </w:r>
    </w:p>
  </w:endnote>
  <w:endnote w:type="continuationSeparator" w:id="0">
    <w:p w14:paraId="5ECED0EB" w14:textId="77777777" w:rsidR="0019077C" w:rsidRDefault="0019077C" w:rsidP="00645298">
      <w:pPr>
        <w:spacing w:after="0" w:line="240" w:lineRule="auto"/>
      </w:pPr>
      <w:r>
        <w:continuationSeparator/>
      </w:r>
    </w:p>
  </w:endnote>
  <w:endnote w:type="continuationNotice" w:id="1">
    <w:p w14:paraId="72AB509E" w14:textId="77777777" w:rsidR="0019077C" w:rsidRDefault="00190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1C07" w14:textId="466C9A03" w:rsidR="00B55FC4" w:rsidRPr="003522AB" w:rsidRDefault="00B55FC4" w:rsidP="00DE0050">
    <w:pPr>
      <w:pStyle w:val="Footer"/>
      <w:pBdr>
        <w:top w:val="thinThickSmallGap" w:sz="18" w:space="1" w:color="D31B23"/>
      </w:pBdr>
      <w:rPr>
        <w:rFonts w:eastAsiaTheme="majorEastAsia" w:cstheme="minorHAnsi"/>
      </w:rPr>
    </w:pPr>
    <w:r w:rsidRPr="003522AB">
      <w:rPr>
        <w:rFonts w:eastAsiaTheme="majorEastAsia" w:cstheme="minorHAnsi"/>
      </w:rPr>
      <w:t>Version 1</w:t>
    </w:r>
    <w:r w:rsidRPr="003522AB">
      <w:rPr>
        <w:rFonts w:eastAsiaTheme="majorEastAsia" w:cstheme="minorHAnsi"/>
      </w:rPr>
      <w:ptab w:relativeTo="margin" w:alignment="right" w:leader="none"/>
    </w:r>
    <w:r w:rsidRPr="003522AB">
      <w:rPr>
        <w:rFonts w:eastAsiaTheme="majorEastAsia" w:cstheme="minorHAnsi"/>
      </w:rPr>
      <w:t xml:space="preserve">Page </w:t>
    </w:r>
    <w:r w:rsidRPr="003522AB">
      <w:rPr>
        <w:rFonts w:eastAsiaTheme="minorEastAsia" w:cstheme="minorHAnsi"/>
      </w:rPr>
      <w:fldChar w:fldCharType="begin"/>
    </w:r>
    <w:r w:rsidRPr="003522AB">
      <w:rPr>
        <w:rFonts w:cstheme="minorHAnsi"/>
      </w:rPr>
      <w:instrText xml:space="preserve"> PAGE   \* MERGEFORMAT </w:instrText>
    </w:r>
    <w:r w:rsidRPr="003522AB">
      <w:rPr>
        <w:rFonts w:eastAsiaTheme="minorEastAsia" w:cstheme="minorHAnsi"/>
      </w:rPr>
      <w:fldChar w:fldCharType="separate"/>
    </w:r>
    <w:r w:rsidR="004847A5" w:rsidRPr="004847A5">
      <w:rPr>
        <w:rFonts w:eastAsiaTheme="majorEastAsia" w:cstheme="minorHAnsi"/>
        <w:noProof/>
      </w:rPr>
      <w:t>2</w:t>
    </w:r>
    <w:r w:rsidRPr="003522AB">
      <w:rPr>
        <w:rFonts w:eastAsiaTheme="majorEastAsia" w:cstheme="minorHAnsi"/>
        <w:noProof/>
      </w:rPr>
      <w:fldChar w:fldCharType="end"/>
    </w:r>
  </w:p>
  <w:p w14:paraId="73713762" w14:textId="5361B647" w:rsidR="00B55FC4" w:rsidRPr="00CF653C" w:rsidRDefault="00B55FC4">
    <w:pPr>
      <w:pStyle w:val="Foo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EFE75" w14:textId="77777777" w:rsidR="0019077C" w:rsidRDefault="0019077C" w:rsidP="00645298">
      <w:pPr>
        <w:spacing w:after="0" w:line="240" w:lineRule="auto"/>
      </w:pPr>
      <w:r>
        <w:separator/>
      </w:r>
    </w:p>
  </w:footnote>
  <w:footnote w:type="continuationSeparator" w:id="0">
    <w:p w14:paraId="7D23B3A7" w14:textId="77777777" w:rsidR="0019077C" w:rsidRDefault="0019077C" w:rsidP="00645298">
      <w:pPr>
        <w:spacing w:after="0" w:line="240" w:lineRule="auto"/>
      </w:pPr>
      <w:r>
        <w:continuationSeparator/>
      </w:r>
    </w:p>
  </w:footnote>
  <w:footnote w:type="continuationNotice" w:id="1">
    <w:p w14:paraId="447E87DD" w14:textId="77777777" w:rsidR="0019077C" w:rsidRDefault="001907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E130" w14:textId="1E4A5144" w:rsidR="00B55FC4" w:rsidRDefault="00B55FC4">
    <w:pPr>
      <w:pStyle w:val="Header"/>
    </w:pPr>
    <w:r>
      <w:rPr>
        <w:noProof/>
        <w:lang w:val="en-CA" w:eastAsia="en-CA"/>
      </w:rPr>
      <w:drawing>
        <wp:inline distT="0" distB="0" distL="0" distR="0" wp14:anchorId="5BCD276F" wp14:editId="686EABA8">
          <wp:extent cx="6847833" cy="1187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189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decimal"/>
      <w:lvlText w:val="%1."/>
      <w:lvlJc w:val="left"/>
      <w:pPr>
        <w:ind w:left="128" w:hanging="347"/>
      </w:pPr>
      <w:rPr>
        <w:rFonts w:ascii="Arial" w:hAnsi="Arial" w:cs="Arial"/>
        <w:b w:val="0"/>
        <w:bCs w:val="0"/>
        <w:i/>
        <w:iCs/>
        <w:color w:val="020202"/>
        <w:spacing w:val="-1"/>
        <w:w w:val="83"/>
        <w:sz w:val="19"/>
        <w:szCs w:val="19"/>
      </w:rPr>
    </w:lvl>
    <w:lvl w:ilvl="1">
      <w:numFmt w:val="bullet"/>
      <w:lvlText w:val="•"/>
      <w:lvlJc w:val="left"/>
      <w:pPr>
        <w:ind w:left="1092" w:hanging="347"/>
      </w:pPr>
    </w:lvl>
    <w:lvl w:ilvl="2">
      <w:numFmt w:val="bullet"/>
      <w:lvlText w:val="•"/>
      <w:lvlJc w:val="left"/>
      <w:pPr>
        <w:ind w:left="2064" w:hanging="347"/>
      </w:pPr>
    </w:lvl>
    <w:lvl w:ilvl="3">
      <w:numFmt w:val="bullet"/>
      <w:lvlText w:val="•"/>
      <w:lvlJc w:val="left"/>
      <w:pPr>
        <w:ind w:left="3036" w:hanging="347"/>
      </w:pPr>
    </w:lvl>
    <w:lvl w:ilvl="4">
      <w:numFmt w:val="bullet"/>
      <w:lvlText w:val="•"/>
      <w:lvlJc w:val="left"/>
      <w:pPr>
        <w:ind w:left="4008" w:hanging="347"/>
      </w:pPr>
    </w:lvl>
    <w:lvl w:ilvl="5">
      <w:numFmt w:val="bullet"/>
      <w:lvlText w:val="•"/>
      <w:lvlJc w:val="left"/>
      <w:pPr>
        <w:ind w:left="4980" w:hanging="347"/>
      </w:pPr>
    </w:lvl>
    <w:lvl w:ilvl="6">
      <w:numFmt w:val="bullet"/>
      <w:lvlText w:val="•"/>
      <w:lvlJc w:val="left"/>
      <w:pPr>
        <w:ind w:left="5952" w:hanging="347"/>
      </w:pPr>
    </w:lvl>
    <w:lvl w:ilvl="7">
      <w:numFmt w:val="bullet"/>
      <w:lvlText w:val="•"/>
      <w:lvlJc w:val="left"/>
      <w:pPr>
        <w:ind w:left="6924" w:hanging="347"/>
      </w:pPr>
    </w:lvl>
    <w:lvl w:ilvl="8">
      <w:numFmt w:val="bullet"/>
      <w:lvlText w:val="•"/>
      <w:lvlJc w:val="left"/>
      <w:pPr>
        <w:ind w:left="7896" w:hanging="347"/>
      </w:pPr>
    </w:lvl>
  </w:abstractNum>
  <w:abstractNum w:abstractNumId="1">
    <w:nsid w:val="00334460"/>
    <w:multiLevelType w:val="hybridMultilevel"/>
    <w:tmpl w:val="AC40C316"/>
    <w:lvl w:ilvl="0" w:tplc="D424E85A">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0404E4B"/>
    <w:multiLevelType w:val="hybridMultilevel"/>
    <w:tmpl w:val="B56A3A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14E38E0"/>
    <w:multiLevelType w:val="hybridMultilevel"/>
    <w:tmpl w:val="4C2A4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A73E0"/>
    <w:multiLevelType w:val="hybridMultilevel"/>
    <w:tmpl w:val="4BBE3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83C15"/>
    <w:multiLevelType w:val="hybridMultilevel"/>
    <w:tmpl w:val="47E2F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7086C"/>
    <w:multiLevelType w:val="hybridMultilevel"/>
    <w:tmpl w:val="6E960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05E13"/>
    <w:multiLevelType w:val="hybridMultilevel"/>
    <w:tmpl w:val="8D128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84911"/>
    <w:multiLevelType w:val="hybridMultilevel"/>
    <w:tmpl w:val="26364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51755"/>
    <w:multiLevelType w:val="hybridMultilevel"/>
    <w:tmpl w:val="94D2D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C9252D"/>
    <w:multiLevelType w:val="hybridMultilevel"/>
    <w:tmpl w:val="574C58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35F61"/>
    <w:multiLevelType w:val="hybridMultilevel"/>
    <w:tmpl w:val="BB706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37E01"/>
    <w:multiLevelType w:val="hybridMultilevel"/>
    <w:tmpl w:val="78560CA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5184218"/>
    <w:multiLevelType w:val="hybridMultilevel"/>
    <w:tmpl w:val="A4FCD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C762D3"/>
    <w:multiLevelType w:val="hybridMultilevel"/>
    <w:tmpl w:val="03A2B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E3C09"/>
    <w:multiLevelType w:val="hybridMultilevel"/>
    <w:tmpl w:val="BF327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27ED3"/>
    <w:multiLevelType w:val="hybridMultilevel"/>
    <w:tmpl w:val="108AD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9247561"/>
    <w:multiLevelType w:val="hybridMultilevel"/>
    <w:tmpl w:val="D7A09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757656"/>
    <w:multiLevelType w:val="hybridMultilevel"/>
    <w:tmpl w:val="2C4E38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6B5565"/>
    <w:multiLevelType w:val="hybridMultilevel"/>
    <w:tmpl w:val="81D8BB4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4711B27"/>
    <w:multiLevelType w:val="multilevel"/>
    <w:tmpl w:val="E0C46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4F304A4"/>
    <w:multiLevelType w:val="hybridMultilevel"/>
    <w:tmpl w:val="7076C38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4C5C4A"/>
    <w:multiLevelType w:val="hybridMultilevel"/>
    <w:tmpl w:val="82A80C6C"/>
    <w:lvl w:ilvl="0" w:tplc="E348BEF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7744EF"/>
    <w:multiLevelType w:val="hybridMultilevel"/>
    <w:tmpl w:val="7EDA0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E26412"/>
    <w:multiLevelType w:val="hybridMultilevel"/>
    <w:tmpl w:val="94286560"/>
    <w:lvl w:ilvl="0" w:tplc="AD7CFA1A">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A26915"/>
    <w:multiLevelType w:val="hybridMultilevel"/>
    <w:tmpl w:val="2092C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67237"/>
    <w:multiLevelType w:val="hybridMultilevel"/>
    <w:tmpl w:val="E8967D7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0170323"/>
    <w:multiLevelType w:val="hybridMultilevel"/>
    <w:tmpl w:val="D73A4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23250"/>
    <w:multiLevelType w:val="hybridMultilevel"/>
    <w:tmpl w:val="C122C04E"/>
    <w:lvl w:ilvl="0" w:tplc="04090005">
      <w:start w:val="1"/>
      <w:numFmt w:val="bullet"/>
      <w:lvlText w:val=""/>
      <w:lvlJc w:val="left"/>
      <w:pPr>
        <w:ind w:left="900" w:hanging="360"/>
      </w:pPr>
      <w:rPr>
        <w:rFonts w:ascii="Wingdings" w:hAnsi="Wingdings"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462D72C3"/>
    <w:multiLevelType w:val="hybridMultilevel"/>
    <w:tmpl w:val="DA2A0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E27E70"/>
    <w:multiLevelType w:val="hybridMultilevel"/>
    <w:tmpl w:val="E4FC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B75F4"/>
    <w:multiLevelType w:val="hybridMultilevel"/>
    <w:tmpl w:val="CF965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5E140E"/>
    <w:multiLevelType w:val="hybridMultilevel"/>
    <w:tmpl w:val="6C100966"/>
    <w:lvl w:ilvl="0" w:tplc="0BDC4D4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5610F"/>
    <w:multiLevelType w:val="hybridMultilevel"/>
    <w:tmpl w:val="8EFCC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440A59"/>
    <w:multiLevelType w:val="hybridMultilevel"/>
    <w:tmpl w:val="C3562E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23629A"/>
    <w:multiLevelType w:val="hybridMultilevel"/>
    <w:tmpl w:val="38B867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24271C1"/>
    <w:multiLevelType w:val="hybridMultilevel"/>
    <w:tmpl w:val="4242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07679F"/>
    <w:multiLevelType w:val="hybridMultilevel"/>
    <w:tmpl w:val="FE825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85629DF"/>
    <w:multiLevelType w:val="hybridMultilevel"/>
    <w:tmpl w:val="68EC97EC"/>
    <w:lvl w:ilvl="0" w:tplc="D424E85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7800A6"/>
    <w:multiLevelType w:val="hybridMultilevel"/>
    <w:tmpl w:val="2A48542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66EF3A57"/>
    <w:multiLevelType w:val="hybridMultilevel"/>
    <w:tmpl w:val="D2D6DC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6568CF"/>
    <w:multiLevelType w:val="hybridMultilevel"/>
    <w:tmpl w:val="303616C0"/>
    <w:lvl w:ilvl="0" w:tplc="A1B29ECE">
      <w:start w:val="1"/>
      <w:numFmt w:val="bullet"/>
      <w:lvlText w:val=""/>
      <w:lvlJc w:val="left"/>
      <w:pPr>
        <w:ind w:left="1080" w:hanging="360"/>
      </w:pPr>
      <w:rPr>
        <w:rFonts w:ascii="Wingdings" w:hAnsi="Wingdings"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67A1550F"/>
    <w:multiLevelType w:val="hybridMultilevel"/>
    <w:tmpl w:val="C068DEF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67B5457F"/>
    <w:multiLevelType w:val="hybridMultilevel"/>
    <w:tmpl w:val="CF10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105B62"/>
    <w:multiLevelType w:val="hybridMultilevel"/>
    <w:tmpl w:val="22A6A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F7E0D"/>
    <w:multiLevelType w:val="hybridMultilevel"/>
    <w:tmpl w:val="5BD6A5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F0A13A3"/>
    <w:multiLevelType w:val="hybridMultilevel"/>
    <w:tmpl w:val="478EA056"/>
    <w:lvl w:ilvl="0" w:tplc="10090001">
      <w:start w:val="1"/>
      <w:numFmt w:val="bullet"/>
      <w:lvlText w:val=""/>
      <w:lvlJc w:val="left"/>
      <w:pPr>
        <w:ind w:left="360" w:hanging="360"/>
      </w:pPr>
      <w:rPr>
        <w:rFonts w:ascii="Symbol" w:hAnsi="Symbol" w:hint="default"/>
      </w:rPr>
    </w:lvl>
    <w:lvl w:ilvl="1" w:tplc="10090009">
      <w:start w:val="1"/>
      <w:numFmt w:val="bullet"/>
      <w:lvlText w:val=""/>
      <w:lvlJc w:val="left"/>
      <w:pPr>
        <w:ind w:left="1080" w:hanging="360"/>
      </w:pPr>
      <w:rPr>
        <w:rFonts w:ascii="Wingdings" w:hAnsi="Wingdings" w:hint="default"/>
      </w:rPr>
    </w:lvl>
    <w:lvl w:ilvl="2" w:tplc="10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FD50DE2"/>
    <w:multiLevelType w:val="hybridMultilevel"/>
    <w:tmpl w:val="B4E08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F0273E"/>
    <w:multiLevelType w:val="hybridMultilevel"/>
    <w:tmpl w:val="F0DE13F8"/>
    <w:lvl w:ilvl="0" w:tplc="10090001">
      <w:start w:val="1"/>
      <w:numFmt w:val="bullet"/>
      <w:lvlText w:val=""/>
      <w:lvlJc w:val="left"/>
      <w:pPr>
        <w:ind w:left="360" w:hanging="360"/>
      </w:pPr>
      <w:rPr>
        <w:rFonts w:ascii="Symbol" w:hAnsi="Symbol" w:hint="default"/>
      </w:rPr>
    </w:lvl>
    <w:lvl w:ilvl="1" w:tplc="10090009">
      <w:start w:val="1"/>
      <w:numFmt w:val="bullet"/>
      <w:lvlText w:val=""/>
      <w:lvlJc w:val="left"/>
      <w:pPr>
        <w:ind w:left="1080" w:hanging="360"/>
      </w:pPr>
      <w:rPr>
        <w:rFonts w:ascii="Wingdings" w:hAnsi="Wingdings" w:hint="default"/>
      </w:rPr>
    </w:lvl>
    <w:lvl w:ilvl="2" w:tplc="10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0C502F8"/>
    <w:multiLevelType w:val="hybridMultilevel"/>
    <w:tmpl w:val="E1AC2558"/>
    <w:lvl w:ilvl="0" w:tplc="E348BEF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3887823"/>
    <w:multiLevelType w:val="hybridMultilevel"/>
    <w:tmpl w:val="39361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3E0A3B"/>
    <w:multiLevelType w:val="hybridMultilevel"/>
    <w:tmpl w:val="3BE05658"/>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7F6842"/>
    <w:multiLevelType w:val="hybridMultilevel"/>
    <w:tmpl w:val="CEFE6F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76223F6A"/>
    <w:multiLevelType w:val="hybridMultilevel"/>
    <w:tmpl w:val="18D03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C04BFA"/>
    <w:multiLevelType w:val="hybridMultilevel"/>
    <w:tmpl w:val="FFC84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452A7A"/>
    <w:multiLevelType w:val="hybridMultilevel"/>
    <w:tmpl w:val="750C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8363B4"/>
    <w:multiLevelType w:val="hybridMultilevel"/>
    <w:tmpl w:val="73B44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4"/>
  </w:num>
  <w:num w:numId="4">
    <w:abstractNumId w:val="43"/>
  </w:num>
  <w:num w:numId="5">
    <w:abstractNumId w:val="36"/>
  </w:num>
  <w:num w:numId="6">
    <w:abstractNumId w:val="46"/>
  </w:num>
  <w:num w:numId="7">
    <w:abstractNumId w:val="48"/>
  </w:num>
  <w:num w:numId="8">
    <w:abstractNumId w:val="2"/>
  </w:num>
  <w:num w:numId="9">
    <w:abstractNumId w:val="37"/>
  </w:num>
  <w:num w:numId="10">
    <w:abstractNumId w:val="9"/>
  </w:num>
  <w:num w:numId="11">
    <w:abstractNumId w:val="13"/>
  </w:num>
  <w:num w:numId="12">
    <w:abstractNumId w:val="16"/>
  </w:num>
  <w:num w:numId="13">
    <w:abstractNumId w:val="17"/>
  </w:num>
  <w:num w:numId="14">
    <w:abstractNumId w:val="45"/>
  </w:num>
  <w:num w:numId="15">
    <w:abstractNumId w:val="35"/>
  </w:num>
  <w:num w:numId="16">
    <w:abstractNumId w:val="10"/>
  </w:num>
  <w:num w:numId="17">
    <w:abstractNumId w:val="52"/>
  </w:num>
  <w:num w:numId="18">
    <w:abstractNumId w:val="19"/>
  </w:num>
  <w:num w:numId="19">
    <w:abstractNumId w:val="12"/>
  </w:num>
  <w:num w:numId="20">
    <w:abstractNumId w:val="28"/>
  </w:num>
  <w:num w:numId="21">
    <w:abstractNumId w:val="3"/>
  </w:num>
  <w:num w:numId="22">
    <w:abstractNumId w:val="31"/>
  </w:num>
  <w:num w:numId="23">
    <w:abstractNumId w:val="23"/>
  </w:num>
  <w:num w:numId="24">
    <w:abstractNumId w:val="47"/>
  </w:num>
  <w:num w:numId="25">
    <w:abstractNumId w:val="44"/>
  </w:num>
  <w:num w:numId="26">
    <w:abstractNumId w:val="15"/>
  </w:num>
  <w:num w:numId="27">
    <w:abstractNumId w:val="50"/>
  </w:num>
  <w:num w:numId="28">
    <w:abstractNumId w:val="49"/>
  </w:num>
  <w:num w:numId="29">
    <w:abstractNumId w:val="53"/>
  </w:num>
  <w:num w:numId="30">
    <w:abstractNumId w:val="24"/>
  </w:num>
  <w:num w:numId="31">
    <w:abstractNumId w:val="40"/>
  </w:num>
  <w:num w:numId="32">
    <w:abstractNumId w:val="18"/>
  </w:num>
  <w:num w:numId="33">
    <w:abstractNumId w:val="32"/>
  </w:num>
  <w:num w:numId="34">
    <w:abstractNumId w:val="56"/>
  </w:num>
  <w:num w:numId="35">
    <w:abstractNumId w:val="7"/>
  </w:num>
  <w:num w:numId="36">
    <w:abstractNumId w:val="38"/>
  </w:num>
  <w:num w:numId="37">
    <w:abstractNumId w:val="1"/>
  </w:num>
  <w:num w:numId="38">
    <w:abstractNumId w:val="55"/>
  </w:num>
  <w:num w:numId="39">
    <w:abstractNumId w:val="14"/>
  </w:num>
  <w:num w:numId="40">
    <w:abstractNumId w:val="6"/>
  </w:num>
  <w:num w:numId="41">
    <w:abstractNumId w:val="5"/>
  </w:num>
  <w:num w:numId="42">
    <w:abstractNumId w:val="11"/>
  </w:num>
  <w:num w:numId="43">
    <w:abstractNumId w:val="33"/>
  </w:num>
  <w:num w:numId="44">
    <w:abstractNumId w:val="51"/>
  </w:num>
  <w:num w:numId="45">
    <w:abstractNumId w:val="27"/>
  </w:num>
  <w:num w:numId="46">
    <w:abstractNumId w:val="34"/>
  </w:num>
  <w:num w:numId="47">
    <w:abstractNumId w:val="4"/>
  </w:num>
  <w:num w:numId="48">
    <w:abstractNumId w:val="30"/>
  </w:num>
  <w:num w:numId="49">
    <w:abstractNumId w:val="25"/>
  </w:num>
  <w:num w:numId="50">
    <w:abstractNumId w:val="29"/>
  </w:num>
  <w:num w:numId="51">
    <w:abstractNumId w:val="27"/>
  </w:num>
  <w:num w:numId="52">
    <w:abstractNumId w:val="20"/>
  </w:num>
  <w:num w:numId="53">
    <w:abstractNumId w:val="22"/>
  </w:num>
  <w:num w:numId="54">
    <w:abstractNumId w:val="21"/>
  </w:num>
  <w:num w:numId="55">
    <w:abstractNumId w:val="42"/>
  </w:num>
  <w:num w:numId="56">
    <w:abstractNumId w:val="26"/>
  </w:num>
  <w:num w:numId="57">
    <w:abstractNumId w:val="39"/>
  </w:num>
  <w:num w:numId="58">
    <w:abstractNumId w:val="4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t, Alison">
    <w15:presenceInfo w15:providerId="AD" w15:userId="S-1-5-21-215550797-1687371333-483988704-40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DCF526-89E3-40E3-8A47-FF7C3F6211D7}"/>
    <w:docVar w:name="dgnword-eventsink" w:val="88201400"/>
  </w:docVars>
  <w:rsids>
    <w:rsidRoot w:val="004902DC"/>
    <w:rsid w:val="00000B23"/>
    <w:rsid w:val="00003AB1"/>
    <w:rsid w:val="000124FE"/>
    <w:rsid w:val="00013088"/>
    <w:rsid w:val="00013BEB"/>
    <w:rsid w:val="00013C25"/>
    <w:rsid w:val="00016ED8"/>
    <w:rsid w:val="00022021"/>
    <w:rsid w:val="00024180"/>
    <w:rsid w:val="00024564"/>
    <w:rsid w:val="00025AFD"/>
    <w:rsid w:val="00026358"/>
    <w:rsid w:val="0002780C"/>
    <w:rsid w:val="000304CD"/>
    <w:rsid w:val="00032607"/>
    <w:rsid w:val="0003622B"/>
    <w:rsid w:val="00036452"/>
    <w:rsid w:val="00036E80"/>
    <w:rsid w:val="00041CA2"/>
    <w:rsid w:val="00043907"/>
    <w:rsid w:val="0004567E"/>
    <w:rsid w:val="000477ED"/>
    <w:rsid w:val="00050BF9"/>
    <w:rsid w:val="0005146B"/>
    <w:rsid w:val="00051DC4"/>
    <w:rsid w:val="00051EFD"/>
    <w:rsid w:val="00053004"/>
    <w:rsid w:val="00054AC7"/>
    <w:rsid w:val="00056673"/>
    <w:rsid w:val="00056DAA"/>
    <w:rsid w:val="000600C5"/>
    <w:rsid w:val="00061308"/>
    <w:rsid w:val="0006141C"/>
    <w:rsid w:val="00063BCF"/>
    <w:rsid w:val="00064BD8"/>
    <w:rsid w:val="0006587B"/>
    <w:rsid w:val="00066376"/>
    <w:rsid w:val="00066826"/>
    <w:rsid w:val="0007294E"/>
    <w:rsid w:val="00073785"/>
    <w:rsid w:val="000754C0"/>
    <w:rsid w:val="00080448"/>
    <w:rsid w:val="000813CA"/>
    <w:rsid w:val="00084D2E"/>
    <w:rsid w:val="0008617D"/>
    <w:rsid w:val="00086BC5"/>
    <w:rsid w:val="00086CDD"/>
    <w:rsid w:val="00087A28"/>
    <w:rsid w:val="00092A9B"/>
    <w:rsid w:val="00093D6C"/>
    <w:rsid w:val="0009437F"/>
    <w:rsid w:val="0009526D"/>
    <w:rsid w:val="00097317"/>
    <w:rsid w:val="000A0258"/>
    <w:rsid w:val="000A499E"/>
    <w:rsid w:val="000A74B6"/>
    <w:rsid w:val="000B157F"/>
    <w:rsid w:val="000B4ECD"/>
    <w:rsid w:val="000B64D0"/>
    <w:rsid w:val="000B692C"/>
    <w:rsid w:val="000B6E63"/>
    <w:rsid w:val="000B7402"/>
    <w:rsid w:val="000B7E2D"/>
    <w:rsid w:val="000C05D0"/>
    <w:rsid w:val="000C09D7"/>
    <w:rsid w:val="000C5D14"/>
    <w:rsid w:val="000D123D"/>
    <w:rsid w:val="000D1BD8"/>
    <w:rsid w:val="000D2F50"/>
    <w:rsid w:val="000D548F"/>
    <w:rsid w:val="000D7F85"/>
    <w:rsid w:val="000E17DE"/>
    <w:rsid w:val="000E3782"/>
    <w:rsid w:val="000F15A3"/>
    <w:rsid w:val="000F1C59"/>
    <w:rsid w:val="000F5AD9"/>
    <w:rsid w:val="000F6388"/>
    <w:rsid w:val="0010141A"/>
    <w:rsid w:val="001015B5"/>
    <w:rsid w:val="00101E72"/>
    <w:rsid w:val="00102A8F"/>
    <w:rsid w:val="001048CB"/>
    <w:rsid w:val="00105216"/>
    <w:rsid w:val="001067B8"/>
    <w:rsid w:val="00107855"/>
    <w:rsid w:val="001102A0"/>
    <w:rsid w:val="0011287F"/>
    <w:rsid w:val="00113FA0"/>
    <w:rsid w:val="0011710B"/>
    <w:rsid w:val="00117F12"/>
    <w:rsid w:val="00120F07"/>
    <w:rsid w:val="00123321"/>
    <w:rsid w:val="00124E22"/>
    <w:rsid w:val="0012546E"/>
    <w:rsid w:val="00126147"/>
    <w:rsid w:val="0012694D"/>
    <w:rsid w:val="00126B41"/>
    <w:rsid w:val="00127766"/>
    <w:rsid w:val="001304B8"/>
    <w:rsid w:val="0013151F"/>
    <w:rsid w:val="00133837"/>
    <w:rsid w:val="00134233"/>
    <w:rsid w:val="001353DB"/>
    <w:rsid w:val="00136E09"/>
    <w:rsid w:val="0013770A"/>
    <w:rsid w:val="00137957"/>
    <w:rsid w:val="00141D76"/>
    <w:rsid w:val="00143517"/>
    <w:rsid w:val="00144A39"/>
    <w:rsid w:val="00150986"/>
    <w:rsid w:val="00152D0C"/>
    <w:rsid w:val="0015382D"/>
    <w:rsid w:val="00153F8D"/>
    <w:rsid w:val="00157AB5"/>
    <w:rsid w:val="001600A0"/>
    <w:rsid w:val="001616F5"/>
    <w:rsid w:val="00161E95"/>
    <w:rsid w:val="00163353"/>
    <w:rsid w:val="0016398A"/>
    <w:rsid w:val="0016576D"/>
    <w:rsid w:val="001675EA"/>
    <w:rsid w:val="001702C6"/>
    <w:rsid w:val="00174681"/>
    <w:rsid w:val="00174985"/>
    <w:rsid w:val="00182A02"/>
    <w:rsid w:val="0018369F"/>
    <w:rsid w:val="00184EDF"/>
    <w:rsid w:val="0018637E"/>
    <w:rsid w:val="001904D0"/>
    <w:rsid w:val="0019077C"/>
    <w:rsid w:val="0019340F"/>
    <w:rsid w:val="00195808"/>
    <w:rsid w:val="00195C75"/>
    <w:rsid w:val="001A1128"/>
    <w:rsid w:val="001A1CB4"/>
    <w:rsid w:val="001A2E9C"/>
    <w:rsid w:val="001A320D"/>
    <w:rsid w:val="001A3F61"/>
    <w:rsid w:val="001A467D"/>
    <w:rsid w:val="001A6233"/>
    <w:rsid w:val="001A6EBD"/>
    <w:rsid w:val="001B011C"/>
    <w:rsid w:val="001B33BC"/>
    <w:rsid w:val="001B3A3F"/>
    <w:rsid w:val="001B45E0"/>
    <w:rsid w:val="001B49B0"/>
    <w:rsid w:val="001B6F8E"/>
    <w:rsid w:val="001B7FC1"/>
    <w:rsid w:val="001C2E7C"/>
    <w:rsid w:val="001C47F2"/>
    <w:rsid w:val="001C6082"/>
    <w:rsid w:val="001C68B8"/>
    <w:rsid w:val="001D01BD"/>
    <w:rsid w:val="001D2911"/>
    <w:rsid w:val="001D44E7"/>
    <w:rsid w:val="001D61B4"/>
    <w:rsid w:val="001D62E7"/>
    <w:rsid w:val="001D7C66"/>
    <w:rsid w:val="001E26EE"/>
    <w:rsid w:val="001E2D22"/>
    <w:rsid w:val="001E3A33"/>
    <w:rsid w:val="001E4730"/>
    <w:rsid w:val="001E5187"/>
    <w:rsid w:val="001E622C"/>
    <w:rsid w:val="001E749C"/>
    <w:rsid w:val="001F1E5A"/>
    <w:rsid w:val="001F2155"/>
    <w:rsid w:val="001F29EF"/>
    <w:rsid w:val="001F3992"/>
    <w:rsid w:val="001F405E"/>
    <w:rsid w:val="001F42CA"/>
    <w:rsid w:val="001F4459"/>
    <w:rsid w:val="001F519C"/>
    <w:rsid w:val="001F539D"/>
    <w:rsid w:val="001F591D"/>
    <w:rsid w:val="001F731A"/>
    <w:rsid w:val="002012A8"/>
    <w:rsid w:val="00201807"/>
    <w:rsid w:val="002028A3"/>
    <w:rsid w:val="00204BE7"/>
    <w:rsid w:val="00206CB4"/>
    <w:rsid w:val="00207775"/>
    <w:rsid w:val="002107F9"/>
    <w:rsid w:val="00210A2E"/>
    <w:rsid w:val="002120F3"/>
    <w:rsid w:val="002125FF"/>
    <w:rsid w:val="00213D32"/>
    <w:rsid w:val="00214D97"/>
    <w:rsid w:val="00215A03"/>
    <w:rsid w:val="00215BAA"/>
    <w:rsid w:val="0021715D"/>
    <w:rsid w:val="00217741"/>
    <w:rsid w:val="0022022B"/>
    <w:rsid w:val="00223920"/>
    <w:rsid w:val="00224B8D"/>
    <w:rsid w:val="00225E92"/>
    <w:rsid w:val="00230BEC"/>
    <w:rsid w:val="00231847"/>
    <w:rsid w:val="00231A22"/>
    <w:rsid w:val="002334EF"/>
    <w:rsid w:val="002342E4"/>
    <w:rsid w:val="0023713E"/>
    <w:rsid w:val="00237CC9"/>
    <w:rsid w:val="002407A5"/>
    <w:rsid w:val="00240AF3"/>
    <w:rsid w:val="00240FCD"/>
    <w:rsid w:val="00245590"/>
    <w:rsid w:val="0024599E"/>
    <w:rsid w:val="002478F6"/>
    <w:rsid w:val="002479EC"/>
    <w:rsid w:val="002509AE"/>
    <w:rsid w:val="00252138"/>
    <w:rsid w:val="00254579"/>
    <w:rsid w:val="00254A7E"/>
    <w:rsid w:val="00255A60"/>
    <w:rsid w:val="00256094"/>
    <w:rsid w:val="00257116"/>
    <w:rsid w:val="00263BA2"/>
    <w:rsid w:val="00264327"/>
    <w:rsid w:val="002655B6"/>
    <w:rsid w:val="002673D8"/>
    <w:rsid w:val="0027022A"/>
    <w:rsid w:val="0027035D"/>
    <w:rsid w:val="002713ED"/>
    <w:rsid w:val="00272A02"/>
    <w:rsid w:val="00274B22"/>
    <w:rsid w:val="00274E30"/>
    <w:rsid w:val="00277119"/>
    <w:rsid w:val="002776AD"/>
    <w:rsid w:val="00281AB4"/>
    <w:rsid w:val="002829D7"/>
    <w:rsid w:val="002832C9"/>
    <w:rsid w:val="0028733F"/>
    <w:rsid w:val="00291F5E"/>
    <w:rsid w:val="002928F9"/>
    <w:rsid w:val="002967A4"/>
    <w:rsid w:val="002A1354"/>
    <w:rsid w:val="002A28B3"/>
    <w:rsid w:val="002A38FC"/>
    <w:rsid w:val="002A48EC"/>
    <w:rsid w:val="002A4FEB"/>
    <w:rsid w:val="002A57DE"/>
    <w:rsid w:val="002A596C"/>
    <w:rsid w:val="002A67EA"/>
    <w:rsid w:val="002B0661"/>
    <w:rsid w:val="002B1125"/>
    <w:rsid w:val="002B303C"/>
    <w:rsid w:val="002B321D"/>
    <w:rsid w:val="002B3E48"/>
    <w:rsid w:val="002B53EC"/>
    <w:rsid w:val="002B59F8"/>
    <w:rsid w:val="002C09DC"/>
    <w:rsid w:val="002C1D8F"/>
    <w:rsid w:val="002C3B5C"/>
    <w:rsid w:val="002C67FC"/>
    <w:rsid w:val="002C7CC9"/>
    <w:rsid w:val="002D04EA"/>
    <w:rsid w:val="002D51BF"/>
    <w:rsid w:val="002D678C"/>
    <w:rsid w:val="002E1B1F"/>
    <w:rsid w:val="002E5C42"/>
    <w:rsid w:val="002E707A"/>
    <w:rsid w:val="002E70BE"/>
    <w:rsid w:val="002F0F40"/>
    <w:rsid w:val="002F14B7"/>
    <w:rsid w:val="002F42BF"/>
    <w:rsid w:val="002F63A3"/>
    <w:rsid w:val="002F64A0"/>
    <w:rsid w:val="002F7334"/>
    <w:rsid w:val="002F7B44"/>
    <w:rsid w:val="00300B02"/>
    <w:rsid w:val="00301960"/>
    <w:rsid w:val="0030256B"/>
    <w:rsid w:val="003025DA"/>
    <w:rsid w:val="00303647"/>
    <w:rsid w:val="0030431E"/>
    <w:rsid w:val="00310D35"/>
    <w:rsid w:val="00312E48"/>
    <w:rsid w:val="00315AE7"/>
    <w:rsid w:val="00315DD1"/>
    <w:rsid w:val="00321499"/>
    <w:rsid w:val="00321949"/>
    <w:rsid w:val="00321CD6"/>
    <w:rsid w:val="00322F18"/>
    <w:rsid w:val="00323651"/>
    <w:rsid w:val="00324F6F"/>
    <w:rsid w:val="00324FB2"/>
    <w:rsid w:val="00327BAB"/>
    <w:rsid w:val="0033274F"/>
    <w:rsid w:val="0033277A"/>
    <w:rsid w:val="00335AB2"/>
    <w:rsid w:val="003406C1"/>
    <w:rsid w:val="00341B97"/>
    <w:rsid w:val="0034219A"/>
    <w:rsid w:val="00343F1A"/>
    <w:rsid w:val="00346DC8"/>
    <w:rsid w:val="00351F8B"/>
    <w:rsid w:val="003522AB"/>
    <w:rsid w:val="0035289C"/>
    <w:rsid w:val="00353B71"/>
    <w:rsid w:val="00355456"/>
    <w:rsid w:val="003558B4"/>
    <w:rsid w:val="003559B5"/>
    <w:rsid w:val="003561F9"/>
    <w:rsid w:val="003565E1"/>
    <w:rsid w:val="00357690"/>
    <w:rsid w:val="00361A42"/>
    <w:rsid w:val="00363011"/>
    <w:rsid w:val="003659F5"/>
    <w:rsid w:val="00367A78"/>
    <w:rsid w:val="003708F7"/>
    <w:rsid w:val="00371EFF"/>
    <w:rsid w:val="003720CE"/>
    <w:rsid w:val="00372112"/>
    <w:rsid w:val="00372E16"/>
    <w:rsid w:val="00377003"/>
    <w:rsid w:val="00381697"/>
    <w:rsid w:val="00381B7A"/>
    <w:rsid w:val="00382BA4"/>
    <w:rsid w:val="0038583D"/>
    <w:rsid w:val="003918DB"/>
    <w:rsid w:val="00392518"/>
    <w:rsid w:val="0039497A"/>
    <w:rsid w:val="00397E08"/>
    <w:rsid w:val="003A2036"/>
    <w:rsid w:val="003A26EA"/>
    <w:rsid w:val="003A50A6"/>
    <w:rsid w:val="003B1059"/>
    <w:rsid w:val="003B218E"/>
    <w:rsid w:val="003B48D5"/>
    <w:rsid w:val="003B506A"/>
    <w:rsid w:val="003B7393"/>
    <w:rsid w:val="003B7A65"/>
    <w:rsid w:val="003C24FB"/>
    <w:rsid w:val="003C2A86"/>
    <w:rsid w:val="003C3158"/>
    <w:rsid w:val="003C61EB"/>
    <w:rsid w:val="003C6A0A"/>
    <w:rsid w:val="003C7F1C"/>
    <w:rsid w:val="003D1ED2"/>
    <w:rsid w:val="003D2926"/>
    <w:rsid w:val="003D2946"/>
    <w:rsid w:val="003D3518"/>
    <w:rsid w:val="003D401E"/>
    <w:rsid w:val="003D4E0F"/>
    <w:rsid w:val="003D51D8"/>
    <w:rsid w:val="003D5628"/>
    <w:rsid w:val="003D6D76"/>
    <w:rsid w:val="003D7946"/>
    <w:rsid w:val="003E102A"/>
    <w:rsid w:val="003E1A14"/>
    <w:rsid w:val="003E5693"/>
    <w:rsid w:val="003E6692"/>
    <w:rsid w:val="003F010F"/>
    <w:rsid w:val="003F0799"/>
    <w:rsid w:val="003F19FF"/>
    <w:rsid w:val="003F1A1B"/>
    <w:rsid w:val="003F3D07"/>
    <w:rsid w:val="003F48C6"/>
    <w:rsid w:val="003F5D06"/>
    <w:rsid w:val="003F685A"/>
    <w:rsid w:val="003F6F94"/>
    <w:rsid w:val="003F7C11"/>
    <w:rsid w:val="004004A6"/>
    <w:rsid w:val="004029CF"/>
    <w:rsid w:val="004035FA"/>
    <w:rsid w:val="004072BB"/>
    <w:rsid w:val="004105A8"/>
    <w:rsid w:val="004123D3"/>
    <w:rsid w:val="00412A0C"/>
    <w:rsid w:val="00415E4B"/>
    <w:rsid w:val="00421CEB"/>
    <w:rsid w:val="0042388B"/>
    <w:rsid w:val="00423917"/>
    <w:rsid w:val="00424043"/>
    <w:rsid w:val="00426C08"/>
    <w:rsid w:val="0043308B"/>
    <w:rsid w:val="00433C01"/>
    <w:rsid w:val="00435051"/>
    <w:rsid w:val="00446258"/>
    <w:rsid w:val="004463F4"/>
    <w:rsid w:val="0044708E"/>
    <w:rsid w:val="00452092"/>
    <w:rsid w:val="004526FF"/>
    <w:rsid w:val="004529EF"/>
    <w:rsid w:val="0045489E"/>
    <w:rsid w:val="00454945"/>
    <w:rsid w:val="00454FF3"/>
    <w:rsid w:val="004566E6"/>
    <w:rsid w:val="00456955"/>
    <w:rsid w:val="00457258"/>
    <w:rsid w:val="00457547"/>
    <w:rsid w:val="004635E1"/>
    <w:rsid w:val="00467341"/>
    <w:rsid w:val="004700AE"/>
    <w:rsid w:val="00470924"/>
    <w:rsid w:val="00470AF0"/>
    <w:rsid w:val="00474B90"/>
    <w:rsid w:val="004759E0"/>
    <w:rsid w:val="00476134"/>
    <w:rsid w:val="004762C1"/>
    <w:rsid w:val="00476BBA"/>
    <w:rsid w:val="00477A0F"/>
    <w:rsid w:val="00477F09"/>
    <w:rsid w:val="00480164"/>
    <w:rsid w:val="00481822"/>
    <w:rsid w:val="00482078"/>
    <w:rsid w:val="004847A5"/>
    <w:rsid w:val="004867F3"/>
    <w:rsid w:val="004902DC"/>
    <w:rsid w:val="00490446"/>
    <w:rsid w:val="004908D5"/>
    <w:rsid w:val="00496C69"/>
    <w:rsid w:val="004A2438"/>
    <w:rsid w:val="004A4A05"/>
    <w:rsid w:val="004A64E7"/>
    <w:rsid w:val="004A7911"/>
    <w:rsid w:val="004B0112"/>
    <w:rsid w:val="004B16B3"/>
    <w:rsid w:val="004B1AE1"/>
    <w:rsid w:val="004B2181"/>
    <w:rsid w:val="004B3745"/>
    <w:rsid w:val="004C08CE"/>
    <w:rsid w:val="004C128B"/>
    <w:rsid w:val="004C1C36"/>
    <w:rsid w:val="004C5D7B"/>
    <w:rsid w:val="004C5E49"/>
    <w:rsid w:val="004C7E0B"/>
    <w:rsid w:val="004D11B4"/>
    <w:rsid w:val="004D2263"/>
    <w:rsid w:val="004D3A0F"/>
    <w:rsid w:val="004D4D96"/>
    <w:rsid w:val="004D5DBF"/>
    <w:rsid w:val="004D6408"/>
    <w:rsid w:val="004E01B9"/>
    <w:rsid w:val="004E3676"/>
    <w:rsid w:val="004E3E51"/>
    <w:rsid w:val="004E46D4"/>
    <w:rsid w:val="004E665B"/>
    <w:rsid w:val="004E77E9"/>
    <w:rsid w:val="004F080A"/>
    <w:rsid w:val="004F0D4B"/>
    <w:rsid w:val="004F3675"/>
    <w:rsid w:val="004F55D6"/>
    <w:rsid w:val="004F61F0"/>
    <w:rsid w:val="004F6374"/>
    <w:rsid w:val="004F7B42"/>
    <w:rsid w:val="004F7CE4"/>
    <w:rsid w:val="00500232"/>
    <w:rsid w:val="0050090A"/>
    <w:rsid w:val="00500A8F"/>
    <w:rsid w:val="00500B64"/>
    <w:rsid w:val="005022C0"/>
    <w:rsid w:val="00502E68"/>
    <w:rsid w:val="00505BCF"/>
    <w:rsid w:val="005061F4"/>
    <w:rsid w:val="005107BD"/>
    <w:rsid w:val="005118CC"/>
    <w:rsid w:val="005128B3"/>
    <w:rsid w:val="00514471"/>
    <w:rsid w:val="00516731"/>
    <w:rsid w:val="00523ACD"/>
    <w:rsid w:val="00523EB9"/>
    <w:rsid w:val="00524020"/>
    <w:rsid w:val="0052483F"/>
    <w:rsid w:val="005248E8"/>
    <w:rsid w:val="00524D38"/>
    <w:rsid w:val="00526BDA"/>
    <w:rsid w:val="00527FB4"/>
    <w:rsid w:val="0053060A"/>
    <w:rsid w:val="00530A21"/>
    <w:rsid w:val="00531686"/>
    <w:rsid w:val="00532BA5"/>
    <w:rsid w:val="005353A2"/>
    <w:rsid w:val="00536090"/>
    <w:rsid w:val="00542753"/>
    <w:rsid w:val="005428E3"/>
    <w:rsid w:val="00542D33"/>
    <w:rsid w:val="00543332"/>
    <w:rsid w:val="005434FB"/>
    <w:rsid w:val="00543ACB"/>
    <w:rsid w:val="0054577D"/>
    <w:rsid w:val="00545A36"/>
    <w:rsid w:val="005468B5"/>
    <w:rsid w:val="00547298"/>
    <w:rsid w:val="00550429"/>
    <w:rsid w:val="00551392"/>
    <w:rsid w:val="005517ED"/>
    <w:rsid w:val="00551DC2"/>
    <w:rsid w:val="00553AB3"/>
    <w:rsid w:val="00554E3E"/>
    <w:rsid w:val="0056101F"/>
    <w:rsid w:val="00561EC3"/>
    <w:rsid w:val="005620E5"/>
    <w:rsid w:val="00562A78"/>
    <w:rsid w:val="005658CF"/>
    <w:rsid w:val="00566C1A"/>
    <w:rsid w:val="00567ACC"/>
    <w:rsid w:val="0057103B"/>
    <w:rsid w:val="00573058"/>
    <w:rsid w:val="00573F06"/>
    <w:rsid w:val="005755E1"/>
    <w:rsid w:val="00575E8B"/>
    <w:rsid w:val="00575E94"/>
    <w:rsid w:val="005764BC"/>
    <w:rsid w:val="00580FC4"/>
    <w:rsid w:val="00581FC5"/>
    <w:rsid w:val="00583503"/>
    <w:rsid w:val="0058714E"/>
    <w:rsid w:val="005904E5"/>
    <w:rsid w:val="0059316E"/>
    <w:rsid w:val="00593A2C"/>
    <w:rsid w:val="00595DA8"/>
    <w:rsid w:val="005A29E1"/>
    <w:rsid w:val="005A3086"/>
    <w:rsid w:val="005A6091"/>
    <w:rsid w:val="005A6E8D"/>
    <w:rsid w:val="005A7A20"/>
    <w:rsid w:val="005B056F"/>
    <w:rsid w:val="005B0C92"/>
    <w:rsid w:val="005B1922"/>
    <w:rsid w:val="005B238B"/>
    <w:rsid w:val="005B26DD"/>
    <w:rsid w:val="005B2F38"/>
    <w:rsid w:val="005B3D6A"/>
    <w:rsid w:val="005B3F4D"/>
    <w:rsid w:val="005B4067"/>
    <w:rsid w:val="005B4100"/>
    <w:rsid w:val="005B4C73"/>
    <w:rsid w:val="005B4EC9"/>
    <w:rsid w:val="005B5C06"/>
    <w:rsid w:val="005B7D16"/>
    <w:rsid w:val="005C2715"/>
    <w:rsid w:val="005C3415"/>
    <w:rsid w:val="005C551D"/>
    <w:rsid w:val="005C6078"/>
    <w:rsid w:val="005D01FE"/>
    <w:rsid w:val="005D0B08"/>
    <w:rsid w:val="005D2992"/>
    <w:rsid w:val="005D2AA8"/>
    <w:rsid w:val="005D2F95"/>
    <w:rsid w:val="005D49D3"/>
    <w:rsid w:val="005D4D14"/>
    <w:rsid w:val="005D526D"/>
    <w:rsid w:val="005D6A25"/>
    <w:rsid w:val="005E0419"/>
    <w:rsid w:val="005E0AD2"/>
    <w:rsid w:val="005E1575"/>
    <w:rsid w:val="005E39A3"/>
    <w:rsid w:val="005E3E1B"/>
    <w:rsid w:val="005E3EBC"/>
    <w:rsid w:val="005E6F4B"/>
    <w:rsid w:val="005F4F94"/>
    <w:rsid w:val="005F5330"/>
    <w:rsid w:val="005F58F4"/>
    <w:rsid w:val="005F5BFD"/>
    <w:rsid w:val="005F6D53"/>
    <w:rsid w:val="005F7F17"/>
    <w:rsid w:val="00600465"/>
    <w:rsid w:val="006012A4"/>
    <w:rsid w:val="00603510"/>
    <w:rsid w:val="00605EF2"/>
    <w:rsid w:val="00607E2A"/>
    <w:rsid w:val="00611BD7"/>
    <w:rsid w:val="00612E3D"/>
    <w:rsid w:val="006130A4"/>
    <w:rsid w:val="00613900"/>
    <w:rsid w:val="00613960"/>
    <w:rsid w:val="00613CA7"/>
    <w:rsid w:val="00614353"/>
    <w:rsid w:val="006154A0"/>
    <w:rsid w:val="00620811"/>
    <w:rsid w:val="006222B1"/>
    <w:rsid w:val="00622354"/>
    <w:rsid w:val="00622BA9"/>
    <w:rsid w:val="0062386C"/>
    <w:rsid w:val="00624CA7"/>
    <w:rsid w:val="00625ACE"/>
    <w:rsid w:val="00627019"/>
    <w:rsid w:val="006272C1"/>
    <w:rsid w:val="00627EAD"/>
    <w:rsid w:val="00632CD4"/>
    <w:rsid w:val="00633E4A"/>
    <w:rsid w:val="00635897"/>
    <w:rsid w:val="00636E95"/>
    <w:rsid w:val="00642A09"/>
    <w:rsid w:val="00643291"/>
    <w:rsid w:val="0064396A"/>
    <w:rsid w:val="00645298"/>
    <w:rsid w:val="00646D38"/>
    <w:rsid w:val="00650882"/>
    <w:rsid w:val="00652D80"/>
    <w:rsid w:val="0065495E"/>
    <w:rsid w:val="0065499A"/>
    <w:rsid w:val="00656DFE"/>
    <w:rsid w:val="00657D41"/>
    <w:rsid w:val="0066049A"/>
    <w:rsid w:val="00660915"/>
    <w:rsid w:val="00660CE5"/>
    <w:rsid w:val="00661DE7"/>
    <w:rsid w:val="00662629"/>
    <w:rsid w:val="00662B83"/>
    <w:rsid w:val="006637B6"/>
    <w:rsid w:val="006707EF"/>
    <w:rsid w:val="00671FE5"/>
    <w:rsid w:val="00675356"/>
    <w:rsid w:val="006777C3"/>
    <w:rsid w:val="00677B56"/>
    <w:rsid w:val="00680A19"/>
    <w:rsid w:val="00680AE4"/>
    <w:rsid w:val="006826CB"/>
    <w:rsid w:val="00683933"/>
    <w:rsid w:val="00684927"/>
    <w:rsid w:val="00692050"/>
    <w:rsid w:val="00692DB4"/>
    <w:rsid w:val="00693C25"/>
    <w:rsid w:val="00694F2B"/>
    <w:rsid w:val="006977C1"/>
    <w:rsid w:val="006A1295"/>
    <w:rsid w:val="006A1AC6"/>
    <w:rsid w:val="006A2C85"/>
    <w:rsid w:val="006A316D"/>
    <w:rsid w:val="006A349A"/>
    <w:rsid w:val="006A3BE5"/>
    <w:rsid w:val="006A57F9"/>
    <w:rsid w:val="006A5E21"/>
    <w:rsid w:val="006A6C5F"/>
    <w:rsid w:val="006B745E"/>
    <w:rsid w:val="006B7A1E"/>
    <w:rsid w:val="006C0A3F"/>
    <w:rsid w:val="006C1420"/>
    <w:rsid w:val="006C20D5"/>
    <w:rsid w:val="006C2557"/>
    <w:rsid w:val="006C3179"/>
    <w:rsid w:val="006C3DA5"/>
    <w:rsid w:val="006C4791"/>
    <w:rsid w:val="006C6F4D"/>
    <w:rsid w:val="006C7009"/>
    <w:rsid w:val="006C7BDE"/>
    <w:rsid w:val="006D0C6C"/>
    <w:rsid w:val="006D509D"/>
    <w:rsid w:val="006D61F1"/>
    <w:rsid w:val="006E086F"/>
    <w:rsid w:val="006E27CE"/>
    <w:rsid w:val="006E32C7"/>
    <w:rsid w:val="006E4109"/>
    <w:rsid w:val="006E637D"/>
    <w:rsid w:val="006E672C"/>
    <w:rsid w:val="006E714D"/>
    <w:rsid w:val="006F0AF9"/>
    <w:rsid w:val="006F1D04"/>
    <w:rsid w:val="006F3E37"/>
    <w:rsid w:val="006F522D"/>
    <w:rsid w:val="006F6B91"/>
    <w:rsid w:val="00700539"/>
    <w:rsid w:val="007007B2"/>
    <w:rsid w:val="0070756E"/>
    <w:rsid w:val="00710438"/>
    <w:rsid w:val="007129D8"/>
    <w:rsid w:val="00713347"/>
    <w:rsid w:val="00713F5F"/>
    <w:rsid w:val="0071495C"/>
    <w:rsid w:val="00714A85"/>
    <w:rsid w:val="00715913"/>
    <w:rsid w:val="00715B03"/>
    <w:rsid w:val="00716CAB"/>
    <w:rsid w:val="007202C5"/>
    <w:rsid w:val="00720786"/>
    <w:rsid w:val="00720843"/>
    <w:rsid w:val="0072155B"/>
    <w:rsid w:val="00724262"/>
    <w:rsid w:val="0072762E"/>
    <w:rsid w:val="0072798F"/>
    <w:rsid w:val="00727D53"/>
    <w:rsid w:val="00731386"/>
    <w:rsid w:val="00732773"/>
    <w:rsid w:val="0073403B"/>
    <w:rsid w:val="0073767C"/>
    <w:rsid w:val="00742FB8"/>
    <w:rsid w:val="00743FE3"/>
    <w:rsid w:val="0074450B"/>
    <w:rsid w:val="00746B1F"/>
    <w:rsid w:val="007479F9"/>
    <w:rsid w:val="00750735"/>
    <w:rsid w:val="007508C1"/>
    <w:rsid w:val="00752875"/>
    <w:rsid w:val="00755111"/>
    <w:rsid w:val="00755168"/>
    <w:rsid w:val="00756C07"/>
    <w:rsid w:val="00761AED"/>
    <w:rsid w:val="00761F97"/>
    <w:rsid w:val="0076461B"/>
    <w:rsid w:val="007649D7"/>
    <w:rsid w:val="00764E78"/>
    <w:rsid w:val="00766A2B"/>
    <w:rsid w:val="00767DF1"/>
    <w:rsid w:val="007763F6"/>
    <w:rsid w:val="0078005E"/>
    <w:rsid w:val="007811B8"/>
    <w:rsid w:val="00784CDF"/>
    <w:rsid w:val="0078734D"/>
    <w:rsid w:val="0079040D"/>
    <w:rsid w:val="00791748"/>
    <w:rsid w:val="00792DDB"/>
    <w:rsid w:val="0079436C"/>
    <w:rsid w:val="00795A37"/>
    <w:rsid w:val="00795F12"/>
    <w:rsid w:val="007966D1"/>
    <w:rsid w:val="007A1528"/>
    <w:rsid w:val="007A2597"/>
    <w:rsid w:val="007A2837"/>
    <w:rsid w:val="007A2AD7"/>
    <w:rsid w:val="007A3FA1"/>
    <w:rsid w:val="007A572D"/>
    <w:rsid w:val="007A6413"/>
    <w:rsid w:val="007B06AA"/>
    <w:rsid w:val="007B0940"/>
    <w:rsid w:val="007B1D4B"/>
    <w:rsid w:val="007B2474"/>
    <w:rsid w:val="007B435C"/>
    <w:rsid w:val="007B4DFC"/>
    <w:rsid w:val="007B56DD"/>
    <w:rsid w:val="007C0AF7"/>
    <w:rsid w:val="007C1CE3"/>
    <w:rsid w:val="007C22FD"/>
    <w:rsid w:val="007C2FA9"/>
    <w:rsid w:val="007C35FA"/>
    <w:rsid w:val="007C391E"/>
    <w:rsid w:val="007C3A4B"/>
    <w:rsid w:val="007C65D8"/>
    <w:rsid w:val="007C6A4B"/>
    <w:rsid w:val="007D2567"/>
    <w:rsid w:val="007D268F"/>
    <w:rsid w:val="007D299A"/>
    <w:rsid w:val="007D5A0E"/>
    <w:rsid w:val="007D7C25"/>
    <w:rsid w:val="007E04EB"/>
    <w:rsid w:val="007E0550"/>
    <w:rsid w:val="007E0E48"/>
    <w:rsid w:val="007E1F7B"/>
    <w:rsid w:val="007E2C19"/>
    <w:rsid w:val="007E3E97"/>
    <w:rsid w:val="007E475F"/>
    <w:rsid w:val="007E57B1"/>
    <w:rsid w:val="007E66B2"/>
    <w:rsid w:val="007E66F1"/>
    <w:rsid w:val="007E7411"/>
    <w:rsid w:val="007F1D7C"/>
    <w:rsid w:val="007F5205"/>
    <w:rsid w:val="007F5EAF"/>
    <w:rsid w:val="007F62E0"/>
    <w:rsid w:val="007F632F"/>
    <w:rsid w:val="007F78C8"/>
    <w:rsid w:val="007F7EC2"/>
    <w:rsid w:val="00804FFB"/>
    <w:rsid w:val="00805D76"/>
    <w:rsid w:val="00807FC4"/>
    <w:rsid w:val="00812E7E"/>
    <w:rsid w:val="008164FF"/>
    <w:rsid w:val="00816E27"/>
    <w:rsid w:val="00820953"/>
    <w:rsid w:val="0082302C"/>
    <w:rsid w:val="00823E5C"/>
    <w:rsid w:val="00825B1D"/>
    <w:rsid w:val="00826B03"/>
    <w:rsid w:val="00827F40"/>
    <w:rsid w:val="00827F99"/>
    <w:rsid w:val="00830544"/>
    <w:rsid w:val="00831396"/>
    <w:rsid w:val="008320AB"/>
    <w:rsid w:val="008331C6"/>
    <w:rsid w:val="008339E0"/>
    <w:rsid w:val="008353EB"/>
    <w:rsid w:val="008361B7"/>
    <w:rsid w:val="0083660F"/>
    <w:rsid w:val="008401B3"/>
    <w:rsid w:val="0084063B"/>
    <w:rsid w:val="00840B43"/>
    <w:rsid w:val="00841555"/>
    <w:rsid w:val="00842708"/>
    <w:rsid w:val="00842A94"/>
    <w:rsid w:val="0085123B"/>
    <w:rsid w:val="0085141E"/>
    <w:rsid w:val="00854794"/>
    <w:rsid w:val="00854F5E"/>
    <w:rsid w:val="00856D9E"/>
    <w:rsid w:val="0085756A"/>
    <w:rsid w:val="008625DC"/>
    <w:rsid w:val="008644BB"/>
    <w:rsid w:val="00865B53"/>
    <w:rsid w:val="0087002B"/>
    <w:rsid w:val="0087023D"/>
    <w:rsid w:val="0087052D"/>
    <w:rsid w:val="00877156"/>
    <w:rsid w:val="008777C1"/>
    <w:rsid w:val="00881DA8"/>
    <w:rsid w:val="0088239E"/>
    <w:rsid w:val="00885D7B"/>
    <w:rsid w:val="00887CDD"/>
    <w:rsid w:val="008900A2"/>
    <w:rsid w:val="00890238"/>
    <w:rsid w:val="0089036B"/>
    <w:rsid w:val="008908F5"/>
    <w:rsid w:val="00892CC4"/>
    <w:rsid w:val="00894029"/>
    <w:rsid w:val="00894F71"/>
    <w:rsid w:val="00897012"/>
    <w:rsid w:val="0089791E"/>
    <w:rsid w:val="00897F5A"/>
    <w:rsid w:val="008A10F3"/>
    <w:rsid w:val="008A1222"/>
    <w:rsid w:val="008A1622"/>
    <w:rsid w:val="008A1E29"/>
    <w:rsid w:val="008A4A9D"/>
    <w:rsid w:val="008A4B34"/>
    <w:rsid w:val="008A54F7"/>
    <w:rsid w:val="008A59D9"/>
    <w:rsid w:val="008A6D7D"/>
    <w:rsid w:val="008A7141"/>
    <w:rsid w:val="008A7F0E"/>
    <w:rsid w:val="008B1D51"/>
    <w:rsid w:val="008B2207"/>
    <w:rsid w:val="008B3FBA"/>
    <w:rsid w:val="008B4166"/>
    <w:rsid w:val="008B66D5"/>
    <w:rsid w:val="008B6FDB"/>
    <w:rsid w:val="008B793F"/>
    <w:rsid w:val="008C06CA"/>
    <w:rsid w:val="008C0E30"/>
    <w:rsid w:val="008C2818"/>
    <w:rsid w:val="008C3437"/>
    <w:rsid w:val="008C3EA3"/>
    <w:rsid w:val="008C4E48"/>
    <w:rsid w:val="008C5C8F"/>
    <w:rsid w:val="008C66D3"/>
    <w:rsid w:val="008C7FB1"/>
    <w:rsid w:val="008D02DA"/>
    <w:rsid w:val="008D2E73"/>
    <w:rsid w:val="008D7116"/>
    <w:rsid w:val="008E13D7"/>
    <w:rsid w:val="008E1627"/>
    <w:rsid w:val="008E31D0"/>
    <w:rsid w:val="008E3BDC"/>
    <w:rsid w:val="008E4ED0"/>
    <w:rsid w:val="008E584B"/>
    <w:rsid w:val="008E75D1"/>
    <w:rsid w:val="008E7A9D"/>
    <w:rsid w:val="008E7CC6"/>
    <w:rsid w:val="008F0539"/>
    <w:rsid w:val="008F0B2B"/>
    <w:rsid w:val="008F0B38"/>
    <w:rsid w:val="008F27B3"/>
    <w:rsid w:val="008F2EF8"/>
    <w:rsid w:val="008F3D14"/>
    <w:rsid w:val="008F43A6"/>
    <w:rsid w:val="008F4BF1"/>
    <w:rsid w:val="008F4EFC"/>
    <w:rsid w:val="009007F9"/>
    <w:rsid w:val="0090136F"/>
    <w:rsid w:val="00901C37"/>
    <w:rsid w:val="0090293C"/>
    <w:rsid w:val="00902F2E"/>
    <w:rsid w:val="00903FC5"/>
    <w:rsid w:val="009046D4"/>
    <w:rsid w:val="0090492E"/>
    <w:rsid w:val="00905A12"/>
    <w:rsid w:val="009065A4"/>
    <w:rsid w:val="00906F7B"/>
    <w:rsid w:val="009070A3"/>
    <w:rsid w:val="009107D6"/>
    <w:rsid w:val="00913FDC"/>
    <w:rsid w:val="00914688"/>
    <w:rsid w:val="009156AF"/>
    <w:rsid w:val="00916021"/>
    <w:rsid w:val="0092090F"/>
    <w:rsid w:val="00923BF7"/>
    <w:rsid w:val="00924400"/>
    <w:rsid w:val="00926025"/>
    <w:rsid w:val="00926899"/>
    <w:rsid w:val="00930DDF"/>
    <w:rsid w:val="00931742"/>
    <w:rsid w:val="009348DB"/>
    <w:rsid w:val="00936175"/>
    <w:rsid w:val="00936684"/>
    <w:rsid w:val="00937E8C"/>
    <w:rsid w:val="00940F5B"/>
    <w:rsid w:val="009436C4"/>
    <w:rsid w:val="00944F82"/>
    <w:rsid w:val="0094517E"/>
    <w:rsid w:val="00947EE9"/>
    <w:rsid w:val="00950451"/>
    <w:rsid w:val="0095048A"/>
    <w:rsid w:val="0095074F"/>
    <w:rsid w:val="009539AD"/>
    <w:rsid w:val="009543D8"/>
    <w:rsid w:val="00954805"/>
    <w:rsid w:val="009567F0"/>
    <w:rsid w:val="009613DC"/>
    <w:rsid w:val="00962A72"/>
    <w:rsid w:val="0096304F"/>
    <w:rsid w:val="00963AAA"/>
    <w:rsid w:val="00966646"/>
    <w:rsid w:val="009670B1"/>
    <w:rsid w:val="009670B5"/>
    <w:rsid w:val="00970BA5"/>
    <w:rsid w:val="009724C2"/>
    <w:rsid w:val="00972A05"/>
    <w:rsid w:val="00974A36"/>
    <w:rsid w:val="00975025"/>
    <w:rsid w:val="009770D7"/>
    <w:rsid w:val="00977C35"/>
    <w:rsid w:val="009803AB"/>
    <w:rsid w:val="009827D9"/>
    <w:rsid w:val="009827E0"/>
    <w:rsid w:val="009837A4"/>
    <w:rsid w:val="009840CD"/>
    <w:rsid w:val="00985296"/>
    <w:rsid w:val="00987B1C"/>
    <w:rsid w:val="00990814"/>
    <w:rsid w:val="00992419"/>
    <w:rsid w:val="00993BF1"/>
    <w:rsid w:val="00994CF0"/>
    <w:rsid w:val="00996677"/>
    <w:rsid w:val="009971B2"/>
    <w:rsid w:val="009A1D3C"/>
    <w:rsid w:val="009A28BB"/>
    <w:rsid w:val="009A3515"/>
    <w:rsid w:val="009A3681"/>
    <w:rsid w:val="009A3AD0"/>
    <w:rsid w:val="009A5E62"/>
    <w:rsid w:val="009A621E"/>
    <w:rsid w:val="009B0F9F"/>
    <w:rsid w:val="009B2553"/>
    <w:rsid w:val="009B3534"/>
    <w:rsid w:val="009B6D70"/>
    <w:rsid w:val="009B6F50"/>
    <w:rsid w:val="009C0CB1"/>
    <w:rsid w:val="009C1265"/>
    <w:rsid w:val="009C2AB9"/>
    <w:rsid w:val="009C3CF7"/>
    <w:rsid w:val="009C624C"/>
    <w:rsid w:val="009C7921"/>
    <w:rsid w:val="009C7CFD"/>
    <w:rsid w:val="009C7F60"/>
    <w:rsid w:val="009D09A4"/>
    <w:rsid w:val="009D1854"/>
    <w:rsid w:val="009D189F"/>
    <w:rsid w:val="009D571E"/>
    <w:rsid w:val="009D75FC"/>
    <w:rsid w:val="009E03C5"/>
    <w:rsid w:val="009E1E7F"/>
    <w:rsid w:val="009E49A9"/>
    <w:rsid w:val="009E7E31"/>
    <w:rsid w:val="009F2DD0"/>
    <w:rsid w:val="009F33CD"/>
    <w:rsid w:val="009F406B"/>
    <w:rsid w:val="009F4410"/>
    <w:rsid w:val="009F51CA"/>
    <w:rsid w:val="009F7A3B"/>
    <w:rsid w:val="00A00667"/>
    <w:rsid w:val="00A00A86"/>
    <w:rsid w:val="00A035BE"/>
    <w:rsid w:val="00A044CC"/>
    <w:rsid w:val="00A06639"/>
    <w:rsid w:val="00A07BF4"/>
    <w:rsid w:val="00A07C7D"/>
    <w:rsid w:val="00A108E6"/>
    <w:rsid w:val="00A11A25"/>
    <w:rsid w:val="00A13823"/>
    <w:rsid w:val="00A209DB"/>
    <w:rsid w:val="00A240D0"/>
    <w:rsid w:val="00A24814"/>
    <w:rsid w:val="00A3357B"/>
    <w:rsid w:val="00A35561"/>
    <w:rsid w:val="00A359B1"/>
    <w:rsid w:val="00A37302"/>
    <w:rsid w:val="00A3748B"/>
    <w:rsid w:val="00A379DB"/>
    <w:rsid w:val="00A40274"/>
    <w:rsid w:val="00A41382"/>
    <w:rsid w:val="00A428A6"/>
    <w:rsid w:val="00A43CD0"/>
    <w:rsid w:val="00A43FC9"/>
    <w:rsid w:val="00A45097"/>
    <w:rsid w:val="00A461A2"/>
    <w:rsid w:val="00A46F17"/>
    <w:rsid w:val="00A503AF"/>
    <w:rsid w:val="00A50E79"/>
    <w:rsid w:val="00A50FE8"/>
    <w:rsid w:val="00A543E3"/>
    <w:rsid w:val="00A54C52"/>
    <w:rsid w:val="00A561B9"/>
    <w:rsid w:val="00A563D9"/>
    <w:rsid w:val="00A629BC"/>
    <w:rsid w:val="00A64219"/>
    <w:rsid w:val="00A65B3D"/>
    <w:rsid w:val="00A66126"/>
    <w:rsid w:val="00A67F18"/>
    <w:rsid w:val="00A709E6"/>
    <w:rsid w:val="00A722D7"/>
    <w:rsid w:val="00A733DF"/>
    <w:rsid w:val="00A737EA"/>
    <w:rsid w:val="00A739C8"/>
    <w:rsid w:val="00A77F2F"/>
    <w:rsid w:val="00A8384E"/>
    <w:rsid w:val="00A83DAF"/>
    <w:rsid w:val="00A8737A"/>
    <w:rsid w:val="00A90B45"/>
    <w:rsid w:val="00A916FA"/>
    <w:rsid w:val="00A9191B"/>
    <w:rsid w:val="00A929A3"/>
    <w:rsid w:val="00A92FD7"/>
    <w:rsid w:val="00A966BB"/>
    <w:rsid w:val="00A9736E"/>
    <w:rsid w:val="00AA4A9C"/>
    <w:rsid w:val="00AA5B56"/>
    <w:rsid w:val="00AA5D5B"/>
    <w:rsid w:val="00AA5FB7"/>
    <w:rsid w:val="00AA64E3"/>
    <w:rsid w:val="00AB2F66"/>
    <w:rsid w:val="00AB303F"/>
    <w:rsid w:val="00AB5331"/>
    <w:rsid w:val="00AB6041"/>
    <w:rsid w:val="00AC0B32"/>
    <w:rsid w:val="00AC4C6B"/>
    <w:rsid w:val="00AC532D"/>
    <w:rsid w:val="00AC586E"/>
    <w:rsid w:val="00AC5C3C"/>
    <w:rsid w:val="00AC677D"/>
    <w:rsid w:val="00AC7872"/>
    <w:rsid w:val="00AC7F19"/>
    <w:rsid w:val="00AD3EDF"/>
    <w:rsid w:val="00AD675F"/>
    <w:rsid w:val="00AD7B15"/>
    <w:rsid w:val="00AD7B66"/>
    <w:rsid w:val="00AE0ED7"/>
    <w:rsid w:val="00AE1B12"/>
    <w:rsid w:val="00AE3A4A"/>
    <w:rsid w:val="00AE6D37"/>
    <w:rsid w:val="00AE7AAF"/>
    <w:rsid w:val="00AF1656"/>
    <w:rsid w:val="00AF454F"/>
    <w:rsid w:val="00AF57F5"/>
    <w:rsid w:val="00AF6F26"/>
    <w:rsid w:val="00AF74AF"/>
    <w:rsid w:val="00B00ECB"/>
    <w:rsid w:val="00B04C62"/>
    <w:rsid w:val="00B115C2"/>
    <w:rsid w:val="00B11D8E"/>
    <w:rsid w:val="00B13150"/>
    <w:rsid w:val="00B153A0"/>
    <w:rsid w:val="00B1555A"/>
    <w:rsid w:val="00B15D7C"/>
    <w:rsid w:val="00B16067"/>
    <w:rsid w:val="00B16C99"/>
    <w:rsid w:val="00B17926"/>
    <w:rsid w:val="00B17B5B"/>
    <w:rsid w:val="00B202A1"/>
    <w:rsid w:val="00B20640"/>
    <w:rsid w:val="00B21653"/>
    <w:rsid w:val="00B23433"/>
    <w:rsid w:val="00B253F7"/>
    <w:rsid w:val="00B35AD9"/>
    <w:rsid w:val="00B35DE9"/>
    <w:rsid w:val="00B364AC"/>
    <w:rsid w:val="00B3655A"/>
    <w:rsid w:val="00B36B9C"/>
    <w:rsid w:val="00B3739F"/>
    <w:rsid w:val="00B426DB"/>
    <w:rsid w:val="00B44209"/>
    <w:rsid w:val="00B44F40"/>
    <w:rsid w:val="00B503BF"/>
    <w:rsid w:val="00B516EE"/>
    <w:rsid w:val="00B519EA"/>
    <w:rsid w:val="00B529A8"/>
    <w:rsid w:val="00B52C37"/>
    <w:rsid w:val="00B53721"/>
    <w:rsid w:val="00B55FC4"/>
    <w:rsid w:val="00B57289"/>
    <w:rsid w:val="00B604C7"/>
    <w:rsid w:val="00B6175B"/>
    <w:rsid w:val="00B62813"/>
    <w:rsid w:val="00B62ACE"/>
    <w:rsid w:val="00B64357"/>
    <w:rsid w:val="00B6471C"/>
    <w:rsid w:val="00B64DE7"/>
    <w:rsid w:val="00B651A0"/>
    <w:rsid w:val="00B802E3"/>
    <w:rsid w:val="00B87896"/>
    <w:rsid w:val="00B91B87"/>
    <w:rsid w:val="00B92055"/>
    <w:rsid w:val="00B923A1"/>
    <w:rsid w:val="00B928B0"/>
    <w:rsid w:val="00B92DD1"/>
    <w:rsid w:val="00B9346E"/>
    <w:rsid w:val="00B93C39"/>
    <w:rsid w:val="00B974E1"/>
    <w:rsid w:val="00BA0DA5"/>
    <w:rsid w:val="00BA17B9"/>
    <w:rsid w:val="00BA186E"/>
    <w:rsid w:val="00BA1E66"/>
    <w:rsid w:val="00BA25D0"/>
    <w:rsid w:val="00BA25F7"/>
    <w:rsid w:val="00BA62CC"/>
    <w:rsid w:val="00BB2B65"/>
    <w:rsid w:val="00BB4556"/>
    <w:rsid w:val="00BB4C54"/>
    <w:rsid w:val="00BB6B18"/>
    <w:rsid w:val="00BB70E5"/>
    <w:rsid w:val="00BC0CDF"/>
    <w:rsid w:val="00BC1823"/>
    <w:rsid w:val="00BC1DCA"/>
    <w:rsid w:val="00BC1E14"/>
    <w:rsid w:val="00BC4464"/>
    <w:rsid w:val="00BC532F"/>
    <w:rsid w:val="00BC56BF"/>
    <w:rsid w:val="00BC58A3"/>
    <w:rsid w:val="00BC632B"/>
    <w:rsid w:val="00BC6FAA"/>
    <w:rsid w:val="00BD0417"/>
    <w:rsid w:val="00BD162B"/>
    <w:rsid w:val="00BD1A06"/>
    <w:rsid w:val="00BD2064"/>
    <w:rsid w:val="00BD3B3D"/>
    <w:rsid w:val="00BD4228"/>
    <w:rsid w:val="00BD5A71"/>
    <w:rsid w:val="00BD6B8C"/>
    <w:rsid w:val="00BD78B2"/>
    <w:rsid w:val="00BD7D08"/>
    <w:rsid w:val="00BE001F"/>
    <w:rsid w:val="00BE0A57"/>
    <w:rsid w:val="00BE10E1"/>
    <w:rsid w:val="00BE17B0"/>
    <w:rsid w:val="00BE1A95"/>
    <w:rsid w:val="00BE247E"/>
    <w:rsid w:val="00BE48FF"/>
    <w:rsid w:val="00BE5BAB"/>
    <w:rsid w:val="00BE6372"/>
    <w:rsid w:val="00BF20AC"/>
    <w:rsid w:val="00BF57F8"/>
    <w:rsid w:val="00BF6B43"/>
    <w:rsid w:val="00C025BB"/>
    <w:rsid w:val="00C02C72"/>
    <w:rsid w:val="00C03A42"/>
    <w:rsid w:val="00C04907"/>
    <w:rsid w:val="00C07650"/>
    <w:rsid w:val="00C13811"/>
    <w:rsid w:val="00C13BA8"/>
    <w:rsid w:val="00C14B03"/>
    <w:rsid w:val="00C1637F"/>
    <w:rsid w:val="00C16C38"/>
    <w:rsid w:val="00C17B19"/>
    <w:rsid w:val="00C17C87"/>
    <w:rsid w:val="00C20411"/>
    <w:rsid w:val="00C2348A"/>
    <w:rsid w:val="00C24799"/>
    <w:rsid w:val="00C251BF"/>
    <w:rsid w:val="00C27DBD"/>
    <w:rsid w:val="00C328C3"/>
    <w:rsid w:val="00C33738"/>
    <w:rsid w:val="00C378F0"/>
    <w:rsid w:val="00C37AC9"/>
    <w:rsid w:val="00C37DDB"/>
    <w:rsid w:val="00C40723"/>
    <w:rsid w:val="00C41E45"/>
    <w:rsid w:val="00C4289D"/>
    <w:rsid w:val="00C44DC6"/>
    <w:rsid w:val="00C45110"/>
    <w:rsid w:val="00C469E1"/>
    <w:rsid w:val="00C50E8B"/>
    <w:rsid w:val="00C5114C"/>
    <w:rsid w:val="00C52B09"/>
    <w:rsid w:val="00C53FAC"/>
    <w:rsid w:val="00C54631"/>
    <w:rsid w:val="00C551DD"/>
    <w:rsid w:val="00C568F9"/>
    <w:rsid w:val="00C57282"/>
    <w:rsid w:val="00C57887"/>
    <w:rsid w:val="00C616BC"/>
    <w:rsid w:val="00C62E29"/>
    <w:rsid w:val="00C6544D"/>
    <w:rsid w:val="00C660F8"/>
    <w:rsid w:val="00C66376"/>
    <w:rsid w:val="00C66BDE"/>
    <w:rsid w:val="00C67ECB"/>
    <w:rsid w:val="00C72122"/>
    <w:rsid w:val="00C72E4E"/>
    <w:rsid w:val="00C75EEE"/>
    <w:rsid w:val="00C76658"/>
    <w:rsid w:val="00C805DB"/>
    <w:rsid w:val="00C80DE8"/>
    <w:rsid w:val="00C828A4"/>
    <w:rsid w:val="00C83E19"/>
    <w:rsid w:val="00C84EF1"/>
    <w:rsid w:val="00C86C1A"/>
    <w:rsid w:val="00C86F48"/>
    <w:rsid w:val="00C873DD"/>
    <w:rsid w:val="00C906D9"/>
    <w:rsid w:val="00C91328"/>
    <w:rsid w:val="00C9133A"/>
    <w:rsid w:val="00C92981"/>
    <w:rsid w:val="00C932B3"/>
    <w:rsid w:val="00C93C0D"/>
    <w:rsid w:val="00C9425D"/>
    <w:rsid w:val="00C955B2"/>
    <w:rsid w:val="00C969FE"/>
    <w:rsid w:val="00CA0047"/>
    <w:rsid w:val="00CA1939"/>
    <w:rsid w:val="00CA2027"/>
    <w:rsid w:val="00CA6868"/>
    <w:rsid w:val="00CA6905"/>
    <w:rsid w:val="00CB07E7"/>
    <w:rsid w:val="00CB2FB3"/>
    <w:rsid w:val="00CB35B8"/>
    <w:rsid w:val="00CB36FC"/>
    <w:rsid w:val="00CB4302"/>
    <w:rsid w:val="00CB4E5C"/>
    <w:rsid w:val="00CB5176"/>
    <w:rsid w:val="00CB60C6"/>
    <w:rsid w:val="00CB6539"/>
    <w:rsid w:val="00CB6807"/>
    <w:rsid w:val="00CC05E3"/>
    <w:rsid w:val="00CC0DDE"/>
    <w:rsid w:val="00CC2882"/>
    <w:rsid w:val="00CC2E11"/>
    <w:rsid w:val="00CD1DF0"/>
    <w:rsid w:val="00CD2DA3"/>
    <w:rsid w:val="00CD3A05"/>
    <w:rsid w:val="00CD432A"/>
    <w:rsid w:val="00CD4F49"/>
    <w:rsid w:val="00CD6E50"/>
    <w:rsid w:val="00CD72A2"/>
    <w:rsid w:val="00CD7662"/>
    <w:rsid w:val="00CD7E5C"/>
    <w:rsid w:val="00CE05C0"/>
    <w:rsid w:val="00CE0DD6"/>
    <w:rsid w:val="00CE2F06"/>
    <w:rsid w:val="00CE3895"/>
    <w:rsid w:val="00CE3D8E"/>
    <w:rsid w:val="00CE5526"/>
    <w:rsid w:val="00CE5962"/>
    <w:rsid w:val="00CE607B"/>
    <w:rsid w:val="00CE6754"/>
    <w:rsid w:val="00CE71D8"/>
    <w:rsid w:val="00CE7F88"/>
    <w:rsid w:val="00CF287C"/>
    <w:rsid w:val="00CF4793"/>
    <w:rsid w:val="00CF650A"/>
    <w:rsid w:val="00CF653C"/>
    <w:rsid w:val="00CF6A98"/>
    <w:rsid w:val="00D00158"/>
    <w:rsid w:val="00D03473"/>
    <w:rsid w:val="00D040E0"/>
    <w:rsid w:val="00D05741"/>
    <w:rsid w:val="00D065B2"/>
    <w:rsid w:val="00D0672E"/>
    <w:rsid w:val="00D10DCD"/>
    <w:rsid w:val="00D11AF5"/>
    <w:rsid w:val="00D1265A"/>
    <w:rsid w:val="00D13C4C"/>
    <w:rsid w:val="00D13CF7"/>
    <w:rsid w:val="00D14538"/>
    <w:rsid w:val="00D1574B"/>
    <w:rsid w:val="00D15E17"/>
    <w:rsid w:val="00D16A46"/>
    <w:rsid w:val="00D17B43"/>
    <w:rsid w:val="00D240A0"/>
    <w:rsid w:val="00D24D49"/>
    <w:rsid w:val="00D25B49"/>
    <w:rsid w:val="00D32A02"/>
    <w:rsid w:val="00D3418F"/>
    <w:rsid w:val="00D353BB"/>
    <w:rsid w:val="00D358E0"/>
    <w:rsid w:val="00D359FC"/>
    <w:rsid w:val="00D37A1B"/>
    <w:rsid w:val="00D40BC7"/>
    <w:rsid w:val="00D40BCF"/>
    <w:rsid w:val="00D40C18"/>
    <w:rsid w:val="00D43C0D"/>
    <w:rsid w:val="00D4533A"/>
    <w:rsid w:val="00D46D9A"/>
    <w:rsid w:val="00D47E62"/>
    <w:rsid w:val="00D50423"/>
    <w:rsid w:val="00D513BF"/>
    <w:rsid w:val="00D51C13"/>
    <w:rsid w:val="00D5307D"/>
    <w:rsid w:val="00D5318C"/>
    <w:rsid w:val="00D533FD"/>
    <w:rsid w:val="00D5369E"/>
    <w:rsid w:val="00D5529E"/>
    <w:rsid w:val="00D56A77"/>
    <w:rsid w:val="00D56BAC"/>
    <w:rsid w:val="00D5705E"/>
    <w:rsid w:val="00D60765"/>
    <w:rsid w:val="00D6176A"/>
    <w:rsid w:val="00D61CE5"/>
    <w:rsid w:val="00D642A6"/>
    <w:rsid w:val="00D67013"/>
    <w:rsid w:val="00D72C7F"/>
    <w:rsid w:val="00D74D81"/>
    <w:rsid w:val="00D75ABC"/>
    <w:rsid w:val="00D801ED"/>
    <w:rsid w:val="00D85358"/>
    <w:rsid w:val="00D86933"/>
    <w:rsid w:val="00D91547"/>
    <w:rsid w:val="00D91F0B"/>
    <w:rsid w:val="00D92ACE"/>
    <w:rsid w:val="00D92E03"/>
    <w:rsid w:val="00D93D17"/>
    <w:rsid w:val="00D96296"/>
    <w:rsid w:val="00D973F0"/>
    <w:rsid w:val="00D97A1E"/>
    <w:rsid w:val="00DA1580"/>
    <w:rsid w:val="00DA26F0"/>
    <w:rsid w:val="00DA367C"/>
    <w:rsid w:val="00DA457A"/>
    <w:rsid w:val="00DA6E84"/>
    <w:rsid w:val="00DA707A"/>
    <w:rsid w:val="00DB2308"/>
    <w:rsid w:val="00DB55FD"/>
    <w:rsid w:val="00DB620D"/>
    <w:rsid w:val="00DC141A"/>
    <w:rsid w:val="00DC2574"/>
    <w:rsid w:val="00DC282D"/>
    <w:rsid w:val="00DC3439"/>
    <w:rsid w:val="00DC3FB4"/>
    <w:rsid w:val="00DC4D4B"/>
    <w:rsid w:val="00DC5276"/>
    <w:rsid w:val="00DC5BDA"/>
    <w:rsid w:val="00DC7531"/>
    <w:rsid w:val="00DD0E9F"/>
    <w:rsid w:val="00DD1B21"/>
    <w:rsid w:val="00DD1F0A"/>
    <w:rsid w:val="00DD46D8"/>
    <w:rsid w:val="00DD4B4B"/>
    <w:rsid w:val="00DD7246"/>
    <w:rsid w:val="00DD7C7D"/>
    <w:rsid w:val="00DD7F94"/>
    <w:rsid w:val="00DE0050"/>
    <w:rsid w:val="00DE1D88"/>
    <w:rsid w:val="00DE2779"/>
    <w:rsid w:val="00DE28CF"/>
    <w:rsid w:val="00DE5119"/>
    <w:rsid w:val="00DE584B"/>
    <w:rsid w:val="00DF0BCD"/>
    <w:rsid w:val="00DF1EE3"/>
    <w:rsid w:val="00DF2E91"/>
    <w:rsid w:val="00DF565A"/>
    <w:rsid w:val="00DF787A"/>
    <w:rsid w:val="00E0139B"/>
    <w:rsid w:val="00E041DC"/>
    <w:rsid w:val="00E04C89"/>
    <w:rsid w:val="00E05883"/>
    <w:rsid w:val="00E10B96"/>
    <w:rsid w:val="00E10BC5"/>
    <w:rsid w:val="00E12E76"/>
    <w:rsid w:val="00E135E8"/>
    <w:rsid w:val="00E13756"/>
    <w:rsid w:val="00E160C2"/>
    <w:rsid w:val="00E160DE"/>
    <w:rsid w:val="00E17851"/>
    <w:rsid w:val="00E17D0B"/>
    <w:rsid w:val="00E202E1"/>
    <w:rsid w:val="00E219F3"/>
    <w:rsid w:val="00E223AD"/>
    <w:rsid w:val="00E235FC"/>
    <w:rsid w:val="00E24230"/>
    <w:rsid w:val="00E25C78"/>
    <w:rsid w:val="00E26280"/>
    <w:rsid w:val="00E26AC9"/>
    <w:rsid w:val="00E2725D"/>
    <w:rsid w:val="00E31037"/>
    <w:rsid w:val="00E31540"/>
    <w:rsid w:val="00E33DA5"/>
    <w:rsid w:val="00E347DF"/>
    <w:rsid w:val="00E371A0"/>
    <w:rsid w:val="00E374D8"/>
    <w:rsid w:val="00E42B5F"/>
    <w:rsid w:val="00E44259"/>
    <w:rsid w:val="00E44D8E"/>
    <w:rsid w:val="00E4563D"/>
    <w:rsid w:val="00E47FA8"/>
    <w:rsid w:val="00E5048B"/>
    <w:rsid w:val="00E51E6C"/>
    <w:rsid w:val="00E56213"/>
    <w:rsid w:val="00E61EF8"/>
    <w:rsid w:val="00E61FE5"/>
    <w:rsid w:val="00E62431"/>
    <w:rsid w:val="00E628C2"/>
    <w:rsid w:val="00E62C1C"/>
    <w:rsid w:val="00E62D58"/>
    <w:rsid w:val="00E62E46"/>
    <w:rsid w:val="00E6310C"/>
    <w:rsid w:val="00E64DF4"/>
    <w:rsid w:val="00E70EBE"/>
    <w:rsid w:val="00E72E84"/>
    <w:rsid w:val="00E72F2F"/>
    <w:rsid w:val="00E75900"/>
    <w:rsid w:val="00E76EE1"/>
    <w:rsid w:val="00E81A79"/>
    <w:rsid w:val="00E82EC0"/>
    <w:rsid w:val="00E85988"/>
    <w:rsid w:val="00E85E87"/>
    <w:rsid w:val="00E902E3"/>
    <w:rsid w:val="00E90586"/>
    <w:rsid w:val="00E92703"/>
    <w:rsid w:val="00E93714"/>
    <w:rsid w:val="00E93D11"/>
    <w:rsid w:val="00E960E7"/>
    <w:rsid w:val="00E961EA"/>
    <w:rsid w:val="00E96C2C"/>
    <w:rsid w:val="00E97DF3"/>
    <w:rsid w:val="00EA0ADE"/>
    <w:rsid w:val="00EA1FD4"/>
    <w:rsid w:val="00EA75E1"/>
    <w:rsid w:val="00EA7D1F"/>
    <w:rsid w:val="00EB00B8"/>
    <w:rsid w:val="00EB33AE"/>
    <w:rsid w:val="00EB5A62"/>
    <w:rsid w:val="00EB5F6D"/>
    <w:rsid w:val="00EC00F6"/>
    <w:rsid w:val="00EC185E"/>
    <w:rsid w:val="00EC2CA0"/>
    <w:rsid w:val="00EC43AB"/>
    <w:rsid w:val="00EC55C0"/>
    <w:rsid w:val="00EC59E6"/>
    <w:rsid w:val="00EC5A91"/>
    <w:rsid w:val="00EC6AC3"/>
    <w:rsid w:val="00ED0F8F"/>
    <w:rsid w:val="00ED2DD8"/>
    <w:rsid w:val="00EE6B3E"/>
    <w:rsid w:val="00EE6D1D"/>
    <w:rsid w:val="00EF056B"/>
    <w:rsid w:val="00EF0AFD"/>
    <w:rsid w:val="00EF10C0"/>
    <w:rsid w:val="00EF7B0F"/>
    <w:rsid w:val="00F02EAE"/>
    <w:rsid w:val="00F03579"/>
    <w:rsid w:val="00F039AC"/>
    <w:rsid w:val="00F04139"/>
    <w:rsid w:val="00F074C4"/>
    <w:rsid w:val="00F076EB"/>
    <w:rsid w:val="00F07726"/>
    <w:rsid w:val="00F103E2"/>
    <w:rsid w:val="00F109FF"/>
    <w:rsid w:val="00F112CD"/>
    <w:rsid w:val="00F11535"/>
    <w:rsid w:val="00F12B12"/>
    <w:rsid w:val="00F12CAE"/>
    <w:rsid w:val="00F13779"/>
    <w:rsid w:val="00F1394C"/>
    <w:rsid w:val="00F14244"/>
    <w:rsid w:val="00F14C2D"/>
    <w:rsid w:val="00F15090"/>
    <w:rsid w:val="00F163A6"/>
    <w:rsid w:val="00F16C04"/>
    <w:rsid w:val="00F16D5F"/>
    <w:rsid w:val="00F225DF"/>
    <w:rsid w:val="00F2440E"/>
    <w:rsid w:val="00F24648"/>
    <w:rsid w:val="00F26942"/>
    <w:rsid w:val="00F27DB0"/>
    <w:rsid w:val="00F32E72"/>
    <w:rsid w:val="00F338B8"/>
    <w:rsid w:val="00F343B6"/>
    <w:rsid w:val="00F35A73"/>
    <w:rsid w:val="00F35BD8"/>
    <w:rsid w:val="00F365E4"/>
    <w:rsid w:val="00F405EF"/>
    <w:rsid w:val="00F45532"/>
    <w:rsid w:val="00F461FD"/>
    <w:rsid w:val="00F47542"/>
    <w:rsid w:val="00F47D48"/>
    <w:rsid w:val="00F50DE5"/>
    <w:rsid w:val="00F52822"/>
    <w:rsid w:val="00F53438"/>
    <w:rsid w:val="00F54A5E"/>
    <w:rsid w:val="00F54F30"/>
    <w:rsid w:val="00F567D3"/>
    <w:rsid w:val="00F62687"/>
    <w:rsid w:val="00F6598F"/>
    <w:rsid w:val="00F65BE5"/>
    <w:rsid w:val="00F663C2"/>
    <w:rsid w:val="00F71B8F"/>
    <w:rsid w:val="00F73AD4"/>
    <w:rsid w:val="00F747AB"/>
    <w:rsid w:val="00F75E4D"/>
    <w:rsid w:val="00F76250"/>
    <w:rsid w:val="00F809B3"/>
    <w:rsid w:val="00F81318"/>
    <w:rsid w:val="00F83E7A"/>
    <w:rsid w:val="00F86362"/>
    <w:rsid w:val="00F86BE2"/>
    <w:rsid w:val="00F86F60"/>
    <w:rsid w:val="00F9130B"/>
    <w:rsid w:val="00F922A4"/>
    <w:rsid w:val="00F92F9A"/>
    <w:rsid w:val="00F955CE"/>
    <w:rsid w:val="00F9574E"/>
    <w:rsid w:val="00F95AD1"/>
    <w:rsid w:val="00F963B1"/>
    <w:rsid w:val="00FA085E"/>
    <w:rsid w:val="00FA0A9E"/>
    <w:rsid w:val="00FA3743"/>
    <w:rsid w:val="00FA3A0B"/>
    <w:rsid w:val="00FA3F08"/>
    <w:rsid w:val="00FA529B"/>
    <w:rsid w:val="00FA5BEB"/>
    <w:rsid w:val="00FA7EC2"/>
    <w:rsid w:val="00FB361D"/>
    <w:rsid w:val="00FC05BF"/>
    <w:rsid w:val="00FC0BA3"/>
    <w:rsid w:val="00FC261A"/>
    <w:rsid w:val="00FC317B"/>
    <w:rsid w:val="00FC3278"/>
    <w:rsid w:val="00FD0732"/>
    <w:rsid w:val="00FD11F1"/>
    <w:rsid w:val="00FD33CD"/>
    <w:rsid w:val="00FD3E22"/>
    <w:rsid w:val="00FD41EA"/>
    <w:rsid w:val="00FD5F47"/>
    <w:rsid w:val="00FE134A"/>
    <w:rsid w:val="00FE1901"/>
    <w:rsid w:val="00FE217A"/>
    <w:rsid w:val="00FE2367"/>
    <w:rsid w:val="00FE2FCB"/>
    <w:rsid w:val="00FE33C0"/>
    <w:rsid w:val="00FE4C46"/>
    <w:rsid w:val="00FE6B68"/>
    <w:rsid w:val="00FF12D3"/>
    <w:rsid w:val="00FF163E"/>
    <w:rsid w:val="00FF2823"/>
    <w:rsid w:val="00FF41AF"/>
    <w:rsid w:val="00FF4EFD"/>
    <w:rsid w:val="00FF6364"/>
    <w:rsid w:val="00FF73A5"/>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1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174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C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7C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B6"/>
    <w:rPr>
      <w:rFonts w:ascii="Tahoma" w:hAnsi="Tahoma" w:cs="Tahoma"/>
      <w:sz w:val="16"/>
      <w:szCs w:val="16"/>
    </w:rPr>
  </w:style>
  <w:style w:type="character" w:styleId="CommentReference">
    <w:name w:val="annotation reference"/>
    <w:basedOn w:val="DefaultParagraphFont"/>
    <w:uiPriority w:val="99"/>
    <w:semiHidden/>
    <w:unhideWhenUsed/>
    <w:rsid w:val="00454FF3"/>
    <w:rPr>
      <w:sz w:val="16"/>
      <w:szCs w:val="16"/>
    </w:rPr>
  </w:style>
  <w:style w:type="paragraph" w:styleId="CommentText">
    <w:name w:val="annotation text"/>
    <w:basedOn w:val="Normal"/>
    <w:link w:val="CommentTextChar"/>
    <w:uiPriority w:val="99"/>
    <w:unhideWhenUsed/>
    <w:rsid w:val="00930DDF"/>
    <w:pPr>
      <w:spacing w:line="240" w:lineRule="auto"/>
    </w:pPr>
    <w:rPr>
      <w:sz w:val="20"/>
      <w:szCs w:val="20"/>
    </w:rPr>
  </w:style>
  <w:style w:type="character" w:customStyle="1" w:styleId="CommentTextChar">
    <w:name w:val="Comment Text Char"/>
    <w:basedOn w:val="DefaultParagraphFont"/>
    <w:link w:val="CommentText"/>
    <w:uiPriority w:val="99"/>
    <w:rsid w:val="00454FF3"/>
    <w:rPr>
      <w:sz w:val="20"/>
      <w:szCs w:val="20"/>
    </w:rPr>
  </w:style>
  <w:style w:type="paragraph" w:styleId="CommentSubject">
    <w:name w:val="annotation subject"/>
    <w:basedOn w:val="CommentText"/>
    <w:next w:val="CommentText"/>
    <w:link w:val="CommentSubjectChar"/>
    <w:uiPriority w:val="99"/>
    <w:semiHidden/>
    <w:unhideWhenUsed/>
    <w:rsid w:val="00454FF3"/>
    <w:rPr>
      <w:b/>
      <w:bCs/>
    </w:rPr>
  </w:style>
  <w:style w:type="character" w:customStyle="1" w:styleId="CommentSubjectChar">
    <w:name w:val="Comment Subject Char"/>
    <w:basedOn w:val="CommentTextChar"/>
    <w:link w:val="CommentSubject"/>
    <w:uiPriority w:val="99"/>
    <w:semiHidden/>
    <w:rsid w:val="00454FF3"/>
    <w:rPr>
      <w:b/>
      <w:bCs/>
      <w:sz w:val="20"/>
      <w:szCs w:val="20"/>
    </w:rPr>
  </w:style>
  <w:style w:type="character" w:styleId="Hyperlink">
    <w:name w:val="Hyperlink"/>
    <w:basedOn w:val="DefaultParagraphFont"/>
    <w:uiPriority w:val="99"/>
    <w:unhideWhenUsed/>
    <w:rsid w:val="007B1D4B"/>
    <w:rPr>
      <w:color w:val="0000FF"/>
      <w:u w:val="single"/>
    </w:rPr>
  </w:style>
  <w:style w:type="paragraph" w:styleId="ListParagraph">
    <w:name w:val="List Paragraph"/>
    <w:basedOn w:val="Normal"/>
    <w:uiPriority w:val="34"/>
    <w:qFormat/>
    <w:rsid w:val="007B1D4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F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302"/>
    <w:pPr>
      <w:spacing w:after="0" w:line="240" w:lineRule="auto"/>
    </w:pPr>
    <w:rPr>
      <w:rFonts w:ascii="Calibri" w:hAnsi="Calibri" w:cs="Times New Roman"/>
    </w:rPr>
  </w:style>
  <w:style w:type="paragraph" w:styleId="PlainText">
    <w:name w:val="Plain Text"/>
    <w:basedOn w:val="Normal"/>
    <w:link w:val="PlainTextChar"/>
    <w:uiPriority w:val="99"/>
    <w:unhideWhenUsed/>
    <w:rsid w:val="007202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02C5"/>
    <w:rPr>
      <w:rFonts w:ascii="Consolas" w:hAnsi="Consolas"/>
      <w:sz w:val="21"/>
      <w:szCs w:val="21"/>
    </w:rPr>
  </w:style>
  <w:style w:type="paragraph" w:styleId="BodyText">
    <w:name w:val="Body Text"/>
    <w:basedOn w:val="Normal"/>
    <w:link w:val="BodyTextChar"/>
    <w:uiPriority w:val="99"/>
    <w:unhideWhenUsed/>
    <w:rsid w:val="00182A02"/>
    <w:pPr>
      <w:spacing w:after="120"/>
    </w:pPr>
  </w:style>
  <w:style w:type="character" w:customStyle="1" w:styleId="BodyTextChar">
    <w:name w:val="Body Text Char"/>
    <w:basedOn w:val="DefaultParagraphFont"/>
    <w:link w:val="BodyText"/>
    <w:uiPriority w:val="99"/>
    <w:semiHidden/>
    <w:rsid w:val="00182A02"/>
  </w:style>
  <w:style w:type="character" w:customStyle="1" w:styleId="Heading1Char">
    <w:name w:val="Heading 1 Char"/>
    <w:basedOn w:val="DefaultParagraphFont"/>
    <w:link w:val="Heading1"/>
    <w:uiPriority w:val="9"/>
    <w:rsid w:val="008415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1555"/>
    <w:pPr>
      <w:outlineLvl w:val="9"/>
    </w:pPr>
    <w:rPr>
      <w:lang w:eastAsia="ja-JP"/>
    </w:rPr>
  </w:style>
  <w:style w:type="paragraph" w:styleId="TOC2">
    <w:name w:val="toc 2"/>
    <w:basedOn w:val="Normal"/>
    <w:next w:val="Normal"/>
    <w:autoRedefine/>
    <w:uiPriority w:val="39"/>
    <w:unhideWhenUsed/>
    <w:rsid w:val="00101E72"/>
    <w:pPr>
      <w:tabs>
        <w:tab w:val="right" w:leader="dot" w:pos="10790"/>
      </w:tabs>
      <w:spacing w:after="100"/>
      <w:ind w:left="220"/>
    </w:pPr>
  </w:style>
  <w:style w:type="paragraph" w:styleId="TOC1">
    <w:name w:val="toc 1"/>
    <w:basedOn w:val="Normal"/>
    <w:next w:val="Normal"/>
    <w:autoRedefine/>
    <w:uiPriority w:val="39"/>
    <w:unhideWhenUsed/>
    <w:rsid w:val="00930DDF"/>
    <w:pPr>
      <w:tabs>
        <w:tab w:val="right" w:leader="dot" w:pos="10790"/>
      </w:tabs>
      <w:spacing w:after="100"/>
    </w:pPr>
  </w:style>
  <w:style w:type="character" w:customStyle="1" w:styleId="Heading2Char">
    <w:name w:val="Heading 2 Char"/>
    <w:basedOn w:val="DefaultParagraphFont"/>
    <w:link w:val="Heading2"/>
    <w:uiPriority w:val="9"/>
    <w:rsid w:val="001746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C3E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3EA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01ED"/>
    <w:rPr>
      <w:color w:val="800080" w:themeColor="followedHyperlink"/>
      <w:u w:val="single"/>
    </w:rPr>
  </w:style>
  <w:style w:type="paragraph" w:styleId="Footer">
    <w:name w:val="footer"/>
    <w:basedOn w:val="Normal"/>
    <w:link w:val="FooterChar"/>
    <w:uiPriority w:val="99"/>
    <w:unhideWhenUsed/>
    <w:rsid w:val="0064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98"/>
  </w:style>
  <w:style w:type="character" w:customStyle="1" w:styleId="Heading3Char">
    <w:name w:val="Heading 3 Char"/>
    <w:basedOn w:val="DefaultParagraphFont"/>
    <w:link w:val="Heading3"/>
    <w:uiPriority w:val="9"/>
    <w:rsid w:val="00433C0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92ACE"/>
    <w:pPr>
      <w:spacing w:after="100"/>
      <w:ind w:left="440"/>
    </w:pPr>
  </w:style>
  <w:style w:type="paragraph" w:customStyle="1" w:styleId="a">
    <w:name w:val="_"/>
    <w:uiPriority w:val="99"/>
    <w:rsid w:val="00E85988"/>
    <w:pPr>
      <w:widowControl w:val="0"/>
      <w:autoSpaceDE w:val="0"/>
      <w:autoSpaceDN w:val="0"/>
      <w:spacing w:after="0" w:line="240" w:lineRule="auto"/>
      <w:ind w:left="-1440"/>
    </w:pPr>
    <w:rPr>
      <w:rFonts w:ascii="Times New Roman" w:eastAsiaTheme="minorEastAsia" w:hAnsi="Times New Roman" w:cs="Times New Roman"/>
      <w:sz w:val="24"/>
      <w:szCs w:val="24"/>
    </w:rPr>
  </w:style>
  <w:style w:type="paragraph" w:styleId="Title">
    <w:name w:val="Title"/>
    <w:basedOn w:val="Normal"/>
    <w:link w:val="TitleChar"/>
    <w:uiPriority w:val="99"/>
    <w:qFormat/>
    <w:rsid w:val="00E85988"/>
    <w:pPr>
      <w:widowControl w:val="0"/>
      <w:autoSpaceDE w:val="0"/>
      <w:autoSpaceDN w:val="0"/>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E85988"/>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9"/>
    <w:rsid w:val="003F7C11"/>
    <w:rPr>
      <w:rFonts w:asciiTheme="majorHAnsi" w:eastAsiaTheme="majorEastAsia" w:hAnsiTheme="majorHAnsi" w:cstheme="majorBidi"/>
      <w:b/>
      <w:bCs/>
      <w:i/>
      <w:iCs/>
      <w:color w:val="4F81BD" w:themeColor="accent1"/>
    </w:rPr>
  </w:style>
  <w:style w:type="paragraph" w:styleId="Revision">
    <w:name w:val="Revision"/>
    <w:hidden/>
    <w:uiPriority w:val="99"/>
    <w:semiHidden/>
    <w:rsid w:val="0079040D"/>
    <w:pPr>
      <w:spacing w:after="0" w:line="240" w:lineRule="auto"/>
    </w:pPr>
  </w:style>
  <w:style w:type="paragraph" w:styleId="Bibliography">
    <w:name w:val="Bibliography"/>
    <w:basedOn w:val="Normal"/>
    <w:next w:val="Normal"/>
    <w:uiPriority w:val="37"/>
    <w:unhideWhenUsed/>
    <w:rsid w:val="000E3782"/>
  </w:style>
  <w:style w:type="paragraph" w:styleId="EndnoteText">
    <w:name w:val="endnote text"/>
    <w:basedOn w:val="Normal"/>
    <w:link w:val="EndnoteTextChar"/>
    <w:uiPriority w:val="99"/>
    <w:semiHidden/>
    <w:unhideWhenUsed/>
    <w:rsid w:val="00CA00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0047"/>
    <w:rPr>
      <w:sz w:val="20"/>
      <w:szCs w:val="20"/>
    </w:rPr>
  </w:style>
  <w:style w:type="character" w:styleId="EndnoteReference">
    <w:name w:val="endnote reference"/>
    <w:basedOn w:val="DefaultParagraphFont"/>
    <w:uiPriority w:val="99"/>
    <w:semiHidden/>
    <w:unhideWhenUsed/>
    <w:rsid w:val="00CA0047"/>
    <w:rPr>
      <w:vertAlign w:val="superscript"/>
    </w:rPr>
  </w:style>
  <w:style w:type="paragraph" w:styleId="IntenseQuote">
    <w:name w:val="Intense Quote"/>
    <w:basedOn w:val="Normal"/>
    <w:next w:val="Normal"/>
    <w:link w:val="IntenseQuoteChar"/>
    <w:uiPriority w:val="30"/>
    <w:qFormat/>
    <w:rsid w:val="00C942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425D"/>
    <w:rPr>
      <w:b/>
      <w:bCs/>
      <w:i/>
      <w:iCs/>
      <w:color w:val="4F81BD" w:themeColor="accent1"/>
    </w:rPr>
  </w:style>
  <w:style w:type="character" w:styleId="IntenseEmphasis">
    <w:name w:val="Intense Emphasis"/>
    <w:basedOn w:val="DefaultParagraphFont"/>
    <w:uiPriority w:val="21"/>
    <w:qFormat/>
    <w:rsid w:val="00043907"/>
    <w:rPr>
      <w:b/>
      <w:bCs/>
      <w:i/>
      <w:iCs/>
      <w:color w:val="4F81BD" w:themeColor="accent1"/>
    </w:rPr>
  </w:style>
  <w:style w:type="paragraph" w:styleId="Subtitle">
    <w:name w:val="Subtitle"/>
    <w:basedOn w:val="Normal"/>
    <w:next w:val="Normal"/>
    <w:link w:val="SubtitleChar"/>
    <w:uiPriority w:val="11"/>
    <w:qFormat/>
    <w:rsid w:val="00F71B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B8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1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174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C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7C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B6"/>
    <w:rPr>
      <w:rFonts w:ascii="Tahoma" w:hAnsi="Tahoma" w:cs="Tahoma"/>
      <w:sz w:val="16"/>
      <w:szCs w:val="16"/>
    </w:rPr>
  </w:style>
  <w:style w:type="character" w:styleId="CommentReference">
    <w:name w:val="annotation reference"/>
    <w:basedOn w:val="DefaultParagraphFont"/>
    <w:uiPriority w:val="99"/>
    <w:semiHidden/>
    <w:unhideWhenUsed/>
    <w:rsid w:val="00454FF3"/>
    <w:rPr>
      <w:sz w:val="16"/>
      <w:szCs w:val="16"/>
    </w:rPr>
  </w:style>
  <w:style w:type="paragraph" w:styleId="CommentText">
    <w:name w:val="annotation text"/>
    <w:basedOn w:val="Normal"/>
    <w:link w:val="CommentTextChar"/>
    <w:uiPriority w:val="99"/>
    <w:unhideWhenUsed/>
    <w:rsid w:val="00930DDF"/>
    <w:pPr>
      <w:spacing w:line="240" w:lineRule="auto"/>
    </w:pPr>
    <w:rPr>
      <w:sz w:val="20"/>
      <w:szCs w:val="20"/>
    </w:rPr>
  </w:style>
  <w:style w:type="character" w:customStyle="1" w:styleId="CommentTextChar">
    <w:name w:val="Comment Text Char"/>
    <w:basedOn w:val="DefaultParagraphFont"/>
    <w:link w:val="CommentText"/>
    <w:uiPriority w:val="99"/>
    <w:rsid w:val="00454FF3"/>
    <w:rPr>
      <w:sz w:val="20"/>
      <w:szCs w:val="20"/>
    </w:rPr>
  </w:style>
  <w:style w:type="paragraph" w:styleId="CommentSubject">
    <w:name w:val="annotation subject"/>
    <w:basedOn w:val="CommentText"/>
    <w:next w:val="CommentText"/>
    <w:link w:val="CommentSubjectChar"/>
    <w:uiPriority w:val="99"/>
    <w:semiHidden/>
    <w:unhideWhenUsed/>
    <w:rsid w:val="00454FF3"/>
    <w:rPr>
      <w:b/>
      <w:bCs/>
    </w:rPr>
  </w:style>
  <w:style w:type="character" w:customStyle="1" w:styleId="CommentSubjectChar">
    <w:name w:val="Comment Subject Char"/>
    <w:basedOn w:val="CommentTextChar"/>
    <w:link w:val="CommentSubject"/>
    <w:uiPriority w:val="99"/>
    <w:semiHidden/>
    <w:rsid w:val="00454FF3"/>
    <w:rPr>
      <w:b/>
      <w:bCs/>
      <w:sz w:val="20"/>
      <w:szCs w:val="20"/>
    </w:rPr>
  </w:style>
  <w:style w:type="character" w:styleId="Hyperlink">
    <w:name w:val="Hyperlink"/>
    <w:basedOn w:val="DefaultParagraphFont"/>
    <w:uiPriority w:val="99"/>
    <w:unhideWhenUsed/>
    <w:rsid w:val="007B1D4B"/>
    <w:rPr>
      <w:color w:val="0000FF"/>
      <w:u w:val="single"/>
    </w:rPr>
  </w:style>
  <w:style w:type="paragraph" w:styleId="ListParagraph">
    <w:name w:val="List Paragraph"/>
    <w:basedOn w:val="Normal"/>
    <w:uiPriority w:val="34"/>
    <w:qFormat/>
    <w:rsid w:val="007B1D4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F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302"/>
    <w:pPr>
      <w:spacing w:after="0" w:line="240" w:lineRule="auto"/>
    </w:pPr>
    <w:rPr>
      <w:rFonts w:ascii="Calibri" w:hAnsi="Calibri" w:cs="Times New Roman"/>
    </w:rPr>
  </w:style>
  <w:style w:type="paragraph" w:styleId="PlainText">
    <w:name w:val="Plain Text"/>
    <w:basedOn w:val="Normal"/>
    <w:link w:val="PlainTextChar"/>
    <w:uiPriority w:val="99"/>
    <w:unhideWhenUsed/>
    <w:rsid w:val="007202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02C5"/>
    <w:rPr>
      <w:rFonts w:ascii="Consolas" w:hAnsi="Consolas"/>
      <w:sz w:val="21"/>
      <w:szCs w:val="21"/>
    </w:rPr>
  </w:style>
  <w:style w:type="paragraph" w:styleId="BodyText">
    <w:name w:val="Body Text"/>
    <w:basedOn w:val="Normal"/>
    <w:link w:val="BodyTextChar"/>
    <w:uiPriority w:val="99"/>
    <w:unhideWhenUsed/>
    <w:rsid w:val="00182A02"/>
    <w:pPr>
      <w:spacing w:after="120"/>
    </w:pPr>
  </w:style>
  <w:style w:type="character" w:customStyle="1" w:styleId="BodyTextChar">
    <w:name w:val="Body Text Char"/>
    <w:basedOn w:val="DefaultParagraphFont"/>
    <w:link w:val="BodyText"/>
    <w:uiPriority w:val="99"/>
    <w:semiHidden/>
    <w:rsid w:val="00182A02"/>
  </w:style>
  <w:style w:type="character" w:customStyle="1" w:styleId="Heading1Char">
    <w:name w:val="Heading 1 Char"/>
    <w:basedOn w:val="DefaultParagraphFont"/>
    <w:link w:val="Heading1"/>
    <w:uiPriority w:val="9"/>
    <w:rsid w:val="008415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1555"/>
    <w:pPr>
      <w:outlineLvl w:val="9"/>
    </w:pPr>
    <w:rPr>
      <w:lang w:eastAsia="ja-JP"/>
    </w:rPr>
  </w:style>
  <w:style w:type="paragraph" w:styleId="TOC2">
    <w:name w:val="toc 2"/>
    <w:basedOn w:val="Normal"/>
    <w:next w:val="Normal"/>
    <w:autoRedefine/>
    <w:uiPriority w:val="39"/>
    <w:unhideWhenUsed/>
    <w:rsid w:val="00101E72"/>
    <w:pPr>
      <w:tabs>
        <w:tab w:val="right" w:leader="dot" w:pos="10790"/>
      </w:tabs>
      <w:spacing w:after="100"/>
      <w:ind w:left="220"/>
    </w:pPr>
  </w:style>
  <w:style w:type="paragraph" w:styleId="TOC1">
    <w:name w:val="toc 1"/>
    <w:basedOn w:val="Normal"/>
    <w:next w:val="Normal"/>
    <w:autoRedefine/>
    <w:uiPriority w:val="39"/>
    <w:unhideWhenUsed/>
    <w:rsid w:val="00930DDF"/>
    <w:pPr>
      <w:tabs>
        <w:tab w:val="right" w:leader="dot" w:pos="10790"/>
      </w:tabs>
      <w:spacing w:after="100"/>
    </w:pPr>
  </w:style>
  <w:style w:type="character" w:customStyle="1" w:styleId="Heading2Char">
    <w:name w:val="Heading 2 Char"/>
    <w:basedOn w:val="DefaultParagraphFont"/>
    <w:link w:val="Heading2"/>
    <w:uiPriority w:val="9"/>
    <w:rsid w:val="001746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C3E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3EA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01ED"/>
    <w:rPr>
      <w:color w:val="800080" w:themeColor="followedHyperlink"/>
      <w:u w:val="single"/>
    </w:rPr>
  </w:style>
  <w:style w:type="paragraph" w:styleId="Footer">
    <w:name w:val="footer"/>
    <w:basedOn w:val="Normal"/>
    <w:link w:val="FooterChar"/>
    <w:uiPriority w:val="99"/>
    <w:unhideWhenUsed/>
    <w:rsid w:val="0064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98"/>
  </w:style>
  <w:style w:type="character" w:customStyle="1" w:styleId="Heading3Char">
    <w:name w:val="Heading 3 Char"/>
    <w:basedOn w:val="DefaultParagraphFont"/>
    <w:link w:val="Heading3"/>
    <w:uiPriority w:val="9"/>
    <w:rsid w:val="00433C0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92ACE"/>
    <w:pPr>
      <w:spacing w:after="100"/>
      <w:ind w:left="440"/>
    </w:pPr>
  </w:style>
  <w:style w:type="paragraph" w:customStyle="1" w:styleId="a">
    <w:name w:val="_"/>
    <w:uiPriority w:val="99"/>
    <w:rsid w:val="00E85988"/>
    <w:pPr>
      <w:widowControl w:val="0"/>
      <w:autoSpaceDE w:val="0"/>
      <w:autoSpaceDN w:val="0"/>
      <w:spacing w:after="0" w:line="240" w:lineRule="auto"/>
      <w:ind w:left="-1440"/>
    </w:pPr>
    <w:rPr>
      <w:rFonts w:ascii="Times New Roman" w:eastAsiaTheme="minorEastAsia" w:hAnsi="Times New Roman" w:cs="Times New Roman"/>
      <w:sz w:val="24"/>
      <w:szCs w:val="24"/>
    </w:rPr>
  </w:style>
  <w:style w:type="paragraph" w:styleId="Title">
    <w:name w:val="Title"/>
    <w:basedOn w:val="Normal"/>
    <w:link w:val="TitleChar"/>
    <w:uiPriority w:val="99"/>
    <w:qFormat/>
    <w:rsid w:val="00E85988"/>
    <w:pPr>
      <w:widowControl w:val="0"/>
      <w:autoSpaceDE w:val="0"/>
      <w:autoSpaceDN w:val="0"/>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E85988"/>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9"/>
    <w:rsid w:val="003F7C11"/>
    <w:rPr>
      <w:rFonts w:asciiTheme="majorHAnsi" w:eastAsiaTheme="majorEastAsia" w:hAnsiTheme="majorHAnsi" w:cstheme="majorBidi"/>
      <w:b/>
      <w:bCs/>
      <w:i/>
      <w:iCs/>
      <w:color w:val="4F81BD" w:themeColor="accent1"/>
    </w:rPr>
  </w:style>
  <w:style w:type="paragraph" w:styleId="Revision">
    <w:name w:val="Revision"/>
    <w:hidden/>
    <w:uiPriority w:val="99"/>
    <w:semiHidden/>
    <w:rsid w:val="0079040D"/>
    <w:pPr>
      <w:spacing w:after="0" w:line="240" w:lineRule="auto"/>
    </w:pPr>
  </w:style>
  <w:style w:type="paragraph" w:styleId="Bibliography">
    <w:name w:val="Bibliography"/>
    <w:basedOn w:val="Normal"/>
    <w:next w:val="Normal"/>
    <w:uiPriority w:val="37"/>
    <w:unhideWhenUsed/>
    <w:rsid w:val="000E3782"/>
  </w:style>
  <w:style w:type="paragraph" w:styleId="EndnoteText">
    <w:name w:val="endnote text"/>
    <w:basedOn w:val="Normal"/>
    <w:link w:val="EndnoteTextChar"/>
    <w:uiPriority w:val="99"/>
    <w:semiHidden/>
    <w:unhideWhenUsed/>
    <w:rsid w:val="00CA00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0047"/>
    <w:rPr>
      <w:sz w:val="20"/>
      <w:szCs w:val="20"/>
    </w:rPr>
  </w:style>
  <w:style w:type="character" w:styleId="EndnoteReference">
    <w:name w:val="endnote reference"/>
    <w:basedOn w:val="DefaultParagraphFont"/>
    <w:uiPriority w:val="99"/>
    <w:semiHidden/>
    <w:unhideWhenUsed/>
    <w:rsid w:val="00CA0047"/>
    <w:rPr>
      <w:vertAlign w:val="superscript"/>
    </w:rPr>
  </w:style>
  <w:style w:type="paragraph" w:styleId="IntenseQuote">
    <w:name w:val="Intense Quote"/>
    <w:basedOn w:val="Normal"/>
    <w:next w:val="Normal"/>
    <w:link w:val="IntenseQuoteChar"/>
    <w:uiPriority w:val="30"/>
    <w:qFormat/>
    <w:rsid w:val="00C942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425D"/>
    <w:rPr>
      <w:b/>
      <w:bCs/>
      <w:i/>
      <w:iCs/>
      <w:color w:val="4F81BD" w:themeColor="accent1"/>
    </w:rPr>
  </w:style>
  <w:style w:type="character" w:styleId="IntenseEmphasis">
    <w:name w:val="Intense Emphasis"/>
    <w:basedOn w:val="DefaultParagraphFont"/>
    <w:uiPriority w:val="21"/>
    <w:qFormat/>
    <w:rsid w:val="00043907"/>
    <w:rPr>
      <w:b/>
      <w:bCs/>
      <w:i/>
      <w:iCs/>
      <w:color w:val="4F81BD" w:themeColor="accent1"/>
    </w:rPr>
  </w:style>
  <w:style w:type="paragraph" w:styleId="Subtitle">
    <w:name w:val="Subtitle"/>
    <w:basedOn w:val="Normal"/>
    <w:next w:val="Normal"/>
    <w:link w:val="SubtitleChar"/>
    <w:uiPriority w:val="11"/>
    <w:qFormat/>
    <w:rsid w:val="00F71B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B8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044">
      <w:bodyDiv w:val="1"/>
      <w:marLeft w:val="0"/>
      <w:marRight w:val="0"/>
      <w:marTop w:val="0"/>
      <w:marBottom w:val="0"/>
      <w:divBdr>
        <w:top w:val="none" w:sz="0" w:space="0" w:color="auto"/>
        <w:left w:val="none" w:sz="0" w:space="0" w:color="auto"/>
        <w:bottom w:val="none" w:sz="0" w:space="0" w:color="auto"/>
        <w:right w:val="none" w:sz="0" w:space="0" w:color="auto"/>
      </w:divBdr>
    </w:div>
    <w:div w:id="13726909">
      <w:bodyDiv w:val="1"/>
      <w:marLeft w:val="0"/>
      <w:marRight w:val="0"/>
      <w:marTop w:val="0"/>
      <w:marBottom w:val="0"/>
      <w:divBdr>
        <w:top w:val="none" w:sz="0" w:space="0" w:color="auto"/>
        <w:left w:val="none" w:sz="0" w:space="0" w:color="auto"/>
        <w:bottom w:val="none" w:sz="0" w:space="0" w:color="auto"/>
        <w:right w:val="none" w:sz="0" w:space="0" w:color="auto"/>
      </w:divBdr>
    </w:div>
    <w:div w:id="29259921">
      <w:bodyDiv w:val="1"/>
      <w:marLeft w:val="0"/>
      <w:marRight w:val="0"/>
      <w:marTop w:val="0"/>
      <w:marBottom w:val="0"/>
      <w:divBdr>
        <w:top w:val="none" w:sz="0" w:space="0" w:color="auto"/>
        <w:left w:val="none" w:sz="0" w:space="0" w:color="auto"/>
        <w:bottom w:val="none" w:sz="0" w:space="0" w:color="auto"/>
        <w:right w:val="none" w:sz="0" w:space="0" w:color="auto"/>
      </w:divBdr>
    </w:div>
    <w:div w:id="133567573">
      <w:bodyDiv w:val="1"/>
      <w:marLeft w:val="0"/>
      <w:marRight w:val="0"/>
      <w:marTop w:val="0"/>
      <w:marBottom w:val="0"/>
      <w:divBdr>
        <w:top w:val="none" w:sz="0" w:space="0" w:color="auto"/>
        <w:left w:val="none" w:sz="0" w:space="0" w:color="auto"/>
        <w:bottom w:val="none" w:sz="0" w:space="0" w:color="auto"/>
        <w:right w:val="none" w:sz="0" w:space="0" w:color="auto"/>
      </w:divBdr>
    </w:div>
    <w:div w:id="136774371">
      <w:bodyDiv w:val="1"/>
      <w:marLeft w:val="0"/>
      <w:marRight w:val="0"/>
      <w:marTop w:val="0"/>
      <w:marBottom w:val="0"/>
      <w:divBdr>
        <w:top w:val="none" w:sz="0" w:space="0" w:color="auto"/>
        <w:left w:val="none" w:sz="0" w:space="0" w:color="auto"/>
        <w:bottom w:val="none" w:sz="0" w:space="0" w:color="auto"/>
        <w:right w:val="none" w:sz="0" w:space="0" w:color="auto"/>
      </w:divBdr>
    </w:div>
    <w:div w:id="160313891">
      <w:bodyDiv w:val="1"/>
      <w:marLeft w:val="0"/>
      <w:marRight w:val="0"/>
      <w:marTop w:val="0"/>
      <w:marBottom w:val="0"/>
      <w:divBdr>
        <w:top w:val="none" w:sz="0" w:space="0" w:color="auto"/>
        <w:left w:val="none" w:sz="0" w:space="0" w:color="auto"/>
        <w:bottom w:val="none" w:sz="0" w:space="0" w:color="auto"/>
        <w:right w:val="none" w:sz="0" w:space="0" w:color="auto"/>
      </w:divBdr>
    </w:div>
    <w:div w:id="177935032">
      <w:bodyDiv w:val="1"/>
      <w:marLeft w:val="0"/>
      <w:marRight w:val="0"/>
      <w:marTop w:val="0"/>
      <w:marBottom w:val="0"/>
      <w:divBdr>
        <w:top w:val="none" w:sz="0" w:space="0" w:color="auto"/>
        <w:left w:val="none" w:sz="0" w:space="0" w:color="auto"/>
        <w:bottom w:val="none" w:sz="0" w:space="0" w:color="auto"/>
        <w:right w:val="none" w:sz="0" w:space="0" w:color="auto"/>
      </w:divBdr>
    </w:div>
    <w:div w:id="184095317">
      <w:bodyDiv w:val="1"/>
      <w:marLeft w:val="0"/>
      <w:marRight w:val="0"/>
      <w:marTop w:val="0"/>
      <w:marBottom w:val="0"/>
      <w:divBdr>
        <w:top w:val="none" w:sz="0" w:space="0" w:color="auto"/>
        <w:left w:val="none" w:sz="0" w:space="0" w:color="auto"/>
        <w:bottom w:val="none" w:sz="0" w:space="0" w:color="auto"/>
        <w:right w:val="none" w:sz="0" w:space="0" w:color="auto"/>
      </w:divBdr>
    </w:div>
    <w:div w:id="196622704">
      <w:bodyDiv w:val="1"/>
      <w:marLeft w:val="0"/>
      <w:marRight w:val="0"/>
      <w:marTop w:val="0"/>
      <w:marBottom w:val="0"/>
      <w:divBdr>
        <w:top w:val="none" w:sz="0" w:space="0" w:color="auto"/>
        <w:left w:val="none" w:sz="0" w:space="0" w:color="auto"/>
        <w:bottom w:val="none" w:sz="0" w:space="0" w:color="auto"/>
        <w:right w:val="none" w:sz="0" w:space="0" w:color="auto"/>
      </w:divBdr>
    </w:div>
    <w:div w:id="215244437">
      <w:bodyDiv w:val="1"/>
      <w:marLeft w:val="0"/>
      <w:marRight w:val="0"/>
      <w:marTop w:val="0"/>
      <w:marBottom w:val="0"/>
      <w:divBdr>
        <w:top w:val="none" w:sz="0" w:space="0" w:color="auto"/>
        <w:left w:val="none" w:sz="0" w:space="0" w:color="auto"/>
        <w:bottom w:val="none" w:sz="0" w:space="0" w:color="auto"/>
        <w:right w:val="none" w:sz="0" w:space="0" w:color="auto"/>
      </w:divBdr>
    </w:div>
    <w:div w:id="222108589">
      <w:bodyDiv w:val="1"/>
      <w:marLeft w:val="0"/>
      <w:marRight w:val="0"/>
      <w:marTop w:val="0"/>
      <w:marBottom w:val="0"/>
      <w:divBdr>
        <w:top w:val="none" w:sz="0" w:space="0" w:color="auto"/>
        <w:left w:val="none" w:sz="0" w:space="0" w:color="auto"/>
        <w:bottom w:val="none" w:sz="0" w:space="0" w:color="auto"/>
        <w:right w:val="none" w:sz="0" w:space="0" w:color="auto"/>
      </w:divBdr>
    </w:div>
    <w:div w:id="233861562">
      <w:bodyDiv w:val="1"/>
      <w:marLeft w:val="0"/>
      <w:marRight w:val="0"/>
      <w:marTop w:val="0"/>
      <w:marBottom w:val="0"/>
      <w:divBdr>
        <w:top w:val="none" w:sz="0" w:space="0" w:color="auto"/>
        <w:left w:val="none" w:sz="0" w:space="0" w:color="auto"/>
        <w:bottom w:val="none" w:sz="0" w:space="0" w:color="auto"/>
        <w:right w:val="none" w:sz="0" w:space="0" w:color="auto"/>
      </w:divBdr>
    </w:div>
    <w:div w:id="252057987">
      <w:bodyDiv w:val="1"/>
      <w:marLeft w:val="0"/>
      <w:marRight w:val="0"/>
      <w:marTop w:val="0"/>
      <w:marBottom w:val="0"/>
      <w:divBdr>
        <w:top w:val="none" w:sz="0" w:space="0" w:color="auto"/>
        <w:left w:val="none" w:sz="0" w:space="0" w:color="auto"/>
        <w:bottom w:val="none" w:sz="0" w:space="0" w:color="auto"/>
        <w:right w:val="none" w:sz="0" w:space="0" w:color="auto"/>
      </w:divBdr>
    </w:div>
    <w:div w:id="275871416">
      <w:bodyDiv w:val="1"/>
      <w:marLeft w:val="0"/>
      <w:marRight w:val="0"/>
      <w:marTop w:val="0"/>
      <w:marBottom w:val="0"/>
      <w:divBdr>
        <w:top w:val="none" w:sz="0" w:space="0" w:color="auto"/>
        <w:left w:val="none" w:sz="0" w:space="0" w:color="auto"/>
        <w:bottom w:val="none" w:sz="0" w:space="0" w:color="auto"/>
        <w:right w:val="none" w:sz="0" w:space="0" w:color="auto"/>
      </w:divBdr>
    </w:div>
    <w:div w:id="365906598">
      <w:bodyDiv w:val="1"/>
      <w:marLeft w:val="0"/>
      <w:marRight w:val="0"/>
      <w:marTop w:val="0"/>
      <w:marBottom w:val="0"/>
      <w:divBdr>
        <w:top w:val="none" w:sz="0" w:space="0" w:color="auto"/>
        <w:left w:val="none" w:sz="0" w:space="0" w:color="auto"/>
        <w:bottom w:val="none" w:sz="0" w:space="0" w:color="auto"/>
        <w:right w:val="none" w:sz="0" w:space="0" w:color="auto"/>
      </w:divBdr>
    </w:div>
    <w:div w:id="415788355">
      <w:bodyDiv w:val="1"/>
      <w:marLeft w:val="0"/>
      <w:marRight w:val="0"/>
      <w:marTop w:val="0"/>
      <w:marBottom w:val="0"/>
      <w:divBdr>
        <w:top w:val="none" w:sz="0" w:space="0" w:color="auto"/>
        <w:left w:val="none" w:sz="0" w:space="0" w:color="auto"/>
        <w:bottom w:val="none" w:sz="0" w:space="0" w:color="auto"/>
        <w:right w:val="none" w:sz="0" w:space="0" w:color="auto"/>
      </w:divBdr>
    </w:div>
    <w:div w:id="436608291">
      <w:bodyDiv w:val="1"/>
      <w:marLeft w:val="0"/>
      <w:marRight w:val="0"/>
      <w:marTop w:val="0"/>
      <w:marBottom w:val="0"/>
      <w:divBdr>
        <w:top w:val="none" w:sz="0" w:space="0" w:color="auto"/>
        <w:left w:val="none" w:sz="0" w:space="0" w:color="auto"/>
        <w:bottom w:val="none" w:sz="0" w:space="0" w:color="auto"/>
        <w:right w:val="none" w:sz="0" w:space="0" w:color="auto"/>
      </w:divBdr>
    </w:div>
    <w:div w:id="467088606">
      <w:bodyDiv w:val="1"/>
      <w:marLeft w:val="0"/>
      <w:marRight w:val="0"/>
      <w:marTop w:val="0"/>
      <w:marBottom w:val="0"/>
      <w:divBdr>
        <w:top w:val="none" w:sz="0" w:space="0" w:color="auto"/>
        <w:left w:val="none" w:sz="0" w:space="0" w:color="auto"/>
        <w:bottom w:val="none" w:sz="0" w:space="0" w:color="auto"/>
        <w:right w:val="none" w:sz="0" w:space="0" w:color="auto"/>
      </w:divBdr>
    </w:div>
    <w:div w:id="532578087">
      <w:bodyDiv w:val="1"/>
      <w:marLeft w:val="0"/>
      <w:marRight w:val="0"/>
      <w:marTop w:val="0"/>
      <w:marBottom w:val="0"/>
      <w:divBdr>
        <w:top w:val="none" w:sz="0" w:space="0" w:color="auto"/>
        <w:left w:val="none" w:sz="0" w:space="0" w:color="auto"/>
        <w:bottom w:val="none" w:sz="0" w:space="0" w:color="auto"/>
        <w:right w:val="none" w:sz="0" w:space="0" w:color="auto"/>
      </w:divBdr>
    </w:div>
    <w:div w:id="542862193">
      <w:bodyDiv w:val="1"/>
      <w:marLeft w:val="0"/>
      <w:marRight w:val="0"/>
      <w:marTop w:val="0"/>
      <w:marBottom w:val="0"/>
      <w:divBdr>
        <w:top w:val="none" w:sz="0" w:space="0" w:color="auto"/>
        <w:left w:val="none" w:sz="0" w:space="0" w:color="auto"/>
        <w:bottom w:val="none" w:sz="0" w:space="0" w:color="auto"/>
        <w:right w:val="none" w:sz="0" w:space="0" w:color="auto"/>
      </w:divBdr>
    </w:div>
    <w:div w:id="559826264">
      <w:bodyDiv w:val="1"/>
      <w:marLeft w:val="0"/>
      <w:marRight w:val="0"/>
      <w:marTop w:val="0"/>
      <w:marBottom w:val="0"/>
      <w:divBdr>
        <w:top w:val="none" w:sz="0" w:space="0" w:color="auto"/>
        <w:left w:val="none" w:sz="0" w:space="0" w:color="auto"/>
        <w:bottom w:val="none" w:sz="0" w:space="0" w:color="auto"/>
        <w:right w:val="none" w:sz="0" w:space="0" w:color="auto"/>
      </w:divBdr>
    </w:div>
    <w:div w:id="603540449">
      <w:bodyDiv w:val="1"/>
      <w:marLeft w:val="0"/>
      <w:marRight w:val="0"/>
      <w:marTop w:val="0"/>
      <w:marBottom w:val="0"/>
      <w:divBdr>
        <w:top w:val="none" w:sz="0" w:space="0" w:color="auto"/>
        <w:left w:val="none" w:sz="0" w:space="0" w:color="auto"/>
        <w:bottom w:val="none" w:sz="0" w:space="0" w:color="auto"/>
        <w:right w:val="none" w:sz="0" w:space="0" w:color="auto"/>
      </w:divBdr>
    </w:div>
    <w:div w:id="635645859">
      <w:bodyDiv w:val="1"/>
      <w:marLeft w:val="0"/>
      <w:marRight w:val="0"/>
      <w:marTop w:val="0"/>
      <w:marBottom w:val="0"/>
      <w:divBdr>
        <w:top w:val="none" w:sz="0" w:space="0" w:color="auto"/>
        <w:left w:val="none" w:sz="0" w:space="0" w:color="auto"/>
        <w:bottom w:val="none" w:sz="0" w:space="0" w:color="auto"/>
        <w:right w:val="none" w:sz="0" w:space="0" w:color="auto"/>
      </w:divBdr>
    </w:div>
    <w:div w:id="649208953">
      <w:bodyDiv w:val="1"/>
      <w:marLeft w:val="0"/>
      <w:marRight w:val="0"/>
      <w:marTop w:val="0"/>
      <w:marBottom w:val="0"/>
      <w:divBdr>
        <w:top w:val="none" w:sz="0" w:space="0" w:color="auto"/>
        <w:left w:val="none" w:sz="0" w:space="0" w:color="auto"/>
        <w:bottom w:val="none" w:sz="0" w:space="0" w:color="auto"/>
        <w:right w:val="none" w:sz="0" w:space="0" w:color="auto"/>
      </w:divBdr>
    </w:div>
    <w:div w:id="718476145">
      <w:bodyDiv w:val="1"/>
      <w:marLeft w:val="0"/>
      <w:marRight w:val="0"/>
      <w:marTop w:val="0"/>
      <w:marBottom w:val="0"/>
      <w:divBdr>
        <w:top w:val="none" w:sz="0" w:space="0" w:color="auto"/>
        <w:left w:val="none" w:sz="0" w:space="0" w:color="auto"/>
        <w:bottom w:val="none" w:sz="0" w:space="0" w:color="auto"/>
        <w:right w:val="none" w:sz="0" w:space="0" w:color="auto"/>
      </w:divBdr>
    </w:div>
    <w:div w:id="805053083">
      <w:bodyDiv w:val="1"/>
      <w:marLeft w:val="0"/>
      <w:marRight w:val="0"/>
      <w:marTop w:val="0"/>
      <w:marBottom w:val="0"/>
      <w:divBdr>
        <w:top w:val="none" w:sz="0" w:space="0" w:color="auto"/>
        <w:left w:val="none" w:sz="0" w:space="0" w:color="auto"/>
        <w:bottom w:val="none" w:sz="0" w:space="0" w:color="auto"/>
        <w:right w:val="none" w:sz="0" w:space="0" w:color="auto"/>
      </w:divBdr>
    </w:div>
    <w:div w:id="897284575">
      <w:bodyDiv w:val="1"/>
      <w:marLeft w:val="0"/>
      <w:marRight w:val="0"/>
      <w:marTop w:val="0"/>
      <w:marBottom w:val="0"/>
      <w:divBdr>
        <w:top w:val="none" w:sz="0" w:space="0" w:color="auto"/>
        <w:left w:val="none" w:sz="0" w:space="0" w:color="auto"/>
        <w:bottom w:val="none" w:sz="0" w:space="0" w:color="auto"/>
        <w:right w:val="none" w:sz="0" w:space="0" w:color="auto"/>
      </w:divBdr>
    </w:div>
    <w:div w:id="924266708">
      <w:bodyDiv w:val="1"/>
      <w:marLeft w:val="0"/>
      <w:marRight w:val="0"/>
      <w:marTop w:val="0"/>
      <w:marBottom w:val="0"/>
      <w:divBdr>
        <w:top w:val="none" w:sz="0" w:space="0" w:color="auto"/>
        <w:left w:val="none" w:sz="0" w:space="0" w:color="auto"/>
        <w:bottom w:val="none" w:sz="0" w:space="0" w:color="auto"/>
        <w:right w:val="none" w:sz="0" w:space="0" w:color="auto"/>
      </w:divBdr>
    </w:div>
    <w:div w:id="941912792">
      <w:bodyDiv w:val="1"/>
      <w:marLeft w:val="0"/>
      <w:marRight w:val="0"/>
      <w:marTop w:val="0"/>
      <w:marBottom w:val="0"/>
      <w:divBdr>
        <w:top w:val="none" w:sz="0" w:space="0" w:color="auto"/>
        <w:left w:val="none" w:sz="0" w:space="0" w:color="auto"/>
        <w:bottom w:val="none" w:sz="0" w:space="0" w:color="auto"/>
        <w:right w:val="none" w:sz="0" w:space="0" w:color="auto"/>
      </w:divBdr>
    </w:div>
    <w:div w:id="1001813434">
      <w:bodyDiv w:val="1"/>
      <w:marLeft w:val="0"/>
      <w:marRight w:val="0"/>
      <w:marTop w:val="0"/>
      <w:marBottom w:val="0"/>
      <w:divBdr>
        <w:top w:val="none" w:sz="0" w:space="0" w:color="auto"/>
        <w:left w:val="none" w:sz="0" w:space="0" w:color="auto"/>
        <w:bottom w:val="none" w:sz="0" w:space="0" w:color="auto"/>
        <w:right w:val="none" w:sz="0" w:space="0" w:color="auto"/>
      </w:divBdr>
    </w:div>
    <w:div w:id="1050180483">
      <w:bodyDiv w:val="1"/>
      <w:marLeft w:val="0"/>
      <w:marRight w:val="0"/>
      <w:marTop w:val="0"/>
      <w:marBottom w:val="0"/>
      <w:divBdr>
        <w:top w:val="none" w:sz="0" w:space="0" w:color="auto"/>
        <w:left w:val="none" w:sz="0" w:space="0" w:color="auto"/>
        <w:bottom w:val="none" w:sz="0" w:space="0" w:color="auto"/>
        <w:right w:val="none" w:sz="0" w:space="0" w:color="auto"/>
      </w:divBdr>
    </w:div>
    <w:div w:id="1058168747">
      <w:bodyDiv w:val="1"/>
      <w:marLeft w:val="0"/>
      <w:marRight w:val="0"/>
      <w:marTop w:val="0"/>
      <w:marBottom w:val="0"/>
      <w:divBdr>
        <w:top w:val="none" w:sz="0" w:space="0" w:color="auto"/>
        <w:left w:val="none" w:sz="0" w:space="0" w:color="auto"/>
        <w:bottom w:val="none" w:sz="0" w:space="0" w:color="auto"/>
        <w:right w:val="none" w:sz="0" w:space="0" w:color="auto"/>
      </w:divBdr>
      <w:divsChild>
        <w:div w:id="1685134165">
          <w:marLeft w:val="1166"/>
          <w:marRight w:val="0"/>
          <w:marTop w:val="53"/>
          <w:marBottom w:val="0"/>
          <w:divBdr>
            <w:top w:val="none" w:sz="0" w:space="0" w:color="auto"/>
            <w:left w:val="none" w:sz="0" w:space="0" w:color="auto"/>
            <w:bottom w:val="none" w:sz="0" w:space="0" w:color="auto"/>
            <w:right w:val="none" w:sz="0" w:space="0" w:color="auto"/>
          </w:divBdr>
        </w:div>
        <w:div w:id="2108768106">
          <w:marLeft w:val="1166"/>
          <w:marRight w:val="0"/>
          <w:marTop w:val="53"/>
          <w:marBottom w:val="0"/>
          <w:divBdr>
            <w:top w:val="none" w:sz="0" w:space="0" w:color="auto"/>
            <w:left w:val="none" w:sz="0" w:space="0" w:color="auto"/>
            <w:bottom w:val="none" w:sz="0" w:space="0" w:color="auto"/>
            <w:right w:val="none" w:sz="0" w:space="0" w:color="auto"/>
          </w:divBdr>
        </w:div>
        <w:div w:id="524900834">
          <w:marLeft w:val="1166"/>
          <w:marRight w:val="0"/>
          <w:marTop w:val="53"/>
          <w:marBottom w:val="0"/>
          <w:divBdr>
            <w:top w:val="none" w:sz="0" w:space="0" w:color="auto"/>
            <w:left w:val="none" w:sz="0" w:space="0" w:color="auto"/>
            <w:bottom w:val="none" w:sz="0" w:space="0" w:color="auto"/>
            <w:right w:val="none" w:sz="0" w:space="0" w:color="auto"/>
          </w:divBdr>
        </w:div>
        <w:div w:id="47807568">
          <w:marLeft w:val="1166"/>
          <w:marRight w:val="0"/>
          <w:marTop w:val="53"/>
          <w:marBottom w:val="0"/>
          <w:divBdr>
            <w:top w:val="none" w:sz="0" w:space="0" w:color="auto"/>
            <w:left w:val="none" w:sz="0" w:space="0" w:color="auto"/>
            <w:bottom w:val="none" w:sz="0" w:space="0" w:color="auto"/>
            <w:right w:val="none" w:sz="0" w:space="0" w:color="auto"/>
          </w:divBdr>
        </w:div>
      </w:divsChild>
    </w:div>
    <w:div w:id="1073700345">
      <w:bodyDiv w:val="1"/>
      <w:marLeft w:val="0"/>
      <w:marRight w:val="0"/>
      <w:marTop w:val="0"/>
      <w:marBottom w:val="0"/>
      <w:divBdr>
        <w:top w:val="none" w:sz="0" w:space="0" w:color="auto"/>
        <w:left w:val="none" w:sz="0" w:space="0" w:color="auto"/>
        <w:bottom w:val="none" w:sz="0" w:space="0" w:color="auto"/>
        <w:right w:val="none" w:sz="0" w:space="0" w:color="auto"/>
      </w:divBdr>
    </w:div>
    <w:div w:id="1097747645">
      <w:bodyDiv w:val="1"/>
      <w:marLeft w:val="0"/>
      <w:marRight w:val="0"/>
      <w:marTop w:val="0"/>
      <w:marBottom w:val="0"/>
      <w:divBdr>
        <w:top w:val="none" w:sz="0" w:space="0" w:color="auto"/>
        <w:left w:val="none" w:sz="0" w:space="0" w:color="auto"/>
        <w:bottom w:val="none" w:sz="0" w:space="0" w:color="auto"/>
        <w:right w:val="none" w:sz="0" w:space="0" w:color="auto"/>
      </w:divBdr>
    </w:div>
    <w:div w:id="1113747874">
      <w:bodyDiv w:val="1"/>
      <w:marLeft w:val="0"/>
      <w:marRight w:val="0"/>
      <w:marTop w:val="0"/>
      <w:marBottom w:val="0"/>
      <w:divBdr>
        <w:top w:val="none" w:sz="0" w:space="0" w:color="auto"/>
        <w:left w:val="none" w:sz="0" w:space="0" w:color="auto"/>
        <w:bottom w:val="none" w:sz="0" w:space="0" w:color="auto"/>
        <w:right w:val="none" w:sz="0" w:space="0" w:color="auto"/>
      </w:divBdr>
    </w:div>
    <w:div w:id="1125924380">
      <w:bodyDiv w:val="1"/>
      <w:marLeft w:val="0"/>
      <w:marRight w:val="0"/>
      <w:marTop w:val="0"/>
      <w:marBottom w:val="0"/>
      <w:divBdr>
        <w:top w:val="none" w:sz="0" w:space="0" w:color="auto"/>
        <w:left w:val="none" w:sz="0" w:space="0" w:color="auto"/>
        <w:bottom w:val="none" w:sz="0" w:space="0" w:color="auto"/>
        <w:right w:val="none" w:sz="0" w:space="0" w:color="auto"/>
      </w:divBdr>
    </w:div>
    <w:div w:id="1215890755">
      <w:bodyDiv w:val="1"/>
      <w:marLeft w:val="0"/>
      <w:marRight w:val="0"/>
      <w:marTop w:val="0"/>
      <w:marBottom w:val="0"/>
      <w:divBdr>
        <w:top w:val="none" w:sz="0" w:space="0" w:color="auto"/>
        <w:left w:val="none" w:sz="0" w:space="0" w:color="auto"/>
        <w:bottom w:val="none" w:sz="0" w:space="0" w:color="auto"/>
        <w:right w:val="none" w:sz="0" w:space="0" w:color="auto"/>
      </w:divBdr>
    </w:div>
    <w:div w:id="1224441605">
      <w:bodyDiv w:val="1"/>
      <w:marLeft w:val="0"/>
      <w:marRight w:val="0"/>
      <w:marTop w:val="0"/>
      <w:marBottom w:val="0"/>
      <w:divBdr>
        <w:top w:val="none" w:sz="0" w:space="0" w:color="auto"/>
        <w:left w:val="none" w:sz="0" w:space="0" w:color="auto"/>
        <w:bottom w:val="none" w:sz="0" w:space="0" w:color="auto"/>
        <w:right w:val="none" w:sz="0" w:space="0" w:color="auto"/>
      </w:divBdr>
    </w:div>
    <w:div w:id="1232347908">
      <w:bodyDiv w:val="1"/>
      <w:marLeft w:val="0"/>
      <w:marRight w:val="0"/>
      <w:marTop w:val="0"/>
      <w:marBottom w:val="0"/>
      <w:divBdr>
        <w:top w:val="none" w:sz="0" w:space="0" w:color="auto"/>
        <w:left w:val="none" w:sz="0" w:space="0" w:color="auto"/>
        <w:bottom w:val="none" w:sz="0" w:space="0" w:color="auto"/>
        <w:right w:val="none" w:sz="0" w:space="0" w:color="auto"/>
      </w:divBdr>
    </w:div>
    <w:div w:id="1288464634">
      <w:bodyDiv w:val="1"/>
      <w:marLeft w:val="0"/>
      <w:marRight w:val="0"/>
      <w:marTop w:val="0"/>
      <w:marBottom w:val="0"/>
      <w:divBdr>
        <w:top w:val="none" w:sz="0" w:space="0" w:color="auto"/>
        <w:left w:val="none" w:sz="0" w:space="0" w:color="auto"/>
        <w:bottom w:val="none" w:sz="0" w:space="0" w:color="auto"/>
        <w:right w:val="none" w:sz="0" w:space="0" w:color="auto"/>
      </w:divBdr>
    </w:div>
    <w:div w:id="1329869849">
      <w:bodyDiv w:val="1"/>
      <w:marLeft w:val="0"/>
      <w:marRight w:val="0"/>
      <w:marTop w:val="0"/>
      <w:marBottom w:val="0"/>
      <w:divBdr>
        <w:top w:val="none" w:sz="0" w:space="0" w:color="auto"/>
        <w:left w:val="none" w:sz="0" w:space="0" w:color="auto"/>
        <w:bottom w:val="none" w:sz="0" w:space="0" w:color="auto"/>
        <w:right w:val="none" w:sz="0" w:space="0" w:color="auto"/>
      </w:divBdr>
    </w:div>
    <w:div w:id="1330980326">
      <w:bodyDiv w:val="1"/>
      <w:marLeft w:val="0"/>
      <w:marRight w:val="0"/>
      <w:marTop w:val="0"/>
      <w:marBottom w:val="0"/>
      <w:divBdr>
        <w:top w:val="none" w:sz="0" w:space="0" w:color="auto"/>
        <w:left w:val="none" w:sz="0" w:space="0" w:color="auto"/>
        <w:bottom w:val="none" w:sz="0" w:space="0" w:color="auto"/>
        <w:right w:val="none" w:sz="0" w:space="0" w:color="auto"/>
      </w:divBdr>
    </w:div>
    <w:div w:id="1345940672">
      <w:bodyDiv w:val="1"/>
      <w:marLeft w:val="0"/>
      <w:marRight w:val="0"/>
      <w:marTop w:val="0"/>
      <w:marBottom w:val="0"/>
      <w:divBdr>
        <w:top w:val="none" w:sz="0" w:space="0" w:color="auto"/>
        <w:left w:val="none" w:sz="0" w:space="0" w:color="auto"/>
        <w:bottom w:val="none" w:sz="0" w:space="0" w:color="auto"/>
        <w:right w:val="none" w:sz="0" w:space="0" w:color="auto"/>
      </w:divBdr>
    </w:div>
    <w:div w:id="1349680408">
      <w:bodyDiv w:val="1"/>
      <w:marLeft w:val="0"/>
      <w:marRight w:val="0"/>
      <w:marTop w:val="0"/>
      <w:marBottom w:val="0"/>
      <w:divBdr>
        <w:top w:val="none" w:sz="0" w:space="0" w:color="auto"/>
        <w:left w:val="none" w:sz="0" w:space="0" w:color="auto"/>
        <w:bottom w:val="none" w:sz="0" w:space="0" w:color="auto"/>
        <w:right w:val="none" w:sz="0" w:space="0" w:color="auto"/>
      </w:divBdr>
    </w:div>
    <w:div w:id="1488521562">
      <w:bodyDiv w:val="1"/>
      <w:marLeft w:val="0"/>
      <w:marRight w:val="0"/>
      <w:marTop w:val="0"/>
      <w:marBottom w:val="0"/>
      <w:divBdr>
        <w:top w:val="none" w:sz="0" w:space="0" w:color="auto"/>
        <w:left w:val="none" w:sz="0" w:space="0" w:color="auto"/>
        <w:bottom w:val="none" w:sz="0" w:space="0" w:color="auto"/>
        <w:right w:val="none" w:sz="0" w:space="0" w:color="auto"/>
      </w:divBdr>
    </w:div>
    <w:div w:id="1501921048">
      <w:bodyDiv w:val="1"/>
      <w:marLeft w:val="0"/>
      <w:marRight w:val="0"/>
      <w:marTop w:val="0"/>
      <w:marBottom w:val="0"/>
      <w:divBdr>
        <w:top w:val="none" w:sz="0" w:space="0" w:color="auto"/>
        <w:left w:val="none" w:sz="0" w:space="0" w:color="auto"/>
        <w:bottom w:val="none" w:sz="0" w:space="0" w:color="auto"/>
        <w:right w:val="none" w:sz="0" w:space="0" w:color="auto"/>
      </w:divBdr>
    </w:div>
    <w:div w:id="1520578800">
      <w:bodyDiv w:val="1"/>
      <w:marLeft w:val="0"/>
      <w:marRight w:val="0"/>
      <w:marTop w:val="0"/>
      <w:marBottom w:val="0"/>
      <w:divBdr>
        <w:top w:val="none" w:sz="0" w:space="0" w:color="auto"/>
        <w:left w:val="none" w:sz="0" w:space="0" w:color="auto"/>
        <w:bottom w:val="none" w:sz="0" w:space="0" w:color="auto"/>
        <w:right w:val="none" w:sz="0" w:space="0" w:color="auto"/>
      </w:divBdr>
    </w:div>
    <w:div w:id="1560096551">
      <w:bodyDiv w:val="1"/>
      <w:marLeft w:val="0"/>
      <w:marRight w:val="0"/>
      <w:marTop w:val="0"/>
      <w:marBottom w:val="0"/>
      <w:divBdr>
        <w:top w:val="none" w:sz="0" w:space="0" w:color="auto"/>
        <w:left w:val="none" w:sz="0" w:space="0" w:color="auto"/>
        <w:bottom w:val="none" w:sz="0" w:space="0" w:color="auto"/>
        <w:right w:val="none" w:sz="0" w:space="0" w:color="auto"/>
      </w:divBdr>
    </w:div>
    <w:div w:id="1593469790">
      <w:bodyDiv w:val="1"/>
      <w:marLeft w:val="0"/>
      <w:marRight w:val="0"/>
      <w:marTop w:val="0"/>
      <w:marBottom w:val="0"/>
      <w:divBdr>
        <w:top w:val="none" w:sz="0" w:space="0" w:color="auto"/>
        <w:left w:val="none" w:sz="0" w:space="0" w:color="auto"/>
        <w:bottom w:val="none" w:sz="0" w:space="0" w:color="auto"/>
        <w:right w:val="none" w:sz="0" w:space="0" w:color="auto"/>
      </w:divBdr>
    </w:div>
    <w:div w:id="1639529264">
      <w:bodyDiv w:val="1"/>
      <w:marLeft w:val="0"/>
      <w:marRight w:val="0"/>
      <w:marTop w:val="0"/>
      <w:marBottom w:val="0"/>
      <w:divBdr>
        <w:top w:val="none" w:sz="0" w:space="0" w:color="auto"/>
        <w:left w:val="none" w:sz="0" w:space="0" w:color="auto"/>
        <w:bottom w:val="none" w:sz="0" w:space="0" w:color="auto"/>
        <w:right w:val="none" w:sz="0" w:space="0" w:color="auto"/>
      </w:divBdr>
    </w:div>
    <w:div w:id="1659531009">
      <w:bodyDiv w:val="1"/>
      <w:marLeft w:val="0"/>
      <w:marRight w:val="0"/>
      <w:marTop w:val="0"/>
      <w:marBottom w:val="0"/>
      <w:divBdr>
        <w:top w:val="none" w:sz="0" w:space="0" w:color="auto"/>
        <w:left w:val="none" w:sz="0" w:space="0" w:color="auto"/>
        <w:bottom w:val="none" w:sz="0" w:space="0" w:color="auto"/>
        <w:right w:val="none" w:sz="0" w:space="0" w:color="auto"/>
      </w:divBdr>
    </w:div>
    <w:div w:id="1701471096">
      <w:bodyDiv w:val="1"/>
      <w:marLeft w:val="0"/>
      <w:marRight w:val="0"/>
      <w:marTop w:val="0"/>
      <w:marBottom w:val="0"/>
      <w:divBdr>
        <w:top w:val="none" w:sz="0" w:space="0" w:color="auto"/>
        <w:left w:val="none" w:sz="0" w:space="0" w:color="auto"/>
        <w:bottom w:val="none" w:sz="0" w:space="0" w:color="auto"/>
        <w:right w:val="none" w:sz="0" w:space="0" w:color="auto"/>
      </w:divBdr>
    </w:div>
    <w:div w:id="1703941053">
      <w:bodyDiv w:val="1"/>
      <w:marLeft w:val="0"/>
      <w:marRight w:val="0"/>
      <w:marTop w:val="0"/>
      <w:marBottom w:val="0"/>
      <w:divBdr>
        <w:top w:val="none" w:sz="0" w:space="0" w:color="auto"/>
        <w:left w:val="none" w:sz="0" w:space="0" w:color="auto"/>
        <w:bottom w:val="none" w:sz="0" w:space="0" w:color="auto"/>
        <w:right w:val="none" w:sz="0" w:space="0" w:color="auto"/>
      </w:divBdr>
    </w:div>
    <w:div w:id="1720935653">
      <w:bodyDiv w:val="1"/>
      <w:marLeft w:val="0"/>
      <w:marRight w:val="0"/>
      <w:marTop w:val="0"/>
      <w:marBottom w:val="0"/>
      <w:divBdr>
        <w:top w:val="none" w:sz="0" w:space="0" w:color="auto"/>
        <w:left w:val="none" w:sz="0" w:space="0" w:color="auto"/>
        <w:bottom w:val="none" w:sz="0" w:space="0" w:color="auto"/>
        <w:right w:val="none" w:sz="0" w:space="0" w:color="auto"/>
      </w:divBdr>
    </w:div>
    <w:div w:id="1812096938">
      <w:bodyDiv w:val="1"/>
      <w:marLeft w:val="0"/>
      <w:marRight w:val="0"/>
      <w:marTop w:val="0"/>
      <w:marBottom w:val="0"/>
      <w:divBdr>
        <w:top w:val="none" w:sz="0" w:space="0" w:color="auto"/>
        <w:left w:val="none" w:sz="0" w:space="0" w:color="auto"/>
        <w:bottom w:val="none" w:sz="0" w:space="0" w:color="auto"/>
        <w:right w:val="none" w:sz="0" w:space="0" w:color="auto"/>
      </w:divBdr>
    </w:div>
    <w:div w:id="1935933911">
      <w:bodyDiv w:val="1"/>
      <w:marLeft w:val="0"/>
      <w:marRight w:val="0"/>
      <w:marTop w:val="0"/>
      <w:marBottom w:val="0"/>
      <w:divBdr>
        <w:top w:val="none" w:sz="0" w:space="0" w:color="auto"/>
        <w:left w:val="none" w:sz="0" w:space="0" w:color="auto"/>
        <w:bottom w:val="none" w:sz="0" w:space="0" w:color="auto"/>
        <w:right w:val="none" w:sz="0" w:space="0" w:color="auto"/>
      </w:divBdr>
    </w:div>
    <w:div w:id="1990473171">
      <w:bodyDiv w:val="1"/>
      <w:marLeft w:val="0"/>
      <w:marRight w:val="0"/>
      <w:marTop w:val="0"/>
      <w:marBottom w:val="0"/>
      <w:divBdr>
        <w:top w:val="none" w:sz="0" w:space="0" w:color="auto"/>
        <w:left w:val="none" w:sz="0" w:space="0" w:color="auto"/>
        <w:bottom w:val="none" w:sz="0" w:space="0" w:color="auto"/>
        <w:right w:val="none" w:sz="0" w:space="0" w:color="auto"/>
      </w:divBdr>
    </w:div>
    <w:div w:id="19984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7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APA" Version="0">
  <b:Source>
    <b:Tag>Eck12</b:Tag>
    <b:SourceType>Misc</b:SourceType>
    <b:Guid>{4AFCB5D3-14C5-41B6-B62E-3C5C8BC43AAC}</b:Guid>
    <b:Title>Transfusion Safety Officer (TSO) What do they do? Is there a need in Ontario hospitals?</b:Title>
    <b:Year>2012</b:Year>
    <b:City>Toronto</b:City>
    <b:Author>
      <b:Author>
        <b:NameList>
          <b:Person>
            <b:Last>Eckert</b:Last>
            <b:First>Kathleen</b:First>
          </b:Person>
        </b:NameList>
      </b:Author>
    </b:Author>
    <b:Comments>Ontario Blood Advisory Committee Presentation</b:Comments>
    <b:Month>November</b:Month>
    <b:StateProvince>Ontario</b:StateProvince>
    <b:CountryRegion>Canada</b:CountryRegion>
    <b:RefOrder>2</b:RefOrder>
  </b:Source>
  <b:Source>
    <b:Tag>Ins15</b:Tag>
    <b:SourceType>DocumentFromInternetSite</b:SourceType>
    <b:Guid>{A686948F-F89E-456B-B6F8-F82893852327}</b:Guid>
    <b:Author>
      <b:Author>
        <b:Corporate>Institute for Safe Medication Practices</b:Corporate>
      </b:Author>
    </b:Author>
    <b:Title>ISMP's List of Error-Prone Abbreviations, Symbols and Dose Designations</b:Title>
    <b:Year>2015</b:Year>
    <b:YearAccessed>2016</b:YearAccessed>
    <b:MonthAccessed>October</b:MonthAccessed>
    <b:DayAccessed>4</b:DayAccessed>
    <b:URL>www.ismp-canada.org</b:URL>
    <b:InternetSiteTitle>ISMP Canada</b:InternetSiteTitle>
    <b:RefOrder>3</b:RefOrder>
  </b:Source>
  <b:Source>
    <b:Tag>ISM06</b:Tag>
    <b:SourceType>Misc</b:SourceType>
    <b:Guid>{7099E061-4070-488F-A705-D44D18175580}</b:Guid>
    <b:Year>2006</b:Year>
    <b:YearAccessed>2015</b:YearAccessed>
    <b:MonthAccessed>September</b:MonthAccessed>
    <b:DayAccessed>25</b:DayAccessed>
    <b:URL>www.ismp-canada.org/dangerousabbreviations.htm</b:URL>
    <b:Title>Do Not Use: Dangerous Abbreviations, Symbols and Dose Designations</b:Title>
    <b:Comments>LHSC Formulary</b:Comments>
    <b:Author>
      <b:Author>
        <b:Corporate>ISMP Canada</b:Corporate>
      </b:Author>
    </b:Author>
    <b:RefOrder>4</b:RefOrder>
  </b:Source>
  <b:Source>
    <b:Tag>CST11</b:Tag>
    <b:SourceType>Book</b:SourceType>
    <b:Guid>{70D5BD81-8595-4EC7-B8CC-82594116D451}</b:Guid>
    <b:Title>Standards for Hospital Transfusion Services</b:Title>
    <b:Year>2011</b:Year>
    <b:City>Ottawa</b:City>
    <b:Publisher>Canadian Society for Transfusion Medicine</b:Publisher>
    <b:Edition>Version 3</b:Edition>
    <b:Author>
      <b:Author>
        <b:Corporate>CSTM</b:Corporate>
      </b:Author>
    </b:Author>
    <b:StateProvince>Ontario</b:StateProvince>
    <b:RefOrder>7</b:RefOrder>
  </b:Source>
  <b:Source>
    <b:Tag>Can16</b:Tag>
    <b:SourceType>DocumentFromInternetSite</b:SourceType>
    <b:Guid>{8C892007-D4CC-4ADF-BE38-49F53712F26F}</b:Guid>
    <b:InternetSiteTitle>Candian Blood services</b:InternetSiteTitle>
    <b:Year>2016</b:Year>
    <b:YearAccessed>2016</b:YearAccessed>
    <b:MonthAccessed>September</b:MonthAccessed>
    <b:DayAccessed>4</b:DayAccessed>
    <b:URL>https://blood.ca/en/hospitals/circular-information</b:URL>
    <b:Author>
      <b:Author>
        <b:Corporate>Canadian Blood Services</b:Corporate>
      </b:Author>
    </b:Author>
    <b:RefOrder>15</b:RefOrder>
  </b:Source>
  <b:Source>
    <b:Tag>Cal11</b:Tag>
    <b:SourceType>Book</b:SourceType>
    <b:Guid>{801D3679-61E9-4DEB-B792-66E6088F29E6}</b:Guid>
    <b:Title>Bloody Easy 3</b:Title>
    <b:Year>2011</b:Year>
    <b:Author>
      <b:Author>
        <b:Corporate>Callum, J., Lin, Y., Pinkerton, P., Karkouti, K., Pendergrast, J., Robitaille, N., Webert, K.</b:Corporate>
      </b:Author>
    </b:Author>
    <b:City>Toronto</b:City>
    <b:Publisher>Ontario Blood Coordinating Network</b:Publisher>
    <b:Edition>Third</b:Edition>
    <b:RefOrder>5</b:RefOrder>
  </b:Source>
  <b:Source>
    <b:Tag>CSA</b:Tag>
    <b:SourceType>Misc</b:SourceType>
    <b:Guid>{8D769844-1BB3-4A23-86E0-EE478025A4DF}</b:Guid>
    <b:Author>
      <b:Author>
        <b:Corporate>Canadian Standards Association (CSA) Group</b:Corporate>
      </b:Author>
    </b:Author>
    <b:Year>2015</b:Year>
    <b:Title>Z902-15 Blood and blood components</b:Title>
    <b:Comments>Z902-15</b:Comments>
    <b:RefOrder>6</b:RefOrder>
  </b:Source>
  <b:Source>
    <b:Tag>Pop12</b:Tag>
    <b:SourceType>Book</b:SourceType>
    <b:Guid>{4FE1B9ED-6E96-45F3-83AF-7D94F7E57BCE}</b:Guid>
    <b:Author>
      <b:Author>
        <b:NameList>
          <b:Person>
            <b:Last>Popovsky</b:Last>
            <b:First>M.</b:First>
            <b:Middle>A.</b:Middle>
          </b:Person>
        </b:NameList>
      </b:Author>
    </b:Author>
    <b:Title>Transfusion Reactions</b:Title>
    <b:Year>2012</b:Year>
    <b:City>Bethesda</b:City>
    <b:Publisher>AABB press</b:Publisher>
    <b:StateProvince>Maryland</b:StateProvince>
    <b:CountryRegion>USA</b:CountryRegion>
    <b:Edition>4th</b:Edition>
    <b:RefOrder>8</b:RefOrder>
  </b:Source>
  <b:Source>
    <b:Tag>Nat15</b:Tag>
    <b:SourceType>DocumentFromInternetSite</b:SourceType>
    <b:Guid>{54585315-1B64-4960-B9C1-30514CD7595B}</b:Guid>
    <b:Author>
      <b:Author>
        <b:Corporate>National Advisory Committee</b:Corporate>
      </b:Author>
    </b:Author>
    <b:InternetSiteTitle>National Advisory Committee on Blood and Blood Products</b:InternetSiteTitle>
    <b:Year>2015</b:Year>
    <b:YearAccessed>2016</b:YearAccessed>
    <b:MonthAccessed>September</b:MonthAccessed>
    <b:URL>www.nacblood.ca/resources/guidelines/recall-recipient-notifications.html</b:URL>
    <b:RefOrder>16</b:RefOrder>
  </b:Source>
  <b:Source>
    <b:Tag>Ont162</b:Tag>
    <b:SourceType>Misc</b:SourceType>
    <b:Guid>{5CEF2E58-B739-43A2-9572-3C0F57A4E579}</b:Guid>
    <b:Author>
      <b:Author>
        <b:Corporate>Ontario Regional Blood Coordinating Network (ORBCoN)</b:Corporate>
      </b:Author>
    </b:Author>
    <b:Year>2016</b:Year>
    <b:Title>Transfusion Committee Handbook</b:Title>
    <b:Edition>Version 2</b:Edition>
    <b:RefOrder>10</b:RefOrder>
  </b:Source>
  <b:Source>
    <b:Tag>Can161</b:Tag>
    <b:SourceType>InternetSite</b:SourceType>
    <b:Guid>{CECA707B-358B-479B-A319-13ACF6D96AA5}</b:Guid>
    <b:Year>2016</b:Year>
    <b:Author>
      <b:Author>
        <b:Corporate>Canadian Society of Transfusion Medicine (CSTM)</b:Corporate>
      </b:Author>
    </b:Author>
    <b:YearAccessed>2016</b:YearAccessed>
    <b:MonthAccessed>October</b:MonthAccessed>
    <b:DayAccessed>17</b:DayAccessed>
    <b:URL>ww.transfusion.ca/About-CSTM/Mission-Vision</b:URL>
    <b:RefOrder>11</b:RefOrder>
  </b:Source>
  <b:Source>
    <b:Tag>Puc</b:Tag>
    <b:SourceType>Book</b:SourceType>
    <b:Guid>{D8F26A80-E5BA-48F5-A64C-A5060A2E3230}</b:Guid>
    <b:Title>Transfusion Medicine's Emerging Positions: Transfusion Safety Officers and Patient Blood Management Coordinators</b:Title>
    <b:Year>2013</b:Year>
    <b:City>Bethesda</b:City>
    <b:Publisher>AABB Press</b:Publisher>
    <b:Author>
      <b:Author>
        <b:NameList>
          <b:Person>
            <b:Last>Puca</b:Last>
            <b:Middle>E</b:Middle>
            <b:First>Kathleen</b:First>
          </b:Person>
          <b:Person>
            <b:Last>Johnson</b:Last>
            <b:Middle>T.</b:Middle>
            <b:First>Susan</b:First>
          </b:Person>
        </b:NameList>
      </b:Author>
    </b:Author>
    <b:RefOrder>1</b:RefOrder>
  </b:Source>
  <b:Source>
    <b:Tag>AAB16</b:Tag>
    <b:SourceType>InternetSite</b:SourceType>
    <b:Guid>{9508FCBB-E5E3-4DA2-B590-8622428D0D42}</b:Guid>
    <b:Year>2016</b:Year>
    <b:InternetSiteTitle>aaBB Advancing Transfusion and Cellular Therapies Worldwide</b:InternetSiteTitle>
    <b:YearAccessed>2016</b:YearAccessed>
    <b:URL>http://www.aabb.org/membership/join/Pages/default.aspx</b:URL>
    <b:Author>
      <b:Author>
        <b:Corporate>AABB</b:Corporate>
      </b:Author>
    </b:Author>
    <b:Month>11</b:Month>
    <b:Day>21</b:Day>
    <b:RefOrder>13</b:RefOrder>
  </b:Source>
  <b:Source>
    <b:Tag>Tra16</b:Tag>
    <b:SourceType>InternetSite</b:SourceType>
    <b:Guid>{EF57B300-E5DD-4F6C-926C-811C2EC0B670}</b:Guid>
    <b:InternetSiteTitle>Canada's Transfusion Safety Officers</b:InternetSiteTitle>
    <b:Year>2002-2016</b:Year>
    <b:YearAccessed>2016</b:YearAccessed>
    <b:MonthAccessed>Novemeber</b:MonthAccessed>
    <b:DayAccessed>21</b:DayAccessed>
    <b:URL>http://transfusionsafety.ca/</b:URL>
    <b:Title>Transfusion Safety</b:Title>
    <b:RefOrder>12</b:RefOrder>
  </b:Source>
  <b:Source>
    <b:Tag>Nat151</b:Tag>
    <b:SourceType>InternetSite</b:SourceType>
    <b:Guid>{2B9D7100-6A4E-4748-9903-6FF671942146}</b:Guid>
    <b:Author>
      <b:Author>
        <b:Corporate>National Advisory Committee on Blood &amp; Blood Products &amp; Canadian Blood Services</b:Corporate>
      </b:Author>
    </b:Author>
    <b:InternetSiteTitle>National Advisory Committee on Blood &amp; Blood Products</b:InternetSiteTitle>
    <b:Year>2015</b:Year>
    <b:YearAccessed>2016</b:YearAccessed>
    <b:MonthAccessed>November</b:MonthAccessed>
    <b:DayAccessed>29</b:DayAccessed>
    <b:URL>http://www.nacblood.ca/resources/guidelines/Recommendations-for-the-Notification-of-Recipients-2015-07-14.pdf</b:URL>
    <b:RefOrder>9</b:RefOrder>
  </b:Source>
  <b:Source>
    <b:Tag>Ont163</b:Tag>
    <b:SourceType>InternetSite</b:SourceType>
    <b:Guid>{4C86845C-839E-4A42-8E58-272D7ED64B73}</b:Guid>
    <b:Author>
      <b:Author>
        <b:NameList>
          <b:Person>
            <b:Last>Network</b:Last>
            <b:First>Ontario</b:First>
            <b:Middle>Blood Coordinating</b:Middle>
          </b:Person>
        </b:NameList>
      </b:Author>
    </b:Author>
    <b:InternetSiteTitle>ORBCoN</b:InternetSiteTitle>
    <b:Year>2016</b:Year>
    <b:YearAccessed>2016</b:YearAccessed>
    <b:MonthAccessed>November</b:MonthAccessed>
    <b:URL>http://transfusionontario.org</b:URL>
    <b:RefOrder>14</b:RefOrder>
  </b:Source>
</b:Sources>
</file>

<file path=customXml/itemProps1.xml><?xml version="1.0" encoding="utf-8"?>
<ds:datastoreItem xmlns:ds="http://schemas.openxmlformats.org/officeDocument/2006/customXml" ds:itemID="{45AC1419-7153-48DD-9B67-348E8483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 De Biasio</dc:creator>
  <cp:lastModifiedBy>Nesrallah, Heather</cp:lastModifiedBy>
  <cp:revision>3</cp:revision>
  <cp:lastPrinted>2017-02-21T14:00:00Z</cp:lastPrinted>
  <dcterms:created xsi:type="dcterms:W3CDTF">2017-02-22T19:58:00Z</dcterms:created>
  <dcterms:modified xsi:type="dcterms:W3CDTF">2017-02-22T20:02:00Z</dcterms:modified>
</cp:coreProperties>
</file>