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8C" w:rsidRDefault="00936AEA" w:rsidP="00936AEA">
      <w:pPr>
        <w:jc w:val="center"/>
        <w:rPr>
          <w:b/>
        </w:rPr>
      </w:pPr>
      <w:bookmarkStart w:id="0" w:name="_GoBack"/>
      <w:bookmarkEnd w:id="0"/>
      <w:r>
        <w:rPr>
          <w:b/>
        </w:rPr>
        <w:t>XXXXX Hospital/Health Centre</w:t>
      </w:r>
    </w:p>
    <w:p w:rsidR="00936AEA" w:rsidRDefault="00936AEA" w:rsidP="00936AEA">
      <w:pPr>
        <w:jc w:val="center"/>
        <w:rPr>
          <w:b/>
        </w:rPr>
      </w:pPr>
      <w:r>
        <w:rPr>
          <w:b/>
        </w:rPr>
        <w:t>BLOOD COMPONENT OR PRODUCT ADMINISTRATION GUIDELINES/MONOGRAPHS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6AEA" w:rsidTr="00936AEA">
        <w:tc>
          <w:tcPr>
            <w:tcW w:w="3192" w:type="dxa"/>
            <w:shd w:val="clear" w:color="auto" w:fill="F2F2F2" w:themeFill="background1" w:themeFillShade="F2"/>
          </w:tcPr>
          <w:p w:rsidR="00936AEA" w:rsidRPr="00936AEA" w:rsidRDefault="00936AEA" w:rsidP="00936AEA">
            <w:pPr>
              <w:rPr>
                <w:b/>
              </w:rPr>
            </w:pPr>
            <w:r>
              <w:rPr>
                <w:b/>
              </w:rPr>
              <w:t>Blood Comp/Product Name:</w:t>
            </w:r>
          </w:p>
        </w:tc>
        <w:tc>
          <w:tcPr>
            <w:tcW w:w="3192" w:type="dxa"/>
            <w:vMerge w:val="restart"/>
            <w:shd w:val="clear" w:color="auto" w:fill="F2F2F2" w:themeFill="background1" w:themeFillShade="F2"/>
          </w:tcPr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  <w:p w:rsidR="00936AEA" w:rsidRDefault="00936AEA" w:rsidP="00936AEA">
            <w:pPr>
              <w:rPr>
                <w:b/>
              </w:rPr>
            </w:pPr>
          </w:p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>Date Approved:</w:t>
            </w:r>
          </w:p>
          <w:p w:rsidR="00936AEA" w:rsidRDefault="00936AEA" w:rsidP="00936AEA">
            <w:pPr>
              <w:rPr>
                <w:b/>
              </w:rPr>
            </w:pPr>
          </w:p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>Effective Date:</w:t>
            </w:r>
          </w:p>
          <w:p w:rsidR="00936AEA" w:rsidRPr="00936AEA" w:rsidRDefault="00936AEA" w:rsidP="00936AEA">
            <w:pPr>
              <w:rPr>
                <w:b/>
              </w:rPr>
            </w:pPr>
          </w:p>
        </w:tc>
        <w:tc>
          <w:tcPr>
            <w:tcW w:w="3192" w:type="dxa"/>
            <w:vMerge w:val="restart"/>
            <w:shd w:val="clear" w:color="auto" w:fill="F2F2F2" w:themeFill="background1" w:themeFillShade="F2"/>
          </w:tcPr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>Page 1 of 3</w:t>
            </w:r>
          </w:p>
          <w:p w:rsidR="00936AEA" w:rsidRDefault="00936AEA" w:rsidP="00936AEA">
            <w:pPr>
              <w:rPr>
                <w:b/>
              </w:rPr>
            </w:pPr>
          </w:p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 xml:space="preserve">Document #: </w:t>
            </w:r>
            <w:proofErr w:type="spellStart"/>
            <w:r>
              <w:rPr>
                <w:b/>
              </w:rPr>
              <w:t>xxxx</w:t>
            </w:r>
            <w:proofErr w:type="spellEnd"/>
          </w:p>
          <w:p w:rsidR="00936AEA" w:rsidRDefault="00936AEA" w:rsidP="00936AEA">
            <w:pPr>
              <w:rPr>
                <w:b/>
              </w:rPr>
            </w:pPr>
          </w:p>
          <w:p w:rsidR="00936AEA" w:rsidRPr="00936AEA" w:rsidRDefault="00936AEA" w:rsidP="00936AEA">
            <w:pPr>
              <w:rPr>
                <w:b/>
              </w:rPr>
            </w:pPr>
            <w:r>
              <w:rPr>
                <w:b/>
              </w:rPr>
              <w:t>Version #: v2</w:t>
            </w:r>
          </w:p>
        </w:tc>
      </w:tr>
      <w:tr w:rsidR="00936AEA" w:rsidTr="00936AEA">
        <w:tc>
          <w:tcPr>
            <w:tcW w:w="3192" w:type="dxa"/>
          </w:tcPr>
          <w:p w:rsidR="00936AEA" w:rsidRDefault="00936AEA" w:rsidP="00936AEA">
            <w:r>
              <w:t>Fibrinogen Concentrate (Human)</w:t>
            </w:r>
          </w:p>
          <w:p w:rsidR="00936AEA" w:rsidRPr="00936AEA" w:rsidRDefault="00936AEA" w:rsidP="00936AEA">
            <w:r>
              <w:t>Other names: RiaSTAP</w:t>
            </w:r>
          </w:p>
        </w:tc>
        <w:tc>
          <w:tcPr>
            <w:tcW w:w="3192" w:type="dxa"/>
            <w:vMerge/>
          </w:tcPr>
          <w:p w:rsidR="00936AEA" w:rsidRDefault="00936AEA" w:rsidP="00936AEA">
            <w:pPr>
              <w:jc w:val="center"/>
              <w:rPr>
                <w:b/>
              </w:rPr>
            </w:pPr>
          </w:p>
        </w:tc>
        <w:tc>
          <w:tcPr>
            <w:tcW w:w="3192" w:type="dxa"/>
            <w:vMerge/>
          </w:tcPr>
          <w:p w:rsidR="00936AEA" w:rsidRDefault="00936AEA" w:rsidP="00936AEA">
            <w:pPr>
              <w:jc w:val="center"/>
              <w:rPr>
                <w:b/>
              </w:rPr>
            </w:pPr>
          </w:p>
        </w:tc>
      </w:tr>
    </w:tbl>
    <w:p w:rsidR="00936AEA" w:rsidRDefault="00936AEA" w:rsidP="00936AE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36AEA" w:rsidTr="00D747C0">
        <w:tc>
          <w:tcPr>
            <w:tcW w:w="2538" w:type="dxa"/>
          </w:tcPr>
          <w:p w:rsidR="00D747C0" w:rsidRDefault="00936AEA" w:rsidP="00936AEA">
            <w:pPr>
              <w:rPr>
                <w:b/>
              </w:rPr>
            </w:pPr>
            <w:r>
              <w:rPr>
                <w:b/>
              </w:rPr>
              <w:t>Classification/</w:t>
            </w:r>
            <w:r w:rsidR="00D747C0">
              <w:rPr>
                <w:b/>
              </w:rPr>
              <w:t xml:space="preserve"> </w:t>
            </w:r>
          </w:p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>Indications</w:t>
            </w:r>
          </w:p>
        </w:tc>
        <w:tc>
          <w:tcPr>
            <w:tcW w:w="7038" w:type="dxa"/>
          </w:tcPr>
          <w:p w:rsidR="00936AEA" w:rsidRDefault="00833D1D" w:rsidP="00941DDA">
            <w:r>
              <w:t>RiaSTAP is a pasteurized, lyophilized, preservative free fibrinogen concentrate derived from human plasma.</w:t>
            </w:r>
            <w:r w:rsidR="008C636B">
              <w:t xml:space="preserve"> The product is reconstituted with sterile water and also contains human albumin, L-arginine hydrochloride, sodium chloride and sodium citrate</w:t>
            </w:r>
          </w:p>
          <w:p w:rsidR="00833D1D" w:rsidRDefault="00833D1D" w:rsidP="00941DDA">
            <w:r>
              <w:t xml:space="preserve">It is used for the treatment of congenital fibrinogen deficiency in: </w:t>
            </w:r>
          </w:p>
          <w:p w:rsidR="008C636B" w:rsidRDefault="008C636B" w:rsidP="008C636B">
            <w:pPr>
              <w:pStyle w:val="ListParagraph"/>
              <w:numPr>
                <w:ilvl w:val="0"/>
                <w:numId w:val="1"/>
              </w:numPr>
            </w:pPr>
            <w:r>
              <w:t>Afibrinogenemia</w:t>
            </w:r>
          </w:p>
          <w:p w:rsidR="008C636B" w:rsidRPr="00941DDA" w:rsidRDefault="008C636B" w:rsidP="008C636B">
            <w:pPr>
              <w:pStyle w:val="ListParagraph"/>
              <w:numPr>
                <w:ilvl w:val="0"/>
                <w:numId w:val="1"/>
              </w:numPr>
            </w:pPr>
            <w:r>
              <w:t xml:space="preserve">Hypofibrinogenemia </w:t>
            </w:r>
          </w:p>
        </w:tc>
      </w:tr>
      <w:tr w:rsidR="00936AEA" w:rsidTr="00D747C0">
        <w:tc>
          <w:tcPr>
            <w:tcW w:w="2538" w:type="dxa"/>
          </w:tcPr>
          <w:p w:rsidR="00936AEA" w:rsidRDefault="00AD3BA5" w:rsidP="00936AEA">
            <w:pPr>
              <w:rPr>
                <w:b/>
              </w:rPr>
            </w:pPr>
            <w:r>
              <w:rPr>
                <w:b/>
              </w:rPr>
              <w:t>Precautions/</w:t>
            </w:r>
            <w:r w:rsidR="00D747C0">
              <w:rPr>
                <w:b/>
              </w:rPr>
              <w:t xml:space="preserve"> </w:t>
            </w:r>
            <w:r w:rsidR="00936AEA">
              <w:rPr>
                <w:b/>
              </w:rPr>
              <w:t>Contraindications</w:t>
            </w:r>
          </w:p>
        </w:tc>
        <w:tc>
          <w:tcPr>
            <w:tcW w:w="7038" w:type="dxa"/>
          </w:tcPr>
          <w:p w:rsidR="008C636B" w:rsidRDefault="008C636B" w:rsidP="00941DDA">
            <w:r>
              <w:t>There is a risk of thrombosis when patients are treated with this product, particularly with high and/or repeated dosing.</w:t>
            </w:r>
            <w:r w:rsidR="00AD3BA5">
              <w:t xml:space="preserve"> Use with caution in pregnant and nursing women, neonates and pediatrics and the elderly due to insufficient safety studies.</w:t>
            </w:r>
            <w:r w:rsidR="00A42A68">
              <w:t xml:space="preserve"> There are no known drug interactions.</w:t>
            </w:r>
          </w:p>
          <w:p w:rsidR="00936AEA" w:rsidRDefault="008C636B" w:rsidP="00941DDA">
            <w:r>
              <w:t>Do not use:</w:t>
            </w:r>
          </w:p>
          <w:p w:rsidR="008C636B" w:rsidRPr="00941DDA" w:rsidRDefault="008C636B" w:rsidP="00AD3BA5">
            <w:pPr>
              <w:pStyle w:val="ListParagraph"/>
              <w:numPr>
                <w:ilvl w:val="0"/>
                <w:numId w:val="2"/>
              </w:numPr>
            </w:pPr>
            <w:r>
              <w:t>In patients who are hypersensitive to the drug or any of the components in the formulation</w:t>
            </w:r>
          </w:p>
        </w:tc>
      </w:tr>
      <w:tr w:rsidR="00936AEA" w:rsidTr="00D747C0">
        <w:tc>
          <w:tcPr>
            <w:tcW w:w="2538" w:type="dxa"/>
          </w:tcPr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>Supplied</w:t>
            </w:r>
          </w:p>
        </w:tc>
        <w:tc>
          <w:tcPr>
            <w:tcW w:w="7038" w:type="dxa"/>
          </w:tcPr>
          <w:p w:rsidR="00936AEA" w:rsidRPr="00941DDA" w:rsidRDefault="00AD3BA5" w:rsidP="00AD3BA5">
            <w:r>
              <w:t xml:space="preserve">Supplied in single dose vials of 1 g fibrinogen with 50 mL of sterile water for reconstitution. This </w:t>
            </w:r>
            <w:r w:rsidR="00A42A68">
              <w:t xml:space="preserve">unconstituted </w:t>
            </w:r>
            <w:r>
              <w:t>product is stored at 2-25°C</w:t>
            </w:r>
            <w:r w:rsidR="00A42A68">
              <w:t xml:space="preserve"> (refrigerator or room temperature)</w:t>
            </w:r>
            <w:r>
              <w:t xml:space="preserve"> and has a shelf life of 60 months. Do not freeze or expose to the light.</w:t>
            </w:r>
          </w:p>
        </w:tc>
      </w:tr>
      <w:tr w:rsidR="00936AEA" w:rsidTr="00D747C0">
        <w:tc>
          <w:tcPr>
            <w:tcW w:w="2538" w:type="dxa"/>
          </w:tcPr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7038" w:type="dxa"/>
          </w:tcPr>
          <w:p w:rsidR="00D747C0" w:rsidRDefault="00D747C0" w:rsidP="00941DDA">
            <w:r>
              <w:t>Once reconstituted, the injection will contain approximately 20 mg/mL.</w:t>
            </w:r>
          </w:p>
          <w:p w:rsidR="00D747C0" w:rsidRDefault="00D747C0" w:rsidP="00941DDA">
            <w:r>
              <w:t>Do</w:t>
            </w:r>
            <w:r w:rsidR="00A42A68">
              <w:t>s</w:t>
            </w:r>
            <w:r>
              <w:t>age is</w:t>
            </w:r>
            <w:r w:rsidR="00A42A68">
              <w:t xml:space="preserve"> dependent on the patient’s fibrinogen level and clinical condition.  </w:t>
            </w:r>
          </w:p>
          <w:p w:rsidR="00936AEA" w:rsidRDefault="00A42A68" w:rsidP="00941DDA">
            <w:r>
              <w:t>Suggested target is 1 g/L of fibrinogen for minor bleeding and 1.5 g/L for major bleeding. Maintain levels until hemostasis is reached.</w:t>
            </w:r>
          </w:p>
          <w:p w:rsidR="00A42A68" w:rsidRDefault="00A42A68" w:rsidP="00941DDA">
            <w:r>
              <w:t xml:space="preserve">INITIAL DOSE: </w:t>
            </w:r>
            <w:r w:rsidR="00F20854">
              <w:t>in normal weight adults: 3,000 – 4,000 mg or 70 mg/kg</w:t>
            </w:r>
          </w:p>
          <w:p w:rsidR="00D747C0" w:rsidRDefault="00F20854" w:rsidP="00941DDA">
            <w:r>
              <w:t>SUBSEQUENT DOSES if fibrinogen level is known:  Dose in mg =</w:t>
            </w:r>
          </w:p>
          <w:p w:rsidR="00F20854" w:rsidRPr="00941DDA" w:rsidRDefault="00F20854" w:rsidP="00D747C0">
            <w:r>
              <w:t xml:space="preserve"> </w:t>
            </w:r>
            <w:proofErr w:type="gramStart"/>
            <w:r>
              <w:t>[</w:t>
            </w:r>
            <w:r w:rsidR="00D747C0">
              <w:t xml:space="preserve"> (</w:t>
            </w:r>
            <w:proofErr w:type="gramEnd"/>
            <w:r>
              <w:t xml:space="preserve">Target </w:t>
            </w:r>
            <w:r w:rsidR="00FC3768">
              <w:t>level</w:t>
            </w:r>
            <w:r w:rsidR="00D747C0">
              <w:t xml:space="preserve"> g/L – Measured level g/L ) ÷ 0.017</w:t>
            </w:r>
            <w:r>
              <w:t xml:space="preserve"> ]</w:t>
            </w:r>
            <w:r w:rsidR="00D747C0">
              <w:t xml:space="preserve"> x Patient weigh (kg). Can round to the nearest thousand.</w:t>
            </w:r>
          </w:p>
        </w:tc>
      </w:tr>
      <w:tr w:rsidR="00936AEA" w:rsidTr="00D747C0">
        <w:tc>
          <w:tcPr>
            <w:tcW w:w="2538" w:type="dxa"/>
          </w:tcPr>
          <w:p w:rsidR="00D747C0" w:rsidRDefault="00936AEA" w:rsidP="00936AEA">
            <w:pPr>
              <w:rPr>
                <w:b/>
              </w:rPr>
            </w:pPr>
            <w:r>
              <w:rPr>
                <w:b/>
              </w:rPr>
              <w:t>Reconstitution/</w:t>
            </w:r>
            <w:r w:rsidR="00D747C0">
              <w:rPr>
                <w:b/>
              </w:rPr>
              <w:t xml:space="preserve">   </w:t>
            </w:r>
          </w:p>
          <w:p w:rsidR="00936AEA" w:rsidRDefault="00936AEA" w:rsidP="00936AEA">
            <w:pPr>
              <w:rPr>
                <w:b/>
              </w:rPr>
            </w:pPr>
            <w:r>
              <w:rPr>
                <w:b/>
              </w:rPr>
              <w:t>Stability</w:t>
            </w:r>
          </w:p>
        </w:tc>
        <w:tc>
          <w:tcPr>
            <w:tcW w:w="7038" w:type="dxa"/>
          </w:tcPr>
          <w:p w:rsidR="00D747C0" w:rsidRDefault="00D747C0" w:rsidP="00D747C0">
            <w:r>
              <w:t>Reconstitute as follows:</w:t>
            </w:r>
          </w:p>
          <w:p w:rsidR="00D747C0" w:rsidRDefault="00D747C0" w:rsidP="00D747C0">
            <w:r>
              <w:t xml:space="preserve">1. </w:t>
            </w:r>
            <w:r w:rsidR="00F20854">
              <w:t>Bring vials to room te</w:t>
            </w:r>
            <w:r>
              <w:t>mperature before reconstituting</w:t>
            </w:r>
          </w:p>
          <w:p w:rsidR="00D747C0" w:rsidRDefault="00D747C0" w:rsidP="00D747C0">
            <w:r>
              <w:t>2. Reconstitute with the 50 mL of sterile water diluent provided</w:t>
            </w:r>
          </w:p>
          <w:p w:rsidR="007A4848" w:rsidRDefault="00D747C0" w:rsidP="00D747C0">
            <w:r>
              <w:t>3.</w:t>
            </w:r>
            <w:r w:rsidR="007A4848">
              <w:t xml:space="preserve"> Remove cap from lyophilized product to expose central portion of stopper</w:t>
            </w:r>
          </w:p>
          <w:p w:rsidR="007A4848" w:rsidRDefault="007A4848" w:rsidP="00D747C0">
            <w:r>
              <w:t>4. Clean stopper surface with antiseptic and allow to dry</w:t>
            </w:r>
          </w:p>
          <w:p w:rsidR="00936AEA" w:rsidRPr="00941DDA" w:rsidRDefault="00F20854" w:rsidP="007A4848">
            <w:r>
              <w:t xml:space="preserve"> </w:t>
            </w:r>
          </w:p>
        </w:tc>
      </w:tr>
    </w:tbl>
    <w:p w:rsidR="00936AEA" w:rsidRDefault="00936AEA" w:rsidP="00936AE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7A4848" w:rsidRPr="00941DDA" w:rsidTr="00992EDB">
        <w:tc>
          <w:tcPr>
            <w:tcW w:w="2538" w:type="dxa"/>
          </w:tcPr>
          <w:p w:rsidR="007A4848" w:rsidRDefault="007A4848" w:rsidP="00992ED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Reconstitution/ </w:t>
            </w:r>
          </w:p>
          <w:p w:rsidR="007A4848" w:rsidRDefault="007A4848" w:rsidP="00992EDB">
            <w:pPr>
              <w:rPr>
                <w:b/>
              </w:rPr>
            </w:pPr>
            <w:r>
              <w:rPr>
                <w:b/>
              </w:rPr>
              <w:t>Stability</w:t>
            </w:r>
          </w:p>
        </w:tc>
        <w:tc>
          <w:tcPr>
            <w:tcW w:w="7038" w:type="dxa"/>
          </w:tcPr>
          <w:p w:rsidR="007A4848" w:rsidRDefault="007A4848" w:rsidP="007A4848">
            <w:r>
              <w:t>5. Using a transfer device or syringe, transfer the full 50 mL of diluent (sterile water) into the product vial</w:t>
            </w:r>
          </w:p>
          <w:p w:rsidR="007A4848" w:rsidRDefault="007A4848" w:rsidP="007A4848">
            <w:r>
              <w:t>6. Gently swirl the product vial until the product is fully dissolved. Usually takes 5-10 minutes. Do not shake the vial as it creates foaming</w:t>
            </w:r>
          </w:p>
          <w:p w:rsidR="007A4848" w:rsidRDefault="007A4848" w:rsidP="007A4848"/>
          <w:p w:rsidR="005658AD" w:rsidRDefault="005658AD" w:rsidP="007A4848">
            <w:r>
              <w:t>Inspect product.  It should appear clear and colourless to slightly opalescent. Discard if particulate matter is present or if it is discoloured.</w:t>
            </w:r>
          </w:p>
          <w:p w:rsidR="005658AD" w:rsidRDefault="005658AD" w:rsidP="007A4848"/>
          <w:p w:rsidR="007A4848" w:rsidRPr="00941DDA" w:rsidRDefault="007A4848" w:rsidP="005658AD">
            <w:r>
              <w:t xml:space="preserve">Store reconstituted product at room temperature for a maximum of 8 hours. </w:t>
            </w:r>
            <w:r w:rsidR="005658AD">
              <w:t xml:space="preserve">Do not refrigerate or freeze. </w:t>
            </w:r>
            <w:r>
              <w:t xml:space="preserve">Product should be administered </w:t>
            </w:r>
            <w:r w:rsidR="005658AD">
              <w:t>as soon as possible</w:t>
            </w:r>
            <w:r>
              <w:t>.</w:t>
            </w:r>
          </w:p>
        </w:tc>
      </w:tr>
      <w:tr w:rsidR="007A4848" w:rsidRPr="00941DDA" w:rsidTr="00992EDB">
        <w:tc>
          <w:tcPr>
            <w:tcW w:w="2538" w:type="dxa"/>
          </w:tcPr>
          <w:p w:rsidR="007A4848" w:rsidRDefault="007A4848" w:rsidP="00992EDB">
            <w:pPr>
              <w:rPr>
                <w:b/>
              </w:rPr>
            </w:pPr>
            <w:r>
              <w:rPr>
                <w:b/>
              </w:rPr>
              <w:t>Compatibilities/</w:t>
            </w:r>
          </w:p>
          <w:p w:rsidR="007A4848" w:rsidRDefault="007A4848" w:rsidP="00992EDB">
            <w:pPr>
              <w:rPr>
                <w:b/>
              </w:rPr>
            </w:pPr>
            <w:r>
              <w:rPr>
                <w:b/>
              </w:rPr>
              <w:t>Incompatibilities</w:t>
            </w:r>
          </w:p>
        </w:tc>
        <w:tc>
          <w:tcPr>
            <w:tcW w:w="7038" w:type="dxa"/>
          </w:tcPr>
          <w:p w:rsidR="007A4848" w:rsidRDefault="005658AD" w:rsidP="005658AD">
            <w:r>
              <w:t>Only reconstitute with the sterilized water diluent provided.</w:t>
            </w:r>
          </w:p>
          <w:p w:rsidR="005658AD" w:rsidRDefault="005658AD" w:rsidP="005658AD">
            <w:r>
              <w:t>Do not mix or infuse with any other product, solution or drug.</w:t>
            </w:r>
          </w:p>
          <w:p w:rsidR="005658AD" w:rsidRPr="00941DDA" w:rsidRDefault="00685CDE" w:rsidP="00685CDE">
            <w:r>
              <w:t xml:space="preserve">The sodium content may </w:t>
            </w:r>
            <w:proofErr w:type="gramStart"/>
            <w:r>
              <w:t xml:space="preserve">exceed </w:t>
            </w:r>
            <w:r w:rsidR="005658AD">
              <w:t xml:space="preserve"> 200</w:t>
            </w:r>
            <w:proofErr w:type="gramEnd"/>
            <w:r w:rsidR="005658AD">
              <w:t xml:space="preserve"> mg </w:t>
            </w:r>
            <w:r>
              <w:t>per treatment</w:t>
            </w:r>
            <w:r w:rsidR="005658AD">
              <w:t>, so use with caution in patients with sodium restrictions.</w:t>
            </w:r>
          </w:p>
        </w:tc>
      </w:tr>
      <w:tr w:rsidR="007A4848" w:rsidRPr="00941DDA" w:rsidTr="00992EDB">
        <w:tc>
          <w:tcPr>
            <w:tcW w:w="2538" w:type="dxa"/>
          </w:tcPr>
          <w:p w:rsidR="007A4848" w:rsidRDefault="005658AD" w:rsidP="00992EDB">
            <w:pPr>
              <w:rPr>
                <w:b/>
              </w:rPr>
            </w:pPr>
            <w:r>
              <w:rPr>
                <w:b/>
              </w:rPr>
              <w:t>Administration/</w:t>
            </w:r>
          </w:p>
          <w:p w:rsidR="005658AD" w:rsidRDefault="005658AD" w:rsidP="00992EDB">
            <w:pPr>
              <w:rPr>
                <w:b/>
              </w:rPr>
            </w:pPr>
            <w:r>
              <w:rPr>
                <w:b/>
              </w:rPr>
              <w:t>Identification</w:t>
            </w:r>
          </w:p>
        </w:tc>
        <w:tc>
          <w:tcPr>
            <w:tcW w:w="7038" w:type="dxa"/>
          </w:tcPr>
          <w:p w:rsidR="007A4848" w:rsidRDefault="005658AD" w:rsidP="00992EDB">
            <w:r>
              <w:t>Positively identify</w:t>
            </w:r>
            <w:r w:rsidR="00685CDE">
              <w:t xml:space="preserve"> and/or confirm</w:t>
            </w:r>
            <w:r>
              <w:t>, before product administration:</w:t>
            </w:r>
          </w:p>
          <w:p w:rsidR="005658AD" w:rsidRDefault="00685CDE" w:rsidP="005658AD">
            <w:pPr>
              <w:pStyle w:val="ListParagraph"/>
              <w:numPr>
                <w:ilvl w:val="0"/>
                <w:numId w:val="2"/>
              </w:numPr>
            </w:pPr>
            <w:r>
              <w:t>The recipient</w:t>
            </w:r>
          </w:p>
          <w:p w:rsidR="00685CDE" w:rsidRDefault="00685CDE" w:rsidP="005658AD">
            <w:pPr>
              <w:pStyle w:val="ListParagraph"/>
              <w:numPr>
                <w:ilvl w:val="0"/>
                <w:numId w:val="2"/>
              </w:numPr>
            </w:pPr>
            <w:r>
              <w:t>The product</w:t>
            </w:r>
          </w:p>
          <w:p w:rsidR="00685CDE" w:rsidRDefault="00685CDE" w:rsidP="005658AD">
            <w:pPr>
              <w:pStyle w:val="ListParagraph"/>
              <w:numPr>
                <w:ilvl w:val="0"/>
                <w:numId w:val="2"/>
              </w:numPr>
            </w:pPr>
            <w:r>
              <w:t>The order and dose</w:t>
            </w:r>
          </w:p>
          <w:p w:rsidR="00685CDE" w:rsidRDefault="00685CDE" w:rsidP="005658AD">
            <w:pPr>
              <w:pStyle w:val="ListParagraph"/>
              <w:numPr>
                <w:ilvl w:val="0"/>
                <w:numId w:val="2"/>
              </w:numPr>
            </w:pPr>
            <w:r>
              <w:t>Informed consent has been obtained</w:t>
            </w:r>
          </w:p>
          <w:p w:rsidR="00685CDE" w:rsidRPr="00941DDA" w:rsidRDefault="00685CDE" w:rsidP="00685CDE">
            <w:r>
              <w:t>ABO and Rh is not a concern with this product. No transfusion medicine testing (e.g. group and screen, crossmatch) is required.</w:t>
            </w:r>
          </w:p>
        </w:tc>
      </w:tr>
      <w:tr w:rsidR="005658AD" w:rsidRPr="00941DDA" w:rsidTr="00992EDB">
        <w:tc>
          <w:tcPr>
            <w:tcW w:w="2538" w:type="dxa"/>
          </w:tcPr>
          <w:p w:rsidR="005658AD" w:rsidRDefault="005658AD" w:rsidP="00992EDB">
            <w:pPr>
              <w:rPr>
                <w:b/>
              </w:rPr>
            </w:pPr>
            <w:r>
              <w:rPr>
                <w:b/>
              </w:rPr>
              <w:t>Administration-method</w:t>
            </w:r>
          </w:p>
        </w:tc>
        <w:tc>
          <w:tcPr>
            <w:tcW w:w="7038" w:type="dxa"/>
          </w:tcPr>
          <w:p w:rsidR="005658AD" w:rsidRDefault="00685CDE" w:rsidP="00992EDB">
            <w:r>
              <w:t>Product should be at room temperature.</w:t>
            </w:r>
          </w:p>
          <w:p w:rsidR="00685CDE" w:rsidRDefault="00685CDE" w:rsidP="00992EDB">
            <w:r>
              <w:t>Use a separate injection site and do not mix with any other substances.</w:t>
            </w:r>
          </w:p>
          <w:p w:rsidR="00685CDE" w:rsidRDefault="00685CDE" w:rsidP="00992EDB">
            <w:r>
              <w:t>Administer product intravenously. Do not exceed 5 mL per minute (100 mg/minute).</w:t>
            </w:r>
          </w:p>
          <w:p w:rsidR="00035B13" w:rsidRDefault="00035B13" w:rsidP="00992EDB">
            <w:r>
              <w:t>Discard any partially used product.</w:t>
            </w:r>
          </w:p>
          <w:p w:rsidR="00685CDE" w:rsidRDefault="00685CDE" w:rsidP="00992EDB">
            <w:r>
              <w:t>Observe and monitor at least:</w:t>
            </w:r>
          </w:p>
          <w:p w:rsidR="00685CDE" w:rsidRDefault="00685CDE" w:rsidP="00685CDE">
            <w:pPr>
              <w:pStyle w:val="ListParagraph"/>
              <w:numPr>
                <w:ilvl w:val="0"/>
                <w:numId w:val="3"/>
              </w:numPr>
            </w:pPr>
            <w:r>
              <w:t>Before the infusion</w:t>
            </w:r>
          </w:p>
          <w:p w:rsidR="00685CDE" w:rsidRDefault="00685CDE" w:rsidP="00685CDE">
            <w:pPr>
              <w:pStyle w:val="ListParagraph"/>
              <w:numPr>
                <w:ilvl w:val="0"/>
                <w:numId w:val="3"/>
              </w:numPr>
            </w:pPr>
            <w:r>
              <w:t>During infusion</w:t>
            </w:r>
          </w:p>
          <w:p w:rsidR="00685CDE" w:rsidRDefault="00685CDE" w:rsidP="00685CDE">
            <w:pPr>
              <w:pStyle w:val="ListParagraph"/>
              <w:numPr>
                <w:ilvl w:val="0"/>
                <w:numId w:val="3"/>
              </w:numPr>
            </w:pPr>
            <w:r>
              <w:t>At the end of infusion</w:t>
            </w:r>
          </w:p>
          <w:p w:rsidR="00685CDE" w:rsidRPr="00941DDA" w:rsidRDefault="00685CDE" w:rsidP="00685CDE">
            <w:pPr>
              <w:pStyle w:val="ListParagraph"/>
              <w:numPr>
                <w:ilvl w:val="0"/>
                <w:numId w:val="3"/>
              </w:numPr>
            </w:pPr>
            <w:r>
              <w:t>During any reactions to the product</w:t>
            </w:r>
          </w:p>
        </w:tc>
      </w:tr>
      <w:tr w:rsidR="005658AD" w:rsidRPr="00941DDA" w:rsidTr="00992EDB">
        <w:tc>
          <w:tcPr>
            <w:tcW w:w="2538" w:type="dxa"/>
          </w:tcPr>
          <w:p w:rsidR="005658AD" w:rsidRDefault="005658AD" w:rsidP="00992EDB">
            <w:pPr>
              <w:rPr>
                <w:b/>
              </w:rPr>
            </w:pPr>
            <w:r>
              <w:rPr>
                <w:b/>
              </w:rPr>
              <w:t>Adverse Events</w:t>
            </w:r>
          </w:p>
          <w:p w:rsidR="00685CDE" w:rsidRDefault="00035B13" w:rsidP="00035B13">
            <w:pPr>
              <w:pStyle w:val="ListParagraph"/>
              <w:numPr>
                <w:ilvl w:val="0"/>
                <w:numId w:val="4"/>
              </w:numPr>
            </w:pPr>
            <w:r w:rsidRPr="00035B13">
              <w:t>Stop</w:t>
            </w:r>
            <w:r>
              <w:t xml:space="preserve"> the infusion</w:t>
            </w:r>
          </w:p>
          <w:p w:rsidR="00035B13" w:rsidRDefault="00035B13" w:rsidP="00035B13">
            <w:pPr>
              <w:pStyle w:val="ListParagraph"/>
              <w:numPr>
                <w:ilvl w:val="0"/>
                <w:numId w:val="4"/>
              </w:numPr>
            </w:pPr>
            <w:r>
              <w:t>Notify physician</w:t>
            </w:r>
          </w:p>
          <w:p w:rsidR="00035B13" w:rsidRDefault="00035B13" w:rsidP="00035B13">
            <w:pPr>
              <w:pStyle w:val="ListParagraph"/>
              <w:numPr>
                <w:ilvl w:val="0"/>
                <w:numId w:val="4"/>
              </w:numPr>
            </w:pPr>
            <w:r>
              <w:t>Treat symptoms</w:t>
            </w:r>
          </w:p>
          <w:p w:rsidR="00035B13" w:rsidRDefault="00035B13" w:rsidP="00035B13">
            <w:pPr>
              <w:pStyle w:val="ListParagraph"/>
              <w:numPr>
                <w:ilvl w:val="0"/>
                <w:numId w:val="4"/>
              </w:numPr>
            </w:pPr>
            <w:r>
              <w:t>Notify TM laboratory</w:t>
            </w:r>
          </w:p>
          <w:p w:rsidR="00035B13" w:rsidRPr="00035B13" w:rsidRDefault="00035B13" w:rsidP="00035B13">
            <w:pPr>
              <w:pStyle w:val="ListParagraph"/>
              <w:numPr>
                <w:ilvl w:val="0"/>
                <w:numId w:val="4"/>
              </w:numPr>
            </w:pPr>
            <w:r>
              <w:t>Follow transfusion reaction policy</w:t>
            </w:r>
          </w:p>
        </w:tc>
        <w:tc>
          <w:tcPr>
            <w:tcW w:w="7038" w:type="dxa"/>
          </w:tcPr>
          <w:p w:rsidR="005658AD" w:rsidRDefault="00035B13" w:rsidP="00992EDB">
            <w:r>
              <w:t>Although rare with this product, the most common reactions are allergic ones (rash) and generalized reactions such as chills, fever, nausea and vomiting.</w:t>
            </w:r>
          </w:p>
          <w:p w:rsidR="00035B13" w:rsidRDefault="00035B13" w:rsidP="00992EDB">
            <w:r>
              <w:t>More serious, but rare events include:</w:t>
            </w:r>
          </w:p>
          <w:p w:rsidR="00035B13" w:rsidRDefault="00035B13" w:rsidP="00035B13">
            <w:pPr>
              <w:pStyle w:val="ListParagraph"/>
              <w:numPr>
                <w:ilvl w:val="0"/>
                <w:numId w:val="5"/>
              </w:numPr>
            </w:pPr>
            <w:r>
              <w:t>Anaphylaxis</w:t>
            </w:r>
          </w:p>
          <w:p w:rsidR="00035B13" w:rsidRPr="00941DDA" w:rsidRDefault="00035B13" w:rsidP="00035B13">
            <w:pPr>
              <w:pStyle w:val="ListParagraph"/>
              <w:numPr>
                <w:ilvl w:val="0"/>
                <w:numId w:val="5"/>
              </w:numPr>
            </w:pPr>
            <w:r>
              <w:t>Thrombotic events: myocardial infarction, pulmonary embolism, deep vein thrombosis and arterial thrombosis</w:t>
            </w:r>
          </w:p>
        </w:tc>
      </w:tr>
    </w:tbl>
    <w:p w:rsidR="007A4848" w:rsidRDefault="007A4848" w:rsidP="00035B13">
      <w:pPr>
        <w:rPr>
          <w:b/>
        </w:rPr>
      </w:pPr>
    </w:p>
    <w:p w:rsidR="00936AEA" w:rsidRDefault="00936AEA" w:rsidP="00936AEA">
      <w:pPr>
        <w:jc w:val="center"/>
        <w:rPr>
          <w:b/>
        </w:rPr>
      </w:pPr>
    </w:p>
    <w:p w:rsidR="00936AEA" w:rsidRDefault="00936AEA" w:rsidP="00936AEA">
      <w:pPr>
        <w:jc w:val="center"/>
        <w:rPr>
          <w:b/>
        </w:rPr>
      </w:pPr>
    </w:p>
    <w:p w:rsidR="00936AEA" w:rsidRPr="00936AEA" w:rsidRDefault="00936AEA" w:rsidP="00936AEA">
      <w:pPr>
        <w:jc w:val="center"/>
        <w:rPr>
          <w:b/>
        </w:rPr>
      </w:pPr>
    </w:p>
    <w:sectPr w:rsidR="00936AEA" w:rsidRPr="00936A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EA" w:rsidRDefault="00936AEA" w:rsidP="00936AEA">
      <w:pPr>
        <w:spacing w:after="0" w:line="240" w:lineRule="auto"/>
      </w:pPr>
      <w:r>
        <w:separator/>
      </w:r>
    </w:p>
  </w:endnote>
  <w:endnote w:type="continuationSeparator" w:id="0">
    <w:p w:rsidR="00936AEA" w:rsidRDefault="00936AEA" w:rsidP="0093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EA" w:rsidRDefault="00936AEA">
    <w:pPr>
      <w:pStyle w:val="Footer"/>
    </w:pPr>
    <w:r>
      <w:t>DISCLAIMER NOTE: This template for Component or Product Monograph has been prepared solely as an example of the type of information that may be included in a document of this nature. It must not be used for the content on</w:t>
    </w:r>
    <w:r w:rsidR="00941DDA">
      <w:t xml:space="preserve"> Fibrinogen Concentrates, even as a reference document.</w:t>
    </w:r>
  </w:p>
  <w:p w:rsidR="00941DDA" w:rsidRDefault="00941DDA" w:rsidP="00941DDA">
    <w:pPr>
      <w:pStyle w:val="Footer"/>
    </w:pPr>
    <w:proofErr w:type="gramStart"/>
    <w:r>
      <w:t>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EA" w:rsidRDefault="00936AEA" w:rsidP="00936AEA">
      <w:pPr>
        <w:spacing w:after="0" w:line="240" w:lineRule="auto"/>
      </w:pPr>
      <w:r>
        <w:separator/>
      </w:r>
    </w:p>
  </w:footnote>
  <w:footnote w:type="continuationSeparator" w:id="0">
    <w:p w:rsidR="00936AEA" w:rsidRDefault="00936AEA" w:rsidP="0093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EA" w:rsidRPr="00936AEA" w:rsidRDefault="00936AEA">
    <w:pPr>
      <w:pStyle w:val="Header"/>
      <w:rPr>
        <w:b/>
      </w:rPr>
    </w:pPr>
    <w:r>
      <w:rPr>
        <w:b/>
      </w:rPr>
      <w:t>Appendix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F20"/>
    <w:multiLevelType w:val="hybridMultilevel"/>
    <w:tmpl w:val="AB428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A2408"/>
    <w:multiLevelType w:val="hybridMultilevel"/>
    <w:tmpl w:val="F9B2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56D9A"/>
    <w:multiLevelType w:val="hybridMultilevel"/>
    <w:tmpl w:val="D034D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95A00"/>
    <w:multiLevelType w:val="hybridMultilevel"/>
    <w:tmpl w:val="0EA66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84012A"/>
    <w:multiLevelType w:val="hybridMultilevel"/>
    <w:tmpl w:val="9BC42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A"/>
    <w:rsid w:val="00035B13"/>
    <w:rsid w:val="00051B38"/>
    <w:rsid w:val="001C6D38"/>
    <w:rsid w:val="005658AD"/>
    <w:rsid w:val="00685CDE"/>
    <w:rsid w:val="007744B1"/>
    <w:rsid w:val="007A4848"/>
    <w:rsid w:val="00833D1D"/>
    <w:rsid w:val="008C636B"/>
    <w:rsid w:val="00936AEA"/>
    <w:rsid w:val="00941DDA"/>
    <w:rsid w:val="00A42A68"/>
    <w:rsid w:val="00AD3BA5"/>
    <w:rsid w:val="00D747C0"/>
    <w:rsid w:val="00F20854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EA"/>
  </w:style>
  <w:style w:type="paragraph" w:styleId="Footer">
    <w:name w:val="footer"/>
    <w:basedOn w:val="Normal"/>
    <w:link w:val="FooterChar"/>
    <w:uiPriority w:val="99"/>
    <w:unhideWhenUsed/>
    <w:rsid w:val="0093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EA"/>
  </w:style>
  <w:style w:type="table" w:styleId="TableGrid">
    <w:name w:val="Table Grid"/>
    <w:basedOn w:val="TableNormal"/>
    <w:uiPriority w:val="59"/>
    <w:rsid w:val="0093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EA"/>
  </w:style>
  <w:style w:type="paragraph" w:styleId="Footer">
    <w:name w:val="footer"/>
    <w:basedOn w:val="Normal"/>
    <w:link w:val="FooterChar"/>
    <w:uiPriority w:val="99"/>
    <w:unhideWhenUsed/>
    <w:rsid w:val="0093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EA"/>
  </w:style>
  <w:style w:type="table" w:styleId="TableGrid">
    <w:name w:val="Table Grid"/>
    <w:basedOn w:val="TableNormal"/>
    <w:uiPriority w:val="59"/>
    <w:rsid w:val="0093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Evanovitch, Denise</dc:creator>
  <cp:lastModifiedBy>Evanovitch, Denise</cp:lastModifiedBy>
  <cp:revision>2</cp:revision>
  <dcterms:created xsi:type="dcterms:W3CDTF">2018-08-27T18:02:00Z</dcterms:created>
  <dcterms:modified xsi:type="dcterms:W3CDTF">2018-08-27T18:02:00Z</dcterms:modified>
</cp:coreProperties>
</file>