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E9" w:rsidRPr="009A3E5C" w:rsidRDefault="001273E9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bookmarkStart w:id="0" w:name="_GoBack"/>
      <w:bookmarkEnd w:id="0"/>
      <w:r w:rsidRPr="000248F9">
        <w:rPr>
          <w:rFonts w:ascii="Arial" w:hAnsi="Arial"/>
          <w:b/>
          <w:color w:val="000000"/>
          <w:sz w:val="28"/>
          <w:lang w:val="fr-CA"/>
        </w:rPr>
        <w:t>P</w:t>
      </w:r>
      <w:r w:rsidRPr="009A3E5C">
        <w:rPr>
          <w:rFonts w:ascii="Arial" w:hAnsi="Arial"/>
          <w:b/>
          <w:color w:val="000000"/>
          <w:sz w:val="28"/>
          <w:lang w:val="fr-CA"/>
        </w:rPr>
        <w:t>rincipe</w:t>
      </w:r>
    </w:p>
    <w:p w:rsidR="001273E9" w:rsidRPr="009A3E5C" w:rsidRDefault="001273E9">
      <w:pPr>
        <w:rPr>
          <w:rFonts w:ascii="Arial" w:hAnsi="Arial"/>
          <w:b/>
          <w:color w:val="000000"/>
          <w:sz w:val="24"/>
          <w:lang w:val="fr-CA"/>
        </w:rPr>
      </w:pPr>
    </w:p>
    <w:p w:rsidR="001273E9" w:rsidRPr="009A3E5C" w:rsidRDefault="00FA0253" w:rsidP="00FA0253">
      <w:pPr>
        <w:pStyle w:val="BodyTextIndent"/>
        <w:rPr>
          <w:color w:val="000000"/>
          <w:lang w:val="fr-CA"/>
        </w:rPr>
      </w:pPr>
      <w:r w:rsidRPr="009A3E5C">
        <w:rPr>
          <w:color w:val="000000"/>
          <w:lang w:val="fr-CA"/>
        </w:rPr>
        <w:t xml:space="preserve">Tout bon système de gestion de la qualité comporte des directives précises sur la conservation des documents; c'est aussi une exigence provinciale préalable à la délivrance d'un permis. </w:t>
      </w:r>
    </w:p>
    <w:p w:rsidR="001273E9" w:rsidRPr="009A3E5C" w:rsidRDefault="001273E9">
      <w:pPr>
        <w:ind w:left="720"/>
        <w:rPr>
          <w:rFonts w:ascii="Arial" w:hAnsi="Arial"/>
          <w:color w:val="000000"/>
          <w:sz w:val="24"/>
          <w:lang w:val="fr-CA"/>
        </w:rPr>
      </w:pPr>
    </w:p>
    <w:p w:rsidR="001273E9" w:rsidRPr="009A3E5C" w:rsidRDefault="00FA0253" w:rsidP="00FA0253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9A3E5C">
        <w:rPr>
          <w:rFonts w:ascii="Arial" w:hAnsi="Arial"/>
          <w:b/>
          <w:color w:val="000000"/>
          <w:sz w:val="28"/>
          <w:lang w:val="fr-CA"/>
        </w:rPr>
        <w:t>Portée et politiques connexes</w:t>
      </w:r>
      <w:r w:rsidR="000F613A">
        <w:rPr>
          <w:rFonts w:ascii="Arial" w:hAnsi="Arial"/>
          <w:b/>
          <w:color w:val="000000"/>
          <w:sz w:val="28"/>
          <w:lang w:val="fr-CA"/>
        </w:rPr>
        <w:t xml:space="preserve"> – S.O.</w:t>
      </w:r>
      <w:r w:rsidR="00B96FA7">
        <w:rPr>
          <w:rFonts w:ascii="Arial" w:hAnsi="Arial"/>
          <w:b/>
          <w:color w:val="000000"/>
          <w:sz w:val="28"/>
          <w:lang w:val="fr-CA"/>
        </w:rPr>
        <w:br/>
      </w:r>
    </w:p>
    <w:p w:rsidR="001273E9" w:rsidRPr="009A3E5C" w:rsidRDefault="00FA0253" w:rsidP="00FA0253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9A3E5C">
        <w:rPr>
          <w:rFonts w:ascii="Arial" w:hAnsi="Arial"/>
          <w:b/>
          <w:color w:val="000000"/>
          <w:sz w:val="28"/>
          <w:lang w:val="fr-CA"/>
        </w:rPr>
        <w:t xml:space="preserve">Échantillons </w:t>
      </w:r>
      <w:r w:rsidR="00523EA1" w:rsidRPr="00D757D2">
        <w:rPr>
          <w:rFonts w:ascii="Arial" w:hAnsi="Arial"/>
          <w:b/>
          <w:color w:val="000000"/>
          <w:sz w:val="28"/>
          <w:lang w:val="fr-CA"/>
        </w:rPr>
        <w:t xml:space="preserve">– </w:t>
      </w:r>
      <w:r w:rsidRPr="009A3E5C">
        <w:rPr>
          <w:rFonts w:ascii="Arial" w:hAnsi="Arial"/>
          <w:b/>
          <w:color w:val="000000"/>
          <w:sz w:val="28"/>
          <w:lang w:val="fr-CA"/>
        </w:rPr>
        <w:t>S.O.</w:t>
      </w:r>
    </w:p>
    <w:p w:rsidR="001273E9" w:rsidRPr="009A3E5C" w:rsidRDefault="001273E9">
      <w:pPr>
        <w:ind w:left="720"/>
        <w:rPr>
          <w:rFonts w:ascii="Arial" w:hAnsi="Arial"/>
          <w:color w:val="000000"/>
          <w:sz w:val="24"/>
          <w:lang w:val="fr-CA"/>
        </w:rPr>
      </w:pPr>
    </w:p>
    <w:p w:rsidR="001273E9" w:rsidRPr="009A3E5C" w:rsidRDefault="00FA0253" w:rsidP="00FA0253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9A3E5C">
        <w:rPr>
          <w:rFonts w:ascii="Arial" w:hAnsi="Arial"/>
          <w:b/>
          <w:color w:val="000000"/>
          <w:sz w:val="28"/>
          <w:lang w:val="fr-CA"/>
        </w:rPr>
        <w:t xml:space="preserve">Matériel </w:t>
      </w:r>
      <w:r w:rsidR="00523EA1" w:rsidRPr="00D757D2">
        <w:rPr>
          <w:rFonts w:ascii="Arial" w:hAnsi="Arial"/>
          <w:b/>
          <w:color w:val="000000"/>
          <w:sz w:val="28"/>
          <w:lang w:val="fr-CA"/>
        </w:rPr>
        <w:t xml:space="preserve">– </w:t>
      </w:r>
      <w:r w:rsidRPr="009A3E5C">
        <w:rPr>
          <w:rFonts w:ascii="Arial" w:hAnsi="Arial"/>
          <w:b/>
          <w:color w:val="000000"/>
          <w:sz w:val="28"/>
          <w:lang w:val="fr-CA"/>
        </w:rPr>
        <w:t>S.O.</w:t>
      </w:r>
    </w:p>
    <w:p w:rsidR="001273E9" w:rsidRPr="009A3E5C" w:rsidRDefault="001273E9">
      <w:pPr>
        <w:ind w:left="720"/>
        <w:rPr>
          <w:rFonts w:ascii="Arial" w:hAnsi="Arial"/>
          <w:b/>
          <w:color w:val="000000"/>
          <w:sz w:val="24"/>
          <w:lang w:val="fr-CA"/>
        </w:rPr>
      </w:pPr>
    </w:p>
    <w:p w:rsidR="001273E9" w:rsidRPr="009A3E5C" w:rsidRDefault="00FA0253" w:rsidP="00FA0253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9A3E5C">
        <w:rPr>
          <w:rFonts w:ascii="Arial" w:hAnsi="Arial"/>
          <w:b/>
          <w:color w:val="000000"/>
          <w:sz w:val="28"/>
          <w:lang w:val="fr-CA"/>
        </w:rPr>
        <w:t>Contrôle de la qualité</w:t>
      </w:r>
      <w:r w:rsidR="001273E9" w:rsidRPr="009A3E5C">
        <w:rPr>
          <w:rFonts w:ascii="Arial" w:hAnsi="Arial"/>
          <w:b/>
          <w:color w:val="000000"/>
          <w:sz w:val="28"/>
          <w:lang w:val="fr-CA"/>
        </w:rPr>
        <w:t xml:space="preserve"> </w:t>
      </w:r>
    </w:p>
    <w:p w:rsidR="001273E9" w:rsidRPr="009A3E5C" w:rsidRDefault="001273E9">
      <w:pPr>
        <w:pStyle w:val="Header"/>
        <w:tabs>
          <w:tab w:val="clear" w:pos="4320"/>
          <w:tab w:val="clear" w:pos="8640"/>
        </w:tabs>
        <w:rPr>
          <w:rFonts w:ascii="Arial" w:hAnsi="Arial"/>
          <w:color w:val="000000"/>
          <w:lang w:val="fr-CA"/>
        </w:rPr>
      </w:pPr>
    </w:p>
    <w:p w:rsidR="001273E9" w:rsidRPr="009A3E5C" w:rsidRDefault="00FA0253" w:rsidP="00FA0253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9A3E5C">
        <w:rPr>
          <w:rFonts w:ascii="Arial" w:hAnsi="Arial"/>
          <w:color w:val="000000"/>
          <w:sz w:val="24"/>
          <w:lang w:val="fr-CA"/>
        </w:rPr>
        <w:t>Il faut procéder à une vérification annuelle d'un nombre représentatif de dossiers afin de confirmer leur conformité.</w:t>
      </w:r>
    </w:p>
    <w:p w:rsidR="001273E9" w:rsidRPr="009A3E5C" w:rsidRDefault="001273E9">
      <w:pPr>
        <w:rPr>
          <w:rFonts w:ascii="Arial" w:hAnsi="Arial"/>
          <w:b/>
          <w:color w:val="000000"/>
          <w:lang w:val="fr-CA"/>
        </w:rPr>
      </w:pPr>
    </w:p>
    <w:p w:rsidR="001273E9" w:rsidRPr="009A3E5C" w:rsidRDefault="00FA0253" w:rsidP="00FA0253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9A3E5C">
        <w:rPr>
          <w:rFonts w:ascii="Arial" w:hAnsi="Arial"/>
          <w:b/>
          <w:color w:val="000000"/>
          <w:sz w:val="28"/>
          <w:lang w:val="fr-CA"/>
        </w:rPr>
        <w:t>Procédure</w:t>
      </w:r>
    </w:p>
    <w:p w:rsidR="001273E9" w:rsidRPr="009A3E5C" w:rsidRDefault="001273E9">
      <w:pPr>
        <w:rPr>
          <w:rFonts w:ascii="Arial" w:hAnsi="Arial"/>
          <w:b/>
          <w:color w:val="000000"/>
          <w:lang w:val="fr-CA"/>
        </w:rPr>
      </w:pPr>
    </w:p>
    <w:p w:rsidR="00523EA1" w:rsidRDefault="00FA0253" w:rsidP="00FA0253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9A3E5C">
        <w:rPr>
          <w:rFonts w:ascii="Arial" w:hAnsi="Arial"/>
          <w:color w:val="000000"/>
          <w:sz w:val="24"/>
          <w:lang w:val="fr-CA"/>
        </w:rPr>
        <w:t xml:space="preserve">Le tableau qui suit décrit les périodes de conservation de divers types de </w:t>
      </w:r>
      <w:r w:rsidR="00667230">
        <w:rPr>
          <w:rFonts w:ascii="Arial" w:hAnsi="Arial"/>
          <w:color w:val="000000"/>
          <w:sz w:val="24"/>
          <w:lang w:val="fr-CA"/>
        </w:rPr>
        <w:t>dossiers </w:t>
      </w:r>
      <w:r w:rsidRPr="009A3E5C">
        <w:rPr>
          <w:rFonts w:ascii="Arial" w:hAnsi="Arial"/>
          <w:color w:val="000000"/>
          <w:sz w:val="24"/>
          <w:lang w:val="fr-CA"/>
        </w:rPr>
        <w:t xml:space="preserve">: </w:t>
      </w:r>
    </w:p>
    <w:p w:rsidR="001273E9" w:rsidRPr="009A3E5C" w:rsidRDefault="00523EA1" w:rsidP="00523EA1">
      <w:pPr>
        <w:ind w:left="1440"/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br w:type="page"/>
      </w:r>
    </w:p>
    <w:p w:rsidR="001273E9" w:rsidRPr="009A3E5C" w:rsidRDefault="001273E9" w:rsidP="00625BA2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jc w:val="both"/>
        <w:rPr>
          <w:b/>
          <w:color w:val="000000"/>
          <w:spacing w:val="-2"/>
          <w:sz w:val="24"/>
          <w:lang w:val="fr-CA"/>
        </w:rPr>
      </w:pPr>
      <w:r w:rsidRPr="009A3E5C">
        <w:rPr>
          <w:color w:val="000000"/>
          <w:spacing w:val="-2"/>
          <w:sz w:val="24"/>
          <w:lang w:val="fr-CA"/>
        </w:rPr>
        <w:t xml:space="preserve">    </w:t>
      </w:r>
      <w:r w:rsidR="00FA0253" w:rsidRPr="009A3E5C">
        <w:rPr>
          <w:rFonts w:ascii="Arial" w:hAnsi="Arial"/>
          <w:b/>
          <w:color w:val="000000"/>
          <w:spacing w:val="-2"/>
          <w:sz w:val="24"/>
          <w:lang w:val="fr-CA"/>
        </w:rPr>
        <w:t>Conservation des documents – Médecine transfusionnelle</w:t>
      </w:r>
    </w:p>
    <w:tbl>
      <w:tblPr>
        <w:tblW w:w="10487" w:type="dxa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"/>
        <w:gridCol w:w="2007"/>
        <w:gridCol w:w="241"/>
        <w:gridCol w:w="7757"/>
        <w:gridCol w:w="251"/>
      </w:tblGrid>
      <w:tr w:rsidR="001273E9" w:rsidRPr="009A3E5C">
        <w:tblPrEx>
          <w:tblCellMar>
            <w:top w:w="0" w:type="dxa"/>
            <w:bottom w:w="0" w:type="dxa"/>
          </w:tblCellMar>
        </w:tblPrEx>
        <w:trPr>
          <w:gridBefore w:val="1"/>
          <w:wBefore w:w="231" w:type="dxa"/>
          <w:jc w:val="center"/>
        </w:trPr>
        <w:tc>
          <w:tcPr>
            <w:tcW w:w="22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273E9" w:rsidRPr="009A3E5C" w:rsidRDefault="000248F9" w:rsidP="00FA0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fr-CA"/>
              </w:rPr>
            </w:pPr>
            <w:r w:rsidRPr="009A3E5C">
              <w:rPr>
                <w:rFonts w:ascii="Arial" w:hAnsi="Arial" w:cs="Arial"/>
                <w:b/>
                <w:bCs/>
                <w:color w:val="000000"/>
                <w:sz w:val="24"/>
                <w:lang w:val="fr-CA"/>
              </w:rPr>
              <w:t>Garder au moins</w:t>
            </w:r>
          </w:p>
        </w:tc>
        <w:tc>
          <w:tcPr>
            <w:tcW w:w="800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3E9" w:rsidRPr="009A3E5C" w:rsidRDefault="00FA0253" w:rsidP="00FA0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fr-CA"/>
              </w:rPr>
            </w:pPr>
            <w:r w:rsidRPr="009A3E5C">
              <w:rPr>
                <w:rFonts w:ascii="Arial" w:hAnsi="Arial" w:cs="Arial"/>
                <w:b/>
                <w:bCs/>
                <w:color w:val="000000"/>
                <w:sz w:val="24"/>
                <w:lang w:val="fr-CA"/>
              </w:rPr>
              <w:t>Description</w:t>
            </w:r>
          </w:p>
        </w:tc>
      </w:tr>
      <w:tr w:rsidR="001273E9" w:rsidRPr="009A3E5C" w:rsidTr="006176E7">
        <w:tblPrEx>
          <w:tblCellMar>
            <w:top w:w="0" w:type="dxa"/>
            <w:bottom w:w="0" w:type="dxa"/>
          </w:tblCellMar>
        </w:tblPrEx>
        <w:trPr>
          <w:gridBefore w:val="1"/>
          <w:wBefore w:w="231" w:type="dxa"/>
          <w:jc w:val="center"/>
        </w:trPr>
        <w:tc>
          <w:tcPr>
            <w:tcW w:w="224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9CC2E5"/>
          </w:tcPr>
          <w:p w:rsidR="001273E9" w:rsidRPr="009A3E5C" w:rsidRDefault="000F613A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  <w:r>
              <w:rPr>
                <w:rFonts w:ascii="Arial" w:hAnsi="Arial" w:cs="Arial"/>
                <w:color w:val="000000"/>
                <w:sz w:val="24"/>
                <w:lang w:val="fr-CA"/>
              </w:rPr>
              <w:t>50 ans</w:t>
            </w:r>
          </w:p>
        </w:tc>
        <w:tc>
          <w:tcPr>
            <w:tcW w:w="800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9CC2E5"/>
          </w:tcPr>
          <w:p w:rsidR="001273E9" w:rsidRPr="009A3E5C" w:rsidRDefault="001273E9" w:rsidP="00FA0253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</w:p>
        </w:tc>
      </w:tr>
      <w:tr w:rsidR="000F613A" w:rsidRPr="009A3E5C">
        <w:tblPrEx>
          <w:tblCellMar>
            <w:top w:w="0" w:type="dxa"/>
            <w:bottom w:w="0" w:type="dxa"/>
          </w:tblCellMar>
        </w:tblPrEx>
        <w:trPr>
          <w:gridBefore w:val="1"/>
          <w:wBefore w:w="231" w:type="dxa"/>
          <w:jc w:val="center"/>
        </w:trPr>
        <w:tc>
          <w:tcPr>
            <w:tcW w:w="2248" w:type="dxa"/>
            <w:gridSpan w:val="2"/>
            <w:tcBorders>
              <w:left w:val="single" w:sz="18" w:space="0" w:color="auto"/>
            </w:tcBorders>
          </w:tcPr>
          <w:p w:rsidR="000F613A" w:rsidRPr="009A3E5C" w:rsidRDefault="000F613A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</w:p>
        </w:tc>
        <w:tc>
          <w:tcPr>
            <w:tcW w:w="8008" w:type="dxa"/>
            <w:gridSpan w:val="2"/>
            <w:tcBorders>
              <w:right w:val="single" w:sz="18" w:space="0" w:color="auto"/>
            </w:tcBorders>
          </w:tcPr>
          <w:p w:rsidR="000F613A" w:rsidRPr="009A3E5C" w:rsidRDefault="000F613A" w:rsidP="0083040D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  <w:r w:rsidRPr="009A3E5C">
              <w:rPr>
                <w:rFonts w:ascii="Arial" w:hAnsi="Arial" w:cs="Arial"/>
                <w:color w:val="000000"/>
                <w:sz w:val="24"/>
                <w:lang w:val="fr-CA"/>
              </w:rPr>
              <w:t xml:space="preserve">Registre </w:t>
            </w:r>
            <w:r w:rsidR="0083040D">
              <w:rPr>
                <w:rFonts w:ascii="Arial" w:hAnsi="Arial" w:cs="Arial"/>
                <w:color w:val="000000"/>
                <w:sz w:val="24"/>
                <w:lang w:val="fr-CA"/>
              </w:rPr>
              <w:t>de mise en circulation des composants et produits sanguins à transfuser (état final), comprenant</w:t>
            </w:r>
            <w:r>
              <w:rPr>
                <w:rFonts w:ascii="Arial" w:hAnsi="Arial" w:cs="Arial"/>
                <w:color w:val="000000"/>
                <w:sz w:val="24"/>
                <w:lang w:val="fr-CA"/>
              </w:rPr>
              <w:t xml:space="preserve"> identification d</w:t>
            </w:r>
            <w:r w:rsidR="0083040D">
              <w:rPr>
                <w:rFonts w:ascii="Arial" w:hAnsi="Arial" w:cs="Arial"/>
                <w:color w:val="000000"/>
                <w:sz w:val="24"/>
                <w:lang w:val="fr-CA"/>
              </w:rPr>
              <w:t>es</w:t>
            </w:r>
            <w:r>
              <w:rPr>
                <w:rFonts w:ascii="Arial" w:hAnsi="Arial" w:cs="Arial"/>
                <w:color w:val="000000"/>
                <w:sz w:val="24"/>
                <w:lang w:val="fr-CA"/>
              </w:rPr>
              <w:t xml:space="preserve"> receveur</w:t>
            </w:r>
            <w:r w:rsidR="0083040D">
              <w:rPr>
                <w:rFonts w:ascii="Arial" w:hAnsi="Arial" w:cs="Arial"/>
                <w:color w:val="000000"/>
                <w:sz w:val="24"/>
                <w:lang w:val="fr-CA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lang w:val="fr-CA"/>
              </w:rPr>
              <w:t>, codes de don des composants, numéros de lot des produits</w:t>
            </w:r>
          </w:p>
        </w:tc>
      </w:tr>
      <w:tr w:rsidR="001273E9" w:rsidRPr="009A3E5C">
        <w:tblPrEx>
          <w:tblCellMar>
            <w:top w:w="0" w:type="dxa"/>
            <w:bottom w:w="0" w:type="dxa"/>
          </w:tblCellMar>
        </w:tblPrEx>
        <w:trPr>
          <w:gridBefore w:val="1"/>
          <w:wBefore w:w="231" w:type="dxa"/>
          <w:jc w:val="center"/>
        </w:trPr>
        <w:tc>
          <w:tcPr>
            <w:tcW w:w="2248" w:type="dxa"/>
            <w:gridSpan w:val="2"/>
            <w:tcBorders>
              <w:left w:val="single" w:sz="18" w:space="0" w:color="auto"/>
            </w:tcBorders>
          </w:tcPr>
          <w:p w:rsidR="001273E9" w:rsidRPr="009A3E5C" w:rsidRDefault="001273E9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</w:p>
        </w:tc>
        <w:tc>
          <w:tcPr>
            <w:tcW w:w="8008" w:type="dxa"/>
            <w:gridSpan w:val="2"/>
            <w:tcBorders>
              <w:right w:val="single" w:sz="18" w:space="0" w:color="auto"/>
            </w:tcBorders>
          </w:tcPr>
          <w:p w:rsidR="001273E9" w:rsidRPr="009A3E5C" w:rsidRDefault="00932628" w:rsidP="00B731D5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  <w:r>
              <w:rPr>
                <w:rFonts w:ascii="Arial" w:hAnsi="Arial" w:cs="Arial"/>
                <w:color w:val="000000"/>
                <w:sz w:val="24"/>
                <w:lang w:val="fr-CA"/>
              </w:rPr>
              <w:t>Registre de distribution, incluant toute distribution exceptionnelle et tout rappel, transfert inter-hospitalier, retour au fournisseur</w:t>
            </w:r>
          </w:p>
        </w:tc>
      </w:tr>
      <w:tr w:rsidR="001273E9" w:rsidRPr="009A3E5C">
        <w:tblPrEx>
          <w:tblCellMar>
            <w:top w:w="0" w:type="dxa"/>
            <w:bottom w:w="0" w:type="dxa"/>
          </w:tblCellMar>
        </w:tblPrEx>
        <w:trPr>
          <w:gridBefore w:val="1"/>
          <w:wBefore w:w="231" w:type="dxa"/>
          <w:jc w:val="center"/>
        </w:trPr>
        <w:tc>
          <w:tcPr>
            <w:tcW w:w="2248" w:type="dxa"/>
            <w:gridSpan w:val="2"/>
            <w:tcBorders>
              <w:left w:val="single" w:sz="18" w:space="0" w:color="auto"/>
            </w:tcBorders>
          </w:tcPr>
          <w:p w:rsidR="001273E9" w:rsidRPr="009A3E5C" w:rsidRDefault="001273E9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</w:p>
        </w:tc>
        <w:tc>
          <w:tcPr>
            <w:tcW w:w="8008" w:type="dxa"/>
            <w:gridSpan w:val="2"/>
            <w:tcBorders>
              <w:right w:val="single" w:sz="18" w:space="0" w:color="auto"/>
            </w:tcBorders>
          </w:tcPr>
          <w:p w:rsidR="001273E9" w:rsidRPr="009A3E5C" w:rsidRDefault="00B731D5" w:rsidP="00597BEB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  <w:r>
              <w:rPr>
                <w:rFonts w:ascii="Arial" w:hAnsi="Arial" w:cs="Arial"/>
                <w:color w:val="000000"/>
                <w:sz w:val="24"/>
                <w:lang w:val="fr-CA"/>
              </w:rPr>
              <w:t>Bordereau d’envoi du fournisseur; bordereau ou liste d’envoi des produits transférés entre hôpitaux</w:t>
            </w:r>
          </w:p>
        </w:tc>
      </w:tr>
      <w:tr w:rsidR="00B731D5" w:rsidRPr="009A3E5C">
        <w:tblPrEx>
          <w:tblCellMar>
            <w:top w:w="0" w:type="dxa"/>
            <w:bottom w:w="0" w:type="dxa"/>
          </w:tblCellMar>
        </w:tblPrEx>
        <w:trPr>
          <w:gridBefore w:val="1"/>
          <w:wBefore w:w="231" w:type="dxa"/>
          <w:jc w:val="center"/>
        </w:trPr>
        <w:tc>
          <w:tcPr>
            <w:tcW w:w="2248" w:type="dxa"/>
            <w:gridSpan w:val="2"/>
            <w:tcBorders>
              <w:left w:val="single" w:sz="18" w:space="0" w:color="auto"/>
            </w:tcBorders>
          </w:tcPr>
          <w:p w:rsidR="00B731D5" w:rsidRPr="009A3E5C" w:rsidRDefault="00B731D5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</w:p>
        </w:tc>
        <w:tc>
          <w:tcPr>
            <w:tcW w:w="8008" w:type="dxa"/>
            <w:gridSpan w:val="2"/>
            <w:tcBorders>
              <w:right w:val="single" w:sz="18" w:space="0" w:color="auto"/>
            </w:tcBorders>
          </w:tcPr>
          <w:p w:rsidR="00B731D5" w:rsidRDefault="00916D34" w:rsidP="00597BEB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  <w:r>
              <w:rPr>
                <w:rFonts w:ascii="Arial" w:hAnsi="Arial" w:cs="Arial"/>
                <w:color w:val="000000"/>
                <w:sz w:val="24"/>
                <w:lang w:val="fr-CA"/>
              </w:rPr>
              <w:t>Registre de disposition finale des composants et produits sanguins (incluant code de donneur), numéro de lot du produit</w:t>
            </w:r>
          </w:p>
        </w:tc>
      </w:tr>
      <w:tr w:rsidR="001273E9" w:rsidRPr="009A3E5C">
        <w:tblPrEx>
          <w:tblCellMar>
            <w:top w:w="0" w:type="dxa"/>
            <w:bottom w:w="0" w:type="dxa"/>
          </w:tblCellMar>
        </w:tblPrEx>
        <w:trPr>
          <w:gridBefore w:val="1"/>
          <w:wBefore w:w="231" w:type="dxa"/>
          <w:jc w:val="center"/>
        </w:trPr>
        <w:tc>
          <w:tcPr>
            <w:tcW w:w="2248" w:type="dxa"/>
            <w:gridSpan w:val="2"/>
            <w:tcBorders>
              <w:left w:val="single" w:sz="18" w:space="0" w:color="auto"/>
            </w:tcBorders>
          </w:tcPr>
          <w:p w:rsidR="001273E9" w:rsidRPr="009A3E5C" w:rsidRDefault="001273E9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</w:p>
        </w:tc>
        <w:tc>
          <w:tcPr>
            <w:tcW w:w="8008" w:type="dxa"/>
            <w:gridSpan w:val="2"/>
            <w:tcBorders>
              <w:right w:val="single" w:sz="18" w:space="0" w:color="auto"/>
            </w:tcBorders>
          </w:tcPr>
          <w:p w:rsidR="001273E9" w:rsidRPr="009A3E5C" w:rsidRDefault="00916D34" w:rsidP="00597B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24"/>
                <w:lang w:val="fr-CA"/>
              </w:rPr>
            </w:pPr>
            <w:r>
              <w:rPr>
                <w:rFonts w:ascii="Arial" w:hAnsi="Arial" w:cs="Arial"/>
                <w:color w:val="000000"/>
                <w:sz w:val="24"/>
                <w:lang w:val="fr-CA"/>
              </w:rPr>
              <w:t>Dossiers de patients – mise en circulation, distribution, transfusion de composants et produits sanguins allogènes</w:t>
            </w:r>
          </w:p>
        </w:tc>
      </w:tr>
      <w:tr w:rsidR="001273E9" w:rsidRPr="009A3E5C">
        <w:tblPrEx>
          <w:tblCellMar>
            <w:top w:w="0" w:type="dxa"/>
            <w:bottom w:w="0" w:type="dxa"/>
          </w:tblCellMar>
        </w:tblPrEx>
        <w:trPr>
          <w:gridBefore w:val="1"/>
          <w:wBefore w:w="231" w:type="dxa"/>
          <w:jc w:val="center"/>
        </w:trPr>
        <w:tc>
          <w:tcPr>
            <w:tcW w:w="2248" w:type="dxa"/>
            <w:gridSpan w:val="2"/>
            <w:tcBorders>
              <w:left w:val="single" w:sz="18" w:space="0" w:color="auto"/>
            </w:tcBorders>
          </w:tcPr>
          <w:p w:rsidR="001273E9" w:rsidRPr="009A3E5C" w:rsidRDefault="001273E9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</w:p>
        </w:tc>
        <w:tc>
          <w:tcPr>
            <w:tcW w:w="8008" w:type="dxa"/>
            <w:gridSpan w:val="2"/>
            <w:tcBorders>
              <w:right w:val="single" w:sz="18" w:space="0" w:color="auto"/>
            </w:tcBorders>
          </w:tcPr>
          <w:p w:rsidR="001273E9" w:rsidRPr="009A3E5C" w:rsidRDefault="00916D34" w:rsidP="00B96FA7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  <w:r>
              <w:rPr>
                <w:rFonts w:ascii="Arial" w:hAnsi="Arial" w:cs="Arial"/>
                <w:color w:val="000000"/>
                <w:sz w:val="24"/>
                <w:lang w:val="fr-CA"/>
              </w:rPr>
              <w:t>Dossiers de rappel ou retrait (avis reçu du fournisseur, suivi du stock en cause et rapport à Santé Canada)</w:t>
            </w:r>
          </w:p>
        </w:tc>
      </w:tr>
      <w:tr w:rsidR="006176E7" w:rsidRPr="009A3E5C" w:rsidTr="006176E7">
        <w:tblPrEx>
          <w:tblCellMar>
            <w:top w:w="0" w:type="dxa"/>
            <w:bottom w:w="0" w:type="dxa"/>
          </w:tblCellMar>
        </w:tblPrEx>
        <w:trPr>
          <w:gridBefore w:val="1"/>
          <w:wBefore w:w="231" w:type="dxa"/>
          <w:jc w:val="center"/>
        </w:trPr>
        <w:tc>
          <w:tcPr>
            <w:tcW w:w="224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9CC2E5"/>
          </w:tcPr>
          <w:p w:rsidR="001273E9" w:rsidRPr="009A3E5C" w:rsidRDefault="00597BEB" w:rsidP="00597BEB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  <w:r w:rsidRPr="009A3E5C">
              <w:rPr>
                <w:rFonts w:ascii="Arial" w:hAnsi="Arial" w:cs="Arial"/>
                <w:color w:val="000000"/>
                <w:sz w:val="24"/>
                <w:lang w:val="fr-CA"/>
              </w:rPr>
              <w:t>10 ans</w:t>
            </w:r>
          </w:p>
        </w:tc>
        <w:tc>
          <w:tcPr>
            <w:tcW w:w="800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9CC2E5"/>
          </w:tcPr>
          <w:p w:rsidR="001273E9" w:rsidRPr="009A3E5C" w:rsidRDefault="001273E9" w:rsidP="00B96FA7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</w:p>
        </w:tc>
      </w:tr>
      <w:tr w:rsidR="0083040D" w:rsidRPr="009A3E5C">
        <w:tblPrEx>
          <w:tblCellMar>
            <w:top w:w="0" w:type="dxa"/>
            <w:bottom w:w="0" w:type="dxa"/>
          </w:tblCellMar>
        </w:tblPrEx>
        <w:trPr>
          <w:gridBefore w:val="1"/>
          <w:wBefore w:w="231" w:type="dxa"/>
          <w:jc w:val="center"/>
        </w:trPr>
        <w:tc>
          <w:tcPr>
            <w:tcW w:w="224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3040D" w:rsidRPr="009A3E5C" w:rsidRDefault="0083040D" w:rsidP="00597BEB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</w:p>
        </w:tc>
        <w:tc>
          <w:tcPr>
            <w:tcW w:w="800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83040D" w:rsidRPr="009A3E5C" w:rsidRDefault="00932628" w:rsidP="00916D34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  <w:r w:rsidRPr="009A3E5C">
              <w:rPr>
                <w:rFonts w:ascii="Arial" w:hAnsi="Arial" w:cs="Arial"/>
                <w:color w:val="000000"/>
                <w:sz w:val="24"/>
                <w:lang w:val="fr-CA"/>
              </w:rPr>
              <w:t>Documents relatifs aux qualifications, à la formation et aux compétences du personnel</w:t>
            </w:r>
            <w:r>
              <w:rPr>
                <w:rFonts w:ascii="Arial" w:hAnsi="Arial" w:cs="Arial"/>
                <w:color w:val="000000"/>
                <w:sz w:val="24"/>
                <w:lang w:val="fr-CA"/>
              </w:rPr>
              <w:t>, f</w:t>
            </w:r>
            <w:r w:rsidR="0083040D" w:rsidRPr="009A3E5C">
              <w:rPr>
                <w:rFonts w:ascii="Arial" w:hAnsi="Arial" w:cs="Arial"/>
                <w:color w:val="000000"/>
                <w:sz w:val="24"/>
                <w:lang w:val="fr-CA"/>
              </w:rPr>
              <w:t>iche</w:t>
            </w:r>
            <w:r>
              <w:rPr>
                <w:rFonts w:ascii="Arial" w:hAnsi="Arial" w:cs="Arial"/>
                <w:color w:val="000000"/>
                <w:sz w:val="24"/>
                <w:lang w:val="fr-CA"/>
              </w:rPr>
              <w:t>s</w:t>
            </w:r>
            <w:r w:rsidR="0083040D" w:rsidRPr="009A3E5C">
              <w:rPr>
                <w:rFonts w:ascii="Arial" w:hAnsi="Arial" w:cs="Arial"/>
                <w:color w:val="000000"/>
                <w:sz w:val="24"/>
                <w:lang w:val="fr-CA"/>
              </w:rPr>
              <w:t xml:space="preserve"> de signature des employés, de leur numéro d'identification et initiales</w:t>
            </w:r>
            <w:r w:rsidRPr="009A3E5C">
              <w:rPr>
                <w:rFonts w:ascii="Arial" w:hAnsi="Arial" w:cs="Arial"/>
                <w:color w:val="000000"/>
                <w:sz w:val="24"/>
                <w:lang w:val="fr-CA"/>
              </w:rPr>
              <w:t>†</w:t>
            </w:r>
          </w:p>
        </w:tc>
      </w:tr>
      <w:tr w:rsidR="001273E9" w:rsidRPr="009A3E5C">
        <w:tblPrEx>
          <w:tblCellMar>
            <w:top w:w="0" w:type="dxa"/>
            <w:bottom w:w="0" w:type="dxa"/>
          </w:tblCellMar>
        </w:tblPrEx>
        <w:trPr>
          <w:gridBefore w:val="1"/>
          <w:wBefore w:w="231" w:type="dxa"/>
          <w:jc w:val="center"/>
        </w:trPr>
        <w:tc>
          <w:tcPr>
            <w:tcW w:w="2248" w:type="dxa"/>
            <w:gridSpan w:val="2"/>
            <w:tcBorders>
              <w:left w:val="single" w:sz="18" w:space="0" w:color="auto"/>
            </w:tcBorders>
          </w:tcPr>
          <w:p w:rsidR="001273E9" w:rsidRPr="009A3E5C" w:rsidRDefault="001273E9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</w:p>
        </w:tc>
        <w:tc>
          <w:tcPr>
            <w:tcW w:w="8008" w:type="dxa"/>
            <w:gridSpan w:val="2"/>
            <w:tcBorders>
              <w:right w:val="single" w:sz="18" w:space="0" w:color="auto"/>
            </w:tcBorders>
          </w:tcPr>
          <w:p w:rsidR="001273E9" w:rsidRPr="009A3E5C" w:rsidRDefault="00916D34" w:rsidP="00FF31A8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  <w:r>
              <w:rPr>
                <w:rFonts w:ascii="Arial" w:hAnsi="Arial" w:cs="Arial"/>
                <w:color w:val="000000"/>
                <w:sz w:val="24"/>
                <w:lang w:val="fr-CA"/>
              </w:rPr>
              <w:t>Documents relatifs à la préparation et à la transformation des composants (date de l’activité, nom de la personne effectuant le travail, inspections, contrôle de la qualité</w:t>
            </w:r>
            <w:r w:rsidR="00FF31A8">
              <w:rPr>
                <w:rFonts w:ascii="Arial" w:hAnsi="Arial" w:cs="Arial"/>
                <w:color w:val="000000"/>
                <w:sz w:val="24"/>
                <w:lang w:val="fr-CA"/>
              </w:rPr>
              <w:t>, méthode et équipement utilisé, nom de l’établissement). Sont compris les feuilles de travail -</w:t>
            </w:r>
            <w:r w:rsidR="008062EF">
              <w:rPr>
                <w:rFonts w:ascii="Arial" w:hAnsi="Arial" w:cs="Arial"/>
                <w:color w:val="000000"/>
                <w:sz w:val="24"/>
                <w:lang w:val="fr-CA"/>
              </w:rPr>
              <w:t xml:space="preserve"> </w:t>
            </w:r>
            <w:r w:rsidR="00FF31A8">
              <w:rPr>
                <w:rFonts w:ascii="Arial" w:hAnsi="Arial" w:cs="Arial"/>
                <w:color w:val="000000"/>
                <w:sz w:val="24"/>
                <w:lang w:val="fr-CA"/>
              </w:rPr>
              <w:t>lavage, mise en pool ou irradiation des composants</w:t>
            </w:r>
          </w:p>
        </w:tc>
      </w:tr>
      <w:tr w:rsidR="0083040D" w:rsidRPr="009A3E5C">
        <w:tblPrEx>
          <w:tblCellMar>
            <w:top w:w="0" w:type="dxa"/>
            <w:bottom w:w="0" w:type="dxa"/>
          </w:tblCellMar>
        </w:tblPrEx>
        <w:trPr>
          <w:gridBefore w:val="1"/>
          <w:wBefore w:w="231" w:type="dxa"/>
          <w:jc w:val="center"/>
        </w:trPr>
        <w:tc>
          <w:tcPr>
            <w:tcW w:w="2248" w:type="dxa"/>
            <w:gridSpan w:val="2"/>
            <w:tcBorders>
              <w:left w:val="single" w:sz="18" w:space="0" w:color="auto"/>
            </w:tcBorders>
          </w:tcPr>
          <w:p w:rsidR="0083040D" w:rsidRPr="009A3E5C" w:rsidRDefault="0083040D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</w:p>
        </w:tc>
        <w:tc>
          <w:tcPr>
            <w:tcW w:w="8008" w:type="dxa"/>
            <w:gridSpan w:val="2"/>
            <w:tcBorders>
              <w:right w:val="single" w:sz="18" w:space="0" w:color="auto"/>
            </w:tcBorders>
          </w:tcPr>
          <w:p w:rsidR="0083040D" w:rsidRPr="009A3E5C" w:rsidRDefault="00FF31A8" w:rsidP="008062EF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  <w:r>
              <w:rPr>
                <w:rFonts w:ascii="Arial" w:hAnsi="Arial" w:cs="Arial"/>
                <w:color w:val="000000"/>
                <w:sz w:val="24"/>
                <w:lang w:val="fr-CA"/>
              </w:rPr>
              <w:t>Registre d’envoi, d’analyse (incluant groupe ABO/RH et maladies transmissibles)</w:t>
            </w:r>
            <w:r w:rsidR="0022203E">
              <w:rPr>
                <w:rFonts w:ascii="Arial" w:hAnsi="Arial" w:cs="Arial"/>
                <w:color w:val="000000"/>
                <w:sz w:val="24"/>
                <w:lang w:val="fr-CA"/>
              </w:rPr>
              <w:t xml:space="preserve">, de disposition de composants sanguins autologues, incluant identité du </w:t>
            </w:r>
            <w:r w:rsidR="008062EF">
              <w:rPr>
                <w:rFonts w:ascii="Arial" w:hAnsi="Arial" w:cs="Arial"/>
                <w:color w:val="000000"/>
                <w:sz w:val="24"/>
                <w:lang w:val="fr-CA"/>
              </w:rPr>
              <w:t>receveur</w:t>
            </w:r>
            <w:r w:rsidR="0022203E">
              <w:rPr>
                <w:rFonts w:ascii="Arial" w:hAnsi="Arial" w:cs="Arial"/>
                <w:color w:val="000000"/>
                <w:sz w:val="24"/>
                <w:lang w:val="fr-CA"/>
              </w:rPr>
              <w:t xml:space="preserve"> et code de don</w:t>
            </w:r>
          </w:p>
        </w:tc>
      </w:tr>
      <w:tr w:rsidR="00932628" w:rsidRPr="009A3E5C" w:rsidTr="00932628">
        <w:tblPrEx>
          <w:tblCellMar>
            <w:top w:w="0" w:type="dxa"/>
            <w:bottom w:w="0" w:type="dxa"/>
          </w:tblCellMar>
        </w:tblPrEx>
        <w:trPr>
          <w:gridBefore w:val="1"/>
          <w:wBefore w:w="231" w:type="dxa"/>
          <w:jc w:val="center"/>
        </w:trPr>
        <w:tc>
          <w:tcPr>
            <w:tcW w:w="224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932628" w:rsidRPr="00932628" w:rsidRDefault="00932628">
            <w:pPr>
              <w:rPr>
                <w:rFonts w:ascii="Arial" w:hAnsi="Arial" w:cs="Arial"/>
                <w:sz w:val="24"/>
                <w:lang w:val="fr-CA"/>
              </w:rPr>
            </w:pPr>
          </w:p>
        </w:tc>
        <w:tc>
          <w:tcPr>
            <w:tcW w:w="8008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932628" w:rsidRPr="00932628" w:rsidRDefault="00932628" w:rsidP="00932628">
            <w:pPr>
              <w:rPr>
                <w:rFonts w:ascii="Arial" w:hAnsi="Arial" w:cs="Arial"/>
                <w:sz w:val="24"/>
                <w:lang w:val="fr-CA"/>
              </w:rPr>
            </w:pPr>
            <w:r w:rsidRPr="00932628">
              <w:rPr>
                <w:rFonts w:ascii="Arial" w:hAnsi="Arial" w:cs="Arial"/>
                <w:sz w:val="24"/>
                <w:lang w:val="fr-CA"/>
              </w:rPr>
              <w:t>Copies maîtresses de toutes les procédures et tous les manuels périmés (incluant tous les documents contrôlés)</w:t>
            </w:r>
          </w:p>
        </w:tc>
      </w:tr>
      <w:tr w:rsidR="00932628" w:rsidRPr="009A3E5C" w:rsidTr="00932628">
        <w:tblPrEx>
          <w:tblCellMar>
            <w:top w:w="0" w:type="dxa"/>
            <w:bottom w:w="0" w:type="dxa"/>
          </w:tblCellMar>
        </w:tblPrEx>
        <w:trPr>
          <w:gridBefore w:val="1"/>
          <w:wBefore w:w="231" w:type="dxa"/>
          <w:jc w:val="center"/>
        </w:trPr>
        <w:tc>
          <w:tcPr>
            <w:tcW w:w="224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932628" w:rsidRPr="009A3E5C" w:rsidRDefault="00932628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</w:p>
        </w:tc>
        <w:tc>
          <w:tcPr>
            <w:tcW w:w="8008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932628" w:rsidRDefault="00932628" w:rsidP="008062EF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  <w:r>
              <w:rPr>
                <w:rFonts w:ascii="Arial" w:hAnsi="Arial" w:cs="Arial"/>
                <w:color w:val="000000"/>
                <w:sz w:val="24"/>
                <w:lang w:val="fr-CA"/>
              </w:rPr>
              <w:t>Enquête</w:t>
            </w:r>
            <w:r w:rsidR="008062EF">
              <w:rPr>
                <w:rFonts w:ascii="Arial" w:hAnsi="Arial" w:cs="Arial"/>
                <w:color w:val="000000"/>
                <w:sz w:val="24"/>
                <w:lang w:val="fr-CA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lang w:val="fr-CA"/>
              </w:rPr>
              <w:t xml:space="preserve"> et rapport</w:t>
            </w:r>
            <w:r w:rsidR="008062EF">
              <w:rPr>
                <w:rFonts w:ascii="Arial" w:hAnsi="Arial" w:cs="Arial"/>
                <w:color w:val="000000"/>
                <w:sz w:val="24"/>
                <w:lang w:val="fr-CA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lang w:val="fr-CA"/>
              </w:rPr>
              <w:t xml:space="preserve"> liés à une r</w:t>
            </w:r>
            <w:r w:rsidRPr="009A3E5C">
              <w:rPr>
                <w:rFonts w:ascii="Arial" w:hAnsi="Arial" w:cs="Arial"/>
                <w:color w:val="000000"/>
                <w:sz w:val="24"/>
                <w:lang w:val="fr-CA"/>
              </w:rPr>
              <w:t>éaction indésirable à une transfusion</w:t>
            </w:r>
            <w:r>
              <w:rPr>
                <w:rFonts w:ascii="Arial" w:hAnsi="Arial" w:cs="Arial"/>
                <w:color w:val="000000"/>
                <w:sz w:val="24"/>
                <w:lang w:val="fr-CA"/>
              </w:rPr>
              <w:t>, à une erreur ou à un accident (grave ou non), entre autres rapports envoyés à Santé Canada</w:t>
            </w:r>
          </w:p>
        </w:tc>
      </w:tr>
      <w:tr w:rsidR="00932628" w:rsidRPr="009A3E5C">
        <w:tblPrEx>
          <w:tblCellMar>
            <w:top w:w="0" w:type="dxa"/>
            <w:bottom w:w="0" w:type="dxa"/>
          </w:tblCellMar>
        </w:tblPrEx>
        <w:trPr>
          <w:gridBefore w:val="1"/>
          <w:wBefore w:w="231" w:type="dxa"/>
          <w:jc w:val="center"/>
        </w:trPr>
        <w:tc>
          <w:tcPr>
            <w:tcW w:w="224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32628" w:rsidRPr="009A3E5C" w:rsidRDefault="00932628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</w:p>
        </w:tc>
        <w:tc>
          <w:tcPr>
            <w:tcW w:w="800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32628" w:rsidRDefault="00932628" w:rsidP="00932628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  <w:r w:rsidRPr="009A3E5C">
              <w:rPr>
                <w:rFonts w:ascii="Arial" w:hAnsi="Arial" w:cs="Arial"/>
                <w:color w:val="000000"/>
                <w:sz w:val="24"/>
                <w:lang w:val="fr-CA"/>
              </w:rPr>
              <w:t>Tous les documents relatifs à une procédure de retraçage des donneurs ou des receveurs</w:t>
            </w:r>
          </w:p>
        </w:tc>
      </w:tr>
      <w:tr w:rsidR="006176E7" w:rsidRPr="009A3E5C" w:rsidTr="006176E7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9CC2E5"/>
          </w:tcPr>
          <w:p w:rsidR="001273E9" w:rsidRPr="009A3E5C" w:rsidRDefault="001273E9" w:rsidP="00597BEB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  <w:r w:rsidRPr="009A3E5C">
              <w:rPr>
                <w:color w:val="000000"/>
                <w:lang w:val="fr-CA"/>
              </w:rPr>
              <w:br w:type="page"/>
            </w:r>
            <w:r w:rsidR="00597BEB" w:rsidRPr="009A3E5C">
              <w:rPr>
                <w:rFonts w:ascii="Arial" w:hAnsi="Arial" w:cs="Arial"/>
                <w:color w:val="000000"/>
                <w:sz w:val="24"/>
                <w:lang w:val="fr-CA"/>
              </w:rPr>
              <w:t>5 ans</w:t>
            </w:r>
          </w:p>
        </w:tc>
        <w:tc>
          <w:tcPr>
            <w:tcW w:w="799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9CC2E5"/>
          </w:tcPr>
          <w:p w:rsidR="001273E9" w:rsidRPr="009A3E5C" w:rsidRDefault="001273E9" w:rsidP="00597BEB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</w:p>
        </w:tc>
      </w:tr>
      <w:tr w:rsidR="0083040D" w:rsidRPr="009A3E5C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3040D" w:rsidRPr="009A3E5C" w:rsidRDefault="0083040D" w:rsidP="00597BEB">
            <w:pPr>
              <w:rPr>
                <w:color w:val="000000"/>
                <w:lang w:val="fr-CA"/>
              </w:rPr>
            </w:pPr>
          </w:p>
        </w:tc>
        <w:tc>
          <w:tcPr>
            <w:tcW w:w="799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83040D" w:rsidRPr="009A3E5C" w:rsidRDefault="0022203E" w:rsidP="0022203E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  <w:r w:rsidRPr="009A3E5C">
              <w:rPr>
                <w:rFonts w:ascii="Arial" w:hAnsi="Arial" w:cs="Arial"/>
                <w:color w:val="000000"/>
                <w:sz w:val="24"/>
                <w:lang w:val="fr-CA"/>
              </w:rPr>
              <w:t>Registre de surveillance de la température d</w:t>
            </w:r>
            <w:r>
              <w:rPr>
                <w:rFonts w:ascii="Arial" w:hAnsi="Arial" w:cs="Arial"/>
                <w:color w:val="000000"/>
                <w:sz w:val="24"/>
                <w:lang w:val="fr-CA"/>
              </w:rPr>
              <w:t xml:space="preserve">e l’équipement d’entreposage du </w:t>
            </w:r>
            <w:r w:rsidRPr="009A3E5C">
              <w:rPr>
                <w:rFonts w:ascii="Arial" w:hAnsi="Arial" w:cs="Arial"/>
                <w:color w:val="000000"/>
                <w:sz w:val="24"/>
                <w:lang w:val="fr-CA"/>
              </w:rPr>
              <w:t xml:space="preserve">sang  </w:t>
            </w:r>
          </w:p>
        </w:tc>
      </w:tr>
      <w:tr w:rsidR="001273E9" w:rsidRPr="009A3E5C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left w:val="single" w:sz="18" w:space="0" w:color="auto"/>
            </w:tcBorders>
          </w:tcPr>
          <w:p w:rsidR="001273E9" w:rsidRPr="009A3E5C" w:rsidRDefault="001273E9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</w:p>
        </w:tc>
        <w:tc>
          <w:tcPr>
            <w:tcW w:w="7998" w:type="dxa"/>
            <w:gridSpan w:val="2"/>
            <w:tcBorders>
              <w:right w:val="single" w:sz="18" w:space="0" w:color="auto"/>
            </w:tcBorders>
          </w:tcPr>
          <w:p w:rsidR="001273E9" w:rsidRPr="009A3E5C" w:rsidRDefault="0022203E" w:rsidP="008062EF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  <w:r w:rsidRPr="009A3E5C">
              <w:rPr>
                <w:rFonts w:ascii="Arial" w:hAnsi="Arial" w:cs="Arial"/>
                <w:color w:val="000000"/>
                <w:sz w:val="24"/>
                <w:lang w:val="fr-CA"/>
              </w:rPr>
              <w:t>Analyses de contrôle de la qualité de</w:t>
            </w:r>
            <w:r>
              <w:rPr>
                <w:rFonts w:ascii="Arial" w:hAnsi="Arial" w:cs="Arial"/>
                <w:color w:val="000000"/>
                <w:sz w:val="24"/>
                <w:lang w:val="fr-CA"/>
              </w:rPr>
              <w:t xml:space="preserve">s composants sanguins (non transformés), des </w:t>
            </w:r>
            <w:r w:rsidRPr="009A3E5C">
              <w:rPr>
                <w:rFonts w:ascii="Arial" w:hAnsi="Arial" w:cs="Arial"/>
                <w:color w:val="000000"/>
                <w:sz w:val="24"/>
                <w:lang w:val="fr-CA"/>
              </w:rPr>
              <w:t xml:space="preserve">réactifs et </w:t>
            </w:r>
            <w:r>
              <w:rPr>
                <w:rFonts w:ascii="Arial" w:hAnsi="Arial" w:cs="Arial"/>
                <w:color w:val="000000"/>
                <w:sz w:val="24"/>
                <w:lang w:val="fr-CA"/>
              </w:rPr>
              <w:t xml:space="preserve">des </w:t>
            </w:r>
            <w:r w:rsidRPr="009A3E5C">
              <w:rPr>
                <w:rFonts w:ascii="Arial" w:hAnsi="Arial" w:cs="Arial"/>
                <w:color w:val="000000"/>
                <w:sz w:val="24"/>
                <w:lang w:val="fr-CA"/>
              </w:rPr>
              <w:t xml:space="preserve">appareils </w:t>
            </w:r>
            <w:r>
              <w:rPr>
                <w:rFonts w:ascii="Arial" w:hAnsi="Arial" w:cs="Arial"/>
                <w:color w:val="000000"/>
                <w:sz w:val="24"/>
                <w:lang w:val="fr-CA"/>
              </w:rPr>
              <w:t>–</w:t>
            </w:r>
            <w:r w:rsidR="008062EF">
              <w:rPr>
                <w:rFonts w:ascii="Arial" w:hAnsi="Arial" w:cs="Arial"/>
                <w:color w:val="000000"/>
                <w:sz w:val="24"/>
                <w:lang w:val="fr-C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lang w:val="fr-CA"/>
              </w:rPr>
              <w:t xml:space="preserve">date, analyses effectuées, résultats observés, interprétation, identité de la personne qui a fait l’analyse de CQ, mesures correctives, identité de la personne qui a revu les résultats et date de la révision </w:t>
            </w:r>
          </w:p>
        </w:tc>
      </w:tr>
      <w:tr w:rsidR="0022203E" w:rsidRPr="009A3E5C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left w:val="single" w:sz="18" w:space="0" w:color="auto"/>
            </w:tcBorders>
          </w:tcPr>
          <w:p w:rsidR="0022203E" w:rsidRPr="009A3E5C" w:rsidRDefault="0022203E" w:rsidP="0022203E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</w:p>
        </w:tc>
        <w:tc>
          <w:tcPr>
            <w:tcW w:w="7998" w:type="dxa"/>
            <w:gridSpan w:val="2"/>
            <w:tcBorders>
              <w:right w:val="single" w:sz="18" w:space="0" w:color="auto"/>
            </w:tcBorders>
          </w:tcPr>
          <w:p w:rsidR="0022203E" w:rsidRPr="009A3E5C" w:rsidRDefault="0022203E" w:rsidP="008062EF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  <w:r w:rsidRPr="009A3E5C">
              <w:rPr>
                <w:rFonts w:ascii="Arial" w:hAnsi="Arial" w:cs="Arial"/>
                <w:color w:val="000000"/>
                <w:sz w:val="24"/>
                <w:lang w:val="fr-CA"/>
              </w:rPr>
              <w:t>Dossiers de</w:t>
            </w:r>
            <w:r>
              <w:rPr>
                <w:rFonts w:ascii="Arial" w:hAnsi="Arial" w:cs="Arial"/>
                <w:color w:val="000000"/>
                <w:sz w:val="24"/>
                <w:lang w:val="fr-CA"/>
              </w:rPr>
              <w:t xml:space="preserve"> collecte de</w:t>
            </w:r>
            <w:r w:rsidRPr="009A3E5C">
              <w:rPr>
                <w:rFonts w:ascii="Arial" w:hAnsi="Arial" w:cs="Arial"/>
                <w:color w:val="000000"/>
                <w:sz w:val="24"/>
                <w:lang w:val="fr-CA"/>
              </w:rPr>
              <w:t>s don</w:t>
            </w:r>
            <w:r w:rsidR="008062EF">
              <w:rPr>
                <w:rFonts w:ascii="Arial" w:hAnsi="Arial" w:cs="Arial"/>
                <w:color w:val="000000"/>
                <w:sz w:val="24"/>
                <w:lang w:val="fr-CA"/>
              </w:rPr>
              <w:t>s</w:t>
            </w:r>
            <w:r w:rsidRPr="009A3E5C">
              <w:rPr>
                <w:rFonts w:ascii="Arial" w:hAnsi="Arial" w:cs="Arial"/>
                <w:color w:val="000000"/>
                <w:sz w:val="24"/>
                <w:lang w:val="fr-CA"/>
              </w:rPr>
              <w:t xml:space="preserve"> autologues</w:t>
            </w:r>
          </w:p>
        </w:tc>
      </w:tr>
      <w:tr w:rsidR="001273E9" w:rsidRPr="009A3E5C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left w:val="single" w:sz="18" w:space="0" w:color="auto"/>
            </w:tcBorders>
          </w:tcPr>
          <w:p w:rsidR="001273E9" w:rsidRPr="009A3E5C" w:rsidRDefault="001273E9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</w:p>
        </w:tc>
        <w:tc>
          <w:tcPr>
            <w:tcW w:w="7998" w:type="dxa"/>
            <w:gridSpan w:val="2"/>
            <w:tcBorders>
              <w:right w:val="single" w:sz="18" w:space="0" w:color="auto"/>
            </w:tcBorders>
          </w:tcPr>
          <w:p w:rsidR="001273E9" w:rsidRPr="009A3E5C" w:rsidRDefault="000248F9" w:rsidP="0022203E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  <w:r w:rsidRPr="009A3E5C">
              <w:rPr>
                <w:rFonts w:ascii="Arial" w:hAnsi="Arial" w:cs="Arial"/>
                <w:color w:val="000000"/>
                <w:sz w:val="24"/>
                <w:lang w:val="fr-CA"/>
              </w:rPr>
              <w:t>Registre d'inspection d</w:t>
            </w:r>
            <w:r w:rsidR="0022203E">
              <w:rPr>
                <w:rFonts w:ascii="Arial" w:hAnsi="Arial" w:cs="Arial"/>
                <w:color w:val="000000"/>
                <w:sz w:val="24"/>
                <w:lang w:val="fr-CA"/>
              </w:rPr>
              <w:t>e</w:t>
            </w:r>
            <w:r w:rsidRPr="009A3E5C">
              <w:rPr>
                <w:rFonts w:ascii="Arial" w:hAnsi="Arial" w:cs="Arial"/>
                <w:color w:val="000000"/>
                <w:sz w:val="24"/>
                <w:lang w:val="fr-CA"/>
              </w:rPr>
              <w:t>s composants sanguins avant leur mise en circulation</w:t>
            </w:r>
          </w:p>
        </w:tc>
      </w:tr>
      <w:tr w:rsidR="001273E9" w:rsidRPr="009A3E5C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left w:val="single" w:sz="18" w:space="0" w:color="auto"/>
            </w:tcBorders>
          </w:tcPr>
          <w:p w:rsidR="001273E9" w:rsidRPr="009A3E5C" w:rsidRDefault="001273E9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</w:p>
        </w:tc>
        <w:tc>
          <w:tcPr>
            <w:tcW w:w="7998" w:type="dxa"/>
            <w:gridSpan w:val="2"/>
            <w:tcBorders>
              <w:right w:val="single" w:sz="18" w:space="0" w:color="auto"/>
            </w:tcBorders>
          </w:tcPr>
          <w:p w:rsidR="001273E9" w:rsidRPr="009A3E5C" w:rsidRDefault="000248F9" w:rsidP="000248F9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  <w:r w:rsidRPr="009A3E5C">
              <w:rPr>
                <w:rFonts w:ascii="Arial" w:hAnsi="Arial" w:cs="Arial"/>
                <w:color w:val="000000"/>
                <w:sz w:val="24"/>
                <w:lang w:val="fr-CA"/>
              </w:rPr>
              <w:t>Plaintes au sujet des produits</w:t>
            </w:r>
          </w:p>
        </w:tc>
      </w:tr>
      <w:tr w:rsidR="001273E9" w:rsidRPr="009A3E5C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left w:val="single" w:sz="18" w:space="0" w:color="auto"/>
            </w:tcBorders>
          </w:tcPr>
          <w:p w:rsidR="001273E9" w:rsidRPr="009A3E5C" w:rsidRDefault="001273E9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</w:p>
        </w:tc>
        <w:tc>
          <w:tcPr>
            <w:tcW w:w="7998" w:type="dxa"/>
            <w:gridSpan w:val="2"/>
            <w:tcBorders>
              <w:right w:val="single" w:sz="18" w:space="0" w:color="auto"/>
            </w:tcBorders>
          </w:tcPr>
          <w:p w:rsidR="001273E9" w:rsidRPr="009A3E5C" w:rsidRDefault="000248F9" w:rsidP="008062EF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  <w:r w:rsidRPr="009A3E5C">
              <w:rPr>
                <w:rFonts w:ascii="Arial" w:hAnsi="Arial" w:cs="Arial"/>
                <w:color w:val="000000"/>
                <w:sz w:val="24"/>
                <w:lang w:val="fr-CA"/>
              </w:rPr>
              <w:t>Dossiers de</w:t>
            </w:r>
            <w:r w:rsidR="008062EF">
              <w:rPr>
                <w:rFonts w:ascii="Arial" w:hAnsi="Arial" w:cs="Arial"/>
                <w:color w:val="000000"/>
                <w:sz w:val="24"/>
                <w:lang w:val="fr-CA"/>
              </w:rPr>
              <w:t>s</w:t>
            </w:r>
            <w:r w:rsidRPr="009A3E5C">
              <w:rPr>
                <w:rFonts w:ascii="Arial" w:hAnsi="Arial" w:cs="Arial"/>
                <w:color w:val="000000"/>
                <w:sz w:val="24"/>
                <w:lang w:val="fr-CA"/>
              </w:rPr>
              <w:t xml:space="preserve"> vérifications internes</w:t>
            </w:r>
          </w:p>
        </w:tc>
      </w:tr>
      <w:tr w:rsidR="0022203E" w:rsidRPr="009A3E5C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left w:val="single" w:sz="18" w:space="0" w:color="auto"/>
            </w:tcBorders>
          </w:tcPr>
          <w:p w:rsidR="0022203E" w:rsidRPr="009A3E5C" w:rsidRDefault="0022203E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</w:p>
        </w:tc>
        <w:tc>
          <w:tcPr>
            <w:tcW w:w="7998" w:type="dxa"/>
            <w:gridSpan w:val="2"/>
            <w:tcBorders>
              <w:right w:val="single" w:sz="18" w:space="0" w:color="auto"/>
            </w:tcBorders>
          </w:tcPr>
          <w:p w:rsidR="0022203E" w:rsidRPr="009A3E5C" w:rsidRDefault="0022203E" w:rsidP="000248F9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  <w:r w:rsidRPr="009A3E5C">
              <w:rPr>
                <w:rFonts w:ascii="Arial" w:hAnsi="Arial" w:cs="Arial"/>
                <w:color w:val="000000"/>
                <w:sz w:val="24"/>
                <w:lang w:val="fr-CA"/>
              </w:rPr>
              <w:t>Rapports d’assurance de la qualité</w:t>
            </w:r>
          </w:p>
        </w:tc>
      </w:tr>
      <w:tr w:rsidR="006176E7" w:rsidRPr="009A3E5C" w:rsidTr="006176E7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9CC2E5"/>
          </w:tcPr>
          <w:p w:rsidR="0083040D" w:rsidRPr="009A3E5C" w:rsidRDefault="0083040D" w:rsidP="000248F9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  <w:r w:rsidRPr="009A3E5C">
              <w:rPr>
                <w:rFonts w:ascii="Arial" w:hAnsi="Arial" w:cs="Arial"/>
                <w:color w:val="000000"/>
                <w:sz w:val="24"/>
                <w:lang w:val="fr-CA"/>
              </w:rPr>
              <w:t>3 ans</w:t>
            </w:r>
          </w:p>
        </w:tc>
        <w:tc>
          <w:tcPr>
            <w:tcW w:w="799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9CC2E5"/>
          </w:tcPr>
          <w:p w:rsidR="0083040D" w:rsidRPr="009A3E5C" w:rsidRDefault="0083040D" w:rsidP="00523EA1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</w:p>
        </w:tc>
      </w:tr>
      <w:tr w:rsidR="001273E9" w:rsidRPr="009A3E5C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1273E9" w:rsidRPr="009A3E5C" w:rsidRDefault="001273E9" w:rsidP="000248F9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</w:p>
        </w:tc>
        <w:tc>
          <w:tcPr>
            <w:tcW w:w="799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1273E9" w:rsidRPr="009A3E5C" w:rsidRDefault="00C002AB" w:rsidP="00C002AB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  <w:r>
              <w:rPr>
                <w:rFonts w:ascii="Arial" w:hAnsi="Arial" w:cs="Arial"/>
                <w:color w:val="000000"/>
                <w:sz w:val="24"/>
                <w:lang w:val="fr-CA"/>
              </w:rPr>
              <w:t>Fournitures essentielles à la transformation (définition de ce qui constitue une fourniture essentielle)</w:t>
            </w:r>
          </w:p>
        </w:tc>
      </w:tr>
      <w:tr w:rsidR="001273E9" w:rsidRPr="009A3E5C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left w:val="single" w:sz="18" w:space="0" w:color="auto"/>
            </w:tcBorders>
          </w:tcPr>
          <w:p w:rsidR="001273E9" w:rsidRPr="009A3E5C" w:rsidRDefault="001273E9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</w:p>
        </w:tc>
        <w:tc>
          <w:tcPr>
            <w:tcW w:w="7998" w:type="dxa"/>
            <w:gridSpan w:val="2"/>
            <w:tcBorders>
              <w:right w:val="single" w:sz="18" w:space="0" w:color="auto"/>
            </w:tcBorders>
          </w:tcPr>
          <w:p w:rsidR="001273E9" w:rsidRPr="009A3E5C" w:rsidRDefault="00C002AB" w:rsidP="0022203E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  <w:r>
              <w:rPr>
                <w:rFonts w:ascii="Arial" w:hAnsi="Arial" w:cs="Arial"/>
                <w:color w:val="000000"/>
                <w:sz w:val="24"/>
                <w:lang w:val="fr-CA"/>
              </w:rPr>
              <w:t>Documentation de l’entretien, de la validation, de la calibration et de la vérification du rendement de l’équipement essentiel utilisé (utilisé pour transformer les composants)</w:t>
            </w:r>
          </w:p>
        </w:tc>
      </w:tr>
      <w:tr w:rsidR="0083040D" w:rsidRPr="009A3E5C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left w:val="single" w:sz="18" w:space="0" w:color="auto"/>
            </w:tcBorders>
          </w:tcPr>
          <w:p w:rsidR="0083040D" w:rsidRPr="009A3E5C" w:rsidRDefault="0083040D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</w:p>
        </w:tc>
        <w:tc>
          <w:tcPr>
            <w:tcW w:w="7998" w:type="dxa"/>
            <w:gridSpan w:val="2"/>
            <w:tcBorders>
              <w:right w:val="single" w:sz="18" w:space="0" w:color="auto"/>
            </w:tcBorders>
          </w:tcPr>
          <w:p w:rsidR="0083040D" w:rsidRPr="006075FE" w:rsidRDefault="006075FE" w:rsidP="006075FE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  <w:r>
              <w:rPr>
                <w:rFonts w:ascii="Arial" w:hAnsi="Arial" w:cs="Arial"/>
                <w:color w:val="000000"/>
                <w:sz w:val="24"/>
                <w:lang w:val="fr-CA"/>
              </w:rPr>
              <w:t>Dossier de fonctionnement des systèmes informatiques (changements apportés, entretien, sécurité, contrôle de l’accès, incidents et pannes, correctifs apportés aux erreurs)</w:t>
            </w:r>
          </w:p>
        </w:tc>
      </w:tr>
      <w:tr w:rsidR="001273E9" w:rsidRPr="009A3E5C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1273E9" w:rsidRPr="009A3E5C" w:rsidRDefault="001273E9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</w:p>
        </w:tc>
        <w:tc>
          <w:tcPr>
            <w:tcW w:w="799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1273E9" w:rsidRPr="009A3E5C" w:rsidRDefault="006075FE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  <w:r w:rsidRPr="0022203E">
              <w:rPr>
                <w:rFonts w:ascii="Arial" w:hAnsi="Arial" w:cs="Arial"/>
                <w:color w:val="000000"/>
                <w:sz w:val="24"/>
                <w:lang w:val="fr-CA"/>
              </w:rPr>
              <w:t xml:space="preserve">Dossier de </w:t>
            </w:r>
            <w:r w:rsidRPr="009A3E5C">
              <w:rPr>
                <w:rFonts w:ascii="Arial" w:hAnsi="Arial" w:cs="Arial"/>
                <w:color w:val="000000"/>
                <w:sz w:val="24"/>
                <w:lang w:val="fr-CA"/>
              </w:rPr>
              <w:t>validation des systèmes informatiques</w:t>
            </w:r>
            <w:r>
              <w:rPr>
                <w:rFonts w:ascii="Arial" w:hAnsi="Arial" w:cs="Arial"/>
                <w:color w:val="000000"/>
                <w:sz w:val="24"/>
                <w:lang w:val="fr-CA"/>
              </w:rPr>
              <w:t xml:space="preserve"> (changements apportés, formation, plan de validation)</w:t>
            </w:r>
          </w:p>
        </w:tc>
      </w:tr>
      <w:tr w:rsidR="006176E7" w:rsidRPr="009A3E5C" w:rsidTr="006176E7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9CC2E5"/>
          </w:tcPr>
          <w:p w:rsidR="001273E9" w:rsidRPr="009A3E5C" w:rsidRDefault="001273E9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  <w:r w:rsidRPr="009A3E5C">
              <w:rPr>
                <w:rFonts w:ascii="Arial" w:hAnsi="Arial" w:cs="Arial"/>
                <w:color w:val="000000"/>
                <w:sz w:val="24"/>
                <w:lang w:val="fr-CA"/>
              </w:rPr>
              <w:t xml:space="preserve">1 </w:t>
            </w:r>
            <w:r w:rsidR="009A3E5C" w:rsidRPr="009A3E5C">
              <w:rPr>
                <w:rFonts w:ascii="Arial" w:hAnsi="Arial" w:cs="Arial"/>
                <w:color w:val="000000"/>
                <w:sz w:val="24"/>
                <w:lang w:val="fr-CA"/>
              </w:rPr>
              <w:t>an</w:t>
            </w:r>
          </w:p>
        </w:tc>
        <w:tc>
          <w:tcPr>
            <w:tcW w:w="7998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CC2E5"/>
          </w:tcPr>
          <w:p w:rsidR="001273E9" w:rsidRPr="009A3E5C" w:rsidRDefault="001273E9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</w:p>
        </w:tc>
      </w:tr>
      <w:tr w:rsidR="0053063B" w:rsidRPr="009A3E5C" w:rsidTr="006176E7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5A5A5"/>
            </w:tcBorders>
          </w:tcPr>
          <w:p w:rsidR="0053063B" w:rsidRPr="0053063B" w:rsidRDefault="0053063B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</w:p>
        </w:tc>
        <w:tc>
          <w:tcPr>
            <w:tcW w:w="7998" w:type="dxa"/>
            <w:gridSpan w:val="2"/>
            <w:tcBorders>
              <w:top w:val="single" w:sz="12" w:space="0" w:color="auto"/>
              <w:bottom w:val="single" w:sz="4" w:space="0" w:color="A5A5A5"/>
              <w:right w:val="single" w:sz="18" w:space="0" w:color="auto"/>
            </w:tcBorders>
          </w:tcPr>
          <w:p w:rsidR="0053063B" w:rsidRPr="0053063B" w:rsidRDefault="0053063B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  <w:r w:rsidRPr="0053063B">
              <w:rPr>
                <w:rFonts w:ascii="Arial" w:hAnsi="Arial" w:cs="Arial"/>
                <w:color w:val="000000"/>
                <w:sz w:val="24"/>
                <w:lang w:val="fr-CA"/>
              </w:rPr>
              <w:t>Date et heure de prélèvement d’un échantillon et identité du phlébotomiste</w:t>
            </w:r>
          </w:p>
        </w:tc>
      </w:tr>
      <w:tr w:rsidR="0053063B" w:rsidRPr="009A3E5C" w:rsidTr="006176E7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top w:val="single" w:sz="4" w:space="0" w:color="A5A5A5"/>
              <w:left w:val="single" w:sz="18" w:space="0" w:color="auto"/>
              <w:bottom w:val="single" w:sz="4" w:space="0" w:color="A5A5A5"/>
            </w:tcBorders>
          </w:tcPr>
          <w:p w:rsidR="0053063B" w:rsidRPr="0053063B" w:rsidRDefault="0053063B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5A5A5"/>
              <w:bottom w:val="single" w:sz="4" w:space="0" w:color="A5A5A5"/>
              <w:right w:val="single" w:sz="18" w:space="0" w:color="auto"/>
            </w:tcBorders>
          </w:tcPr>
          <w:p w:rsidR="0053063B" w:rsidRPr="0053063B" w:rsidRDefault="00C002AB" w:rsidP="008062EF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  <w:r>
              <w:rPr>
                <w:rFonts w:ascii="Arial" w:hAnsi="Arial" w:cs="Arial"/>
                <w:color w:val="000000"/>
                <w:sz w:val="24"/>
                <w:lang w:val="fr-CA"/>
              </w:rPr>
              <w:t>Documents d’envoi (</w:t>
            </w:r>
            <w:r w:rsidR="008062EF">
              <w:rPr>
                <w:rFonts w:ascii="Arial" w:hAnsi="Arial" w:cs="Arial"/>
                <w:color w:val="000000"/>
                <w:sz w:val="24"/>
                <w:lang w:val="fr-CA"/>
              </w:rPr>
              <w:t xml:space="preserve">document de la </w:t>
            </w:r>
            <w:r>
              <w:rPr>
                <w:rFonts w:ascii="Arial" w:hAnsi="Arial" w:cs="Arial"/>
                <w:color w:val="000000"/>
                <w:sz w:val="24"/>
                <w:lang w:val="fr-CA"/>
              </w:rPr>
              <w:t>messagerie ou bon de connaissement) en cas de transfert de composants ou produits sanguins (du fournisseur ou entre hôpitaux)</w:t>
            </w:r>
          </w:p>
        </w:tc>
      </w:tr>
      <w:tr w:rsidR="006176E7" w:rsidRPr="009A3E5C" w:rsidTr="006176E7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top w:val="single" w:sz="4" w:space="0" w:color="A5A5A5"/>
              <w:left w:val="single" w:sz="18" w:space="0" w:color="auto"/>
              <w:bottom w:val="single" w:sz="4" w:space="0" w:color="A5A5A5"/>
            </w:tcBorders>
          </w:tcPr>
          <w:p w:rsidR="001273E9" w:rsidRPr="0053063B" w:rsidRDefault="001273E9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5A5A5"/>
              <w:bottom w:val="single" w:sz="4" w:space="0" w:color="A5A5A5"/>
              <w:right w:val="single" w:sz="18" w:space="0" w:color="auto"/>
            </w:tcBorders>
          </w:tcPr>
          <w:p w:rsidR="001273E9" w:rsidRPr="0053063B" w:rsidRDefault="00C002AB" w:rsidP="00C002AB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  <w:r>
              <w:rPr>
                <w:rFonts w:ascii="Arial" w:hAnsi="Arial" w:cs="Arial"/>
                <w:color w:val="000000"/>
                <w:sz w:val="24"/>
                <w:lang w:val="fr-CA"/>
              </w:rPr>
              <w:t xml:space="preserve">Numéro de lot des fournitures essentielles à chaque transformation et nom du fabricant </w:t>
            </w:r>
          </w:p>
        </w:tc>
      </w:tr>
      <w:tr w:rsidR="006176E7" w:rsidRPr="009A3E5C" w:rsidTr="006176E7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9CC2E5"/>
          </w:tcPr>
          <w:p w:rsidR="001273E9" w:rsidRPr="009A3E5C" w:rsidRDefault="0053063B" w:rsidP="0053063B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  <w:r>
              <w:rPr>
                <w:rFonts w:ascii="Arial" w:hAnsi="Arial" w:cs="Arial"/>
                <w:color w:val="000000"/>
                <w:sz w:val="24"/>
                <w:lang w:val="fr-CA"/>
              </w:rPr>
              <w:t>Selon la politique de l’hôpital</w:t>
            </w:r>
          </w:p>
        </w:tc>
        <w:tc>
          <w:tcPr>
            <w:tcW w:w="7998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CC2E5"/>
          </w:tcPr>
          <w:p w:rsidR="001273E9" w:rsidRPr="009A3E5C" w:rsidRDefault="001273E9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</w:p>
        </w:tc>
      </w:tr>
      <w:tr w:rsidR="006176E7" w:rsidRPr="009A3E5C" w:rsidTr="006176E7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5A5A5"/>
            </w:tcBorders>
          </w:tcPr>
          <w:p w:rsidR="001273E9" w:rsidRPr="009A3E5C" w:rsidRDefault="001273E9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</w:p>
        </w:tc>
        <w:tc>
          <w:tcPr>
            <w:tcW w:w="7998" w:type="dxa"/>
            <w:gridSpan w:val="2"/>
            <w:tcBorders>
              <w:top w:val="single" w:sz="12" w:space="0" w:color="auto"/>
              <w:bottom w:val="single" w:sz="4" w:space="0" w:color="A5A5A5"/>
              <w:right w:val="single" w:sz="18" w:space="0" w:color="auto"/>
            </w:tcBorders>
          </w:tcPr>
          <w:p w:rsidR="001273E9" w:rsidRPr="009A3E5C" w:rsidRDefault="00C002AB" w:rsidP="00C002AB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  <w:r>
              <w:rPr>
                <w:rFonts w:ascii="Arial" w:hAnsi="Arial" w:cs="Arial"/>
                <w:color w:val="000000"/>
                <w:sz w:val="24"/>
                <w:lang w:val="fr-CA"/>
              </w:rPr>
              <w:t>Gestion des stocks de sang – avis sur les quantités en stock ou sur un problème, documentation de toute réaction ou mesure prise</w:t>
            </w:r>
          </w:p>
        </w:tc>
      </w:tr>
      <w:tr w:rsidR="006176E7" w:rsidRPr="009A3E5C" w:rsidTr="006176E7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top w:val="single" w:sz="4" w:space="0" w:color="A5A5A5"/>
              <w:left w:val="single" w:sz="18" w:space="0" w:color="auto"/>
            </w:tcBorders>
          </w:tcPr>
          <w:p w:rsidR="001273E9" w:rsidRPr="009A3E5C" w:rsidRDefault="001273E9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5A5A5"/>
              <w:right w:val="single" w:sz="18" w:space="0" w:color="auto"/>
            </w:tcBorders>
          </w:tcPr>
          <w:p w:rsidR="001273E9" w:rsidRPr="009A3E5C" w:rsidRDefault="00767323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  <w:r>
              <w:rPr>
                <w:rFonts w:ascii="Arial" w:hAnsi="Arial" w:cs="Arial"/>
                <w:color w:val="000000"/>
                <w:sz w:val="24"/>
                <w:lang w:val="fr-CA"/>
              </w:rPr>
              <w:t>Demande d’analyse prétransfusionnelle d’un patient</w:t>
            </w:r>
          </w:p>
        </w:tc>
      </w:tr>
      <w:tr w:rsidR="001273E9" w:rsidRPr="009A3E5C" w:rsidTr="00767323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1273E9" w:rsidRPr="009A3E5C" w:rsidRDefault="001273E9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</w:p>
        </w:tc>
        <w:tc>
          <w:tcPr>
            <w:tcW w:w="7998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1273E9" w:rsidRPr="00767323" w:rsidRDefault="00767323" w:rsidP="008062EF">
            <w:pPr>
              <w:rPr>
                <w:rFonts w:ascii="Arial" w:hAnsi="Arial" w:cs="Arial"/>
                <w:sz w:val="24"/>
                <w:lang w:val="fr-CA"/>
              </w:rPr>
            </w:pPr>
            <w:r>
              <w:rPr>
                <w:rFonts w:ascii="Arial" w:hAnsi="Arial" w:cs="Arial"/>
                <w:color w:val="000000"/>
                <w:sz w:val="24"/>
                <w:lang w:val="fr-CA"/>
              </w:rPr>
              <w:t>Dossier d’assurance qualité externe (AQE) et registre d’inspection ou d’évaluation, mesures correctives et réactions aux avis des instances d’accréditation ou de réglementation</w:t>
            </w:r>
          </w:p>
        </w:tc>
      </w:tr>
      <w:tr w:rsidR="00767323" w:rsidRPr="009A3E5C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767323" w:rsidRPr="009A3E5C" w:rsidRDefault="00767323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</w:p>
        </w:tc>
        <w:tc>
          <w:tcPr>
            <w:tcW w:w="799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767323" w:rsidRDefault="00767323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  <w:r>
              <w:rPr>
                <w:rFonts w:ascii="Arial" w:hAnsi="Arial" w:cs="Arial"/>
                <w:color w:val="000000"/>
                <w:sz w:val="24"/>
                <w:lang w:val="fr-CA"/>
              </w:rPr>
              <w:t>Confirmation du groupe ABO d’unités de donneur</w:t>
            </w:r>
          </w:p>
        </w:tc>
      </w:tr>
      <w:tr w:rsidR="001273E9" w:rsidRPr="009A3E5C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273E9" w:rsidRPr="009A3E5C" w:rsidRDefault="009A3E5C" w:rsidP="0053063B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  <w:r w:rsidRPr="009A3E5C">
              <w:rPr>
                <w:rFonts w:ascii="Arial" w:hAnsi="Arial" w:cs="Arial"/>
                <w:color w:val="000000"/>
                <w:sz w:val="24"/>
                <w:lang w:val="fr-CA"/>
              </w:rPr>
              <w:t>Durée de vie</w:t>
            </w:r>
            <w:r w:rsidR="0053063B">
              <w:rPr>
                <w:rFonts w:ascii="Arial" w:hAnsi="Arial" w:cs="Arial"/>
                <w:color w:val="000000"/>
                <w:sz w:val="24"/>
                <w:lang w:val="fr-CA"/>
              </w:rPr>
              <w:t xml:space="preserve"> </w:t>
            </w:r>
            <w:r w:rsidR="0053063B">
              <w:rPr>
                <w:rFonts w:ascii="Arial" w:hAnsi="Arial" w:cs="Arial"/>
                <w:color w:val="000000"/>
                <w:sz w:val="24"/>
                <w:lang w:val="fr-CA"/>
              </w:rPr>
              <w:br/>
              <w:t>+ 5 ans</w:t>
            </w:r>
          </w:p>
        </w:tc>
        <w:tc>
          <w:tcPr>
            <w:tcW w:w="799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3E9" w:rsidRPr="009A3E5C" w:rsidRDefault="0053063B" w:rsidP="0053063B">
            <w:pPr>
              <w:rPr>
                <w:rFonts w:ascii="Arial" w:hAnsi="Arial" w:cs="Arial"/>
                <w:color w:val="000000"/>
                <w:sz w:val="24"/>
                <w:lang w:val="fr-CA"/>
              </w:rPr>
            </w:pPr>
            <w:r>
              <w:rPr>
                <w:rFonts w:ascii="Arial" w:hAnsi="Arial" w:cs="Arial"/>
                <w:color w:val="000000"/>
                <w:sz w:val="24"/>
                <w:lang w:val="fr-CA"/>
              </w:rPr>
              <w:t>Dossiers d’achat et de calibration des b</w:t>
            </w:r>
            <w:r w:rsidR="009A3E5C" w:rsidRPr="009A3E5C">
              <w:rPr>
                <w:rFonts w:ascii="Arial" w:hAnsi="Arial" w:cs="Arial"/>
                <w:color w:val="000000"/>
                <w:sz w:val="24"/>
                <w:lang w:val="fr-CA"/>
              </w:rPr>
              <w:t>iens d’équipement</w:t>
            </w:r>
            <w:r>
              <w:rPr>
                <w:rFonts w:ascii="Arial" w:hAnsi="Arial" w:cs="Arial"/>
                <w:color w:val="000000"/>
                <w:sz w:val="24"/>
                <w:lang w:val="fr-CA"/>
              </w:rPr>
              <w:t>, date de mise en service, entretien, réparation, retrait et élimination</w:t>
            </w:r>
          </w:p>
        </w:tc>
      </w:tr>
    </w:tbl>
    <w:p w:rsidR="00B66D6F" w:rsidRDefault="00B66D6F">
      <w:pPr>
        <w:ind w:left="360"/>
        <w:rPr>
          <w:rFonts w:ascii="Arial" w:hAnsi="Arial" w:cs="Arial"/>
          <w:color w:val="000000"/>
          <w:lang w:val="fr-CA"/>
        </w:rPr>
      </w:pPr>
    </w:p>
    <w:p w:rsidR="001273E9" w:rsidRPr="00B66D6F" w:rsidRDefault="001273E9">
      <w:pPr>
        <w:ind w:left="360"/>
        <w:rPr>
          <w:rFonts w:ascii="Arial" w:hAnsi="Arial" w:cs="Arial"/>
          <w:color w:val="000000"/>
          <w:lang w:val="fr-CA"/>
        </w:rPr>
      </w:pPr>
      <w:r w:rsidRPr="00B66D6F">
        <w:rPr>
          <w:rFonts w:ascii="Arial" w:hAnsi="Arial" w:cs="Arial"/>
          <w:color w:val="000000"/>
          <w:lang w:val="fr-CA"/>
        </w:rPr>
        <w:t xml:space="preserve">† </w:t>
      </w:r>
      <w:r w:rsidR="009A3E5C" w:rsidRPr="00B66D6F">
        <w:rPr>
          <w:rFonts w:ascii="Arial" w:hAnsi="Arial" w:cs="Arial"/>
          <w:color w:val="000000"/>
          <w:lang w:val="fr-CA"/>
        </w:rPr>
        <w:t xml:space="preserve">gardés </w:t>
      </w:r>
      <w:r w:rsidRPr="00B66D6F">
        <w:rPr>
          <w:rFonts w:ascii="Arial" w:hAnsi="Arial" w:cs="Arial"/>
          <w:color w:val="000000"/>
          <w:lang w:val="fr-CA"/>
        </w:rPr>
        <w:t xml:space="preserve">10 </w:t>
      </w:r>
      <w:r w:rsidR="009A3E5C" w:rsidRPr="00B66D6F">
        <w:rPr>
          <w:rFonts w:ascii="Arial" w:hAnsi="Arial" w:cs="Arial"/>
          <w:color w:val="000000"/>
          <w:lang w:val="fr-CA"/>
        </w:rPr>
        <w:t>ans après le départ de l’employé</w:t>
      </w:r>
      <w:r w:rsidRPr="00B66D6F">
        <w:rPr>
          <w:rFonts w:ascii="Arial" w:hAnsi="Arial" w:cs="Arial"/>
          <w:color w:val="000000"/>
          <w:lang w:val="fr-CA"/>
        </w:rPr>
        <w:t>.</w:t>
      </w:r>
    </w:p>
    <w:p w:rsidR="001273E9" w:rsidRPr="009A3E5C" w:rsidRDefault="001273E9">
      <w:pPr>
        <w:rPr>
          <w:rFonts w:ascii="Arial" w:hAnsi="Arial"/>
          <w:color w:val="000000"/>
          <w:sz w:val="24"/>
          <w:lang w:val="fr-CA"/>
        </w:rPr>
      </w:pPr>
    </w:p>
    <w:p w:rsidR="001273E9" w:rsidRPr="009A3E5C" w:rsidRDefault="009A3E5C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9A3E5C">
        <w:rPr>
          <w:rFonts w:ascii="Arial" w:hAnsi="Arial"/>
          <w:b/>
          <w:color w:val="000000"/>
          <w:sz w:val="28"/>
          <w:lang w:val="fr-CA"/>
        </w:rPr>
        <w:t>Documentation – S.O.</w:t>
      </w:r>
    </w:p>
    <w:p w:rsidR="001273E9" w:rsidRPr="009A3E5C" w:rsidRDefault="00767323">
      <w:pPr>
        <w:ind w:left="720"/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br w:type="page"/>
      </w:r>
    </w:p>
    <w:p w:rsidR="009D12FC" w:rsidRDefault="009A3E5C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9A3E5C">
        <w:rPr>
          <w:rFonts w:ascii="Arial" w:hAnsi="Arial"/>
          <w:b/>
          <w:color w:val="000000"/>
          <w:sz w:val="28"/>
          <w:lang w:val="fr-CA"/>
        </w:rPr>
        <w:t xml:space="preserve">Remarques </w:t>
      </w:r>
    </w:p>
    <w:p w:rsidR="009D12FC" w:rsidRDefault="009D12FC" w:rsidP="009D12FC">
      <w:pPr>
        <w:pStyle w:val="ListParagraph"/>
        <w:rPr>
          <w:rFonts w:ascii="Arial" w:hAnsi="Arial"/>
          <w:b/>
          <w:color w:val="000000"/>
          <w:sz w:val="28"/>
          <w:lang w:val="fr-CA"/>
        </w:rPr>
      </w:pPr>
    </w:p>
    <w:p w:rsidR="001273E9" w:rsidRPr="009A3E5C" w:rsidRDefault="00767323" w:rsidP="009D12FC">
      <w:pPr>
        <w:numPr>
          <w:ilvl w:val="1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Le dossier transfusionnel du patient (compren</w:t>
      </w:r>
      <w:r w:rsidR="00A66F74">
        <w:rPr>
          <w:rFonts w:ascii="Arial" w:hAnsi="Arial"/>
          <w:color w:val="000000"/>
          <w:sz w:val="24"/>
          <w:lang w:val="fr-CA"/>
        </w:rPr>
        <w:t>ant</w:t>
      </w:r>
      <w:r>
        <w:rPr>
          <w:rFonts w:ascii="Arial" w:hAnsi="Arial"/>
          <w:color w:val="000000"/>
          <w:sz w:val="24"/>
          <w:lang w:val="fr-CA"/>
        </w:rPr>
        <w:t xml:space="preserve"> registre de transfusion, résultats d’analyses, </w:t>
      </w:r>
      <w:r w:rsidR="00A66F74">
        <w:rPr>
          <w:rFonts w:ascii="Arial" w:hAnsi="Arial"/>
          <w:color w:val="000000"/>
          <w:sz w:val="24"/>
          <w:lang w:val="fr-CA"/>
        </w:rPr>
        <w:t>feuilles de travail d’identification des anticorps) doit être conservé conformément aux exigences de l’établissement quant aux dossiers médicaux</w:t>
      </w:r>
      <w:r w:rsidR="00A66F74" w:rsidRPr="00A66F74">
        <w:rPr>
          <w:rFonts w:ascii="Arial" w:hAnsi="Arial"/>
          <w:color w:val="000000"/>
          <w:sz w:val="24"/>
          <w:vertAlign w:val="superscript"/>
          <w:lang w:val="fr-CA"/>
        </w:rPr>
        <w:t>9.3</w:t>
      </w:r>
      <w:r w:rsidR="00A66F74">
        <w:rPr>
          <w:rFonts w:ascii="Arial" w:hAnsi="Arial"/>
          <w:color w:val="000000"/>
          <w:sz w:val="24"/>
          <w:lang w:val="fr-CA"/>
        </w:rPr>
        <w:t>.</w:t>
      </w:r>
    </w:p>
    <w:p w:rsidR="001273E9" w:rsidRPr="009A3E5C" w:rsidRDefault="001273E9">
      <w:pPr>
        <w:ind w:left="720"/>
        <w:rPr>
          <w:rFonts w:ascii="Arial" w:hAnsi="Arial"/>
          <w:color w:val="000000"/>
          <w:sz w:val="24"/>
          <w:lang w:val="fr-CA"/>
        </w:rPr>
      </w:pPr>
    </w:p>
    <w:p w:rsidR="001273E9" w:rsidRPr="009A3E5C" w:rsidRDefault="001273E9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9A3E5C">
        <w:rPr>
          <w:rFonts w:ascii="Arial" w:hAnsi="Arial"/>
          <w:b/>
          <w:color w:val="000000"/>
          <w:sz w:val="28"/>
          <w:lang w:val="fr-CA"/>
        </w:rPr>
        <w:t>R</w:t>
      </w:r>
      <w:r w:rsidR="009A3E5C" w:rsidRPr="009A3E5C">
        <w:rPr>
          <w:rFonts w:ascii="Arial" w:hAnsi="Arial"/>
          <w:b/>
          <w:color w:val="000000"/>
          <w:sz w:val="28"/>
          <w:lang w:val="fr-CA"/>
        </w:rPr>
        <w:t>éférences</w:t>
      </w:r>
    </w:p>
    <w:p w:rsidR="001273E9" w:rsidRPr="009A3E5C" w:rsidRDefault="001273E9">
      <w:pPr>
        <w:rPr>
          <w:rFonts w:ascii="Arial" w:hAnsi="Arial"/>
          <w:color w:val="000000"/>
          <w:sz w:val="24"/>
          <w:lang w:val="fr-CA"/>
        </w:rPr>
      </w:pPr>
    </w:p>
    <w:p w:rsidR="001273E9" w:rsidRPr="00B80D27" w:rsidRDefault="009D12FC">
      <w:pPr>
        <w:numPr>
          <w:ilvl w:val="1"/>
          <w:numId w:val="1"/>
        </w:numPr>
        <w:rPr>
          <w:rFonts w:ascii="Arial" w:hAnsi="Arial"/>
          <w:color w:val="000000"/>
          <w:sz w:val="24"/>
          <w:lang w:val="en-CA"/>
        </w:rPr>
      </w:pPr>
      <w:r w:rsidRPr="00B80D27">
        <w:rPr>
          <w:rFonts w:ascii="Arial" w:hAnsi="Arial"/>
          <w:i/>
          <w:color w:val="000000"/>
          <w:sz w:val="24"/>
          <w:lang w:val="en-CA"/>
        </w:rPr>
        <w:t xml:space="preserve">IQMH Requirements and Guidance Information, </w:t>
      </w:r>
      <w:r w:rsidRPr="00B80D27">
        <w:rPr>
          <w:rFonts w:ascii="Arial" w:hAnsi="Arial"/>
          <w:color w:val="000000"/>
          <w:sz w:val="24"/>
          <w:lang w:val="en-CA"/>
        </w:rPr>
        <w:t xml:space="preserve">section II – Quality Management System, </w:t>
      </w:r>
      <w:r w:rsidR="008062EF" w:rsidRPr="00B80D27">
        <w:rPr>
          <w:rFonts w:ascii="Arial" w:hAnsi="Arial"/>
          <w:color w:val="000000"/>
          <w:sz w:val="24"/>
          <w:lang w:val="en-CA"/>
        </w:rPr>
        <w:t>a</w:t>
      </w:r>
      <w:r w:rsidRPr="00B80D27">
        <w:rPr>
          <w:rFonts w:ascii="Arial" w:hAnsi="Arial"/>
          <w:color w:val="000000"/>
          <w:sz w:val="24"/>
          <w:lang w:val="en-CA"/>
        </w:rPr>
        <w:t>vril 2017 v7.1 II.A.2, II.F.13</w:t>
      </w:r>
    </w:p>
    <w:p w:rsidR="001273E9" w:rsidRPr="00B80D27" w:rsidRDefault="001273E9">
      <w:pPr>
        <w:ind w:left="720"/>
        <w:rPr>
          <w:rFonts w:ascii="Arial" w:hAnsi="Arial"/>
          <w:color w:val="000000"/>
          <w:sz w:val="24"/>
          <w:lang w:val="en-CA"/>
        </w:rPr>
      </w:pPr>
    </w:p>
    <w:p w:rsidR="009D12FC" w:rsidRDefault="009D12FC" w:rsidP="009D12FC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E56CC8">
        <w:rPr>
          <w:rFonts w:ascii="Arial" w:hAnsi="Arial"/>
          <w:sz w:val="24"/>
          <w:lang w:val="fr-CA"/>
        </w:rPr>
        <w:t>CAN/CSA</w:t>
      </w:r>
      <w:r>
        <w:rPr>
          <w:rFonts w:ascii="Arial" w:hAnsi="Arial"/>
          <w:sz w:val="24"/>
          <w:lang w:val="fr-CA"/>
        </w:rPr>
        <w:t xml:space="preserve"> </w:t>
      </w:r>
      <w:r w:rsidRPr="00A45473">
        <w:rPr>
          <w:rFonts w:ascii="Arial" w:hAnsi="Arial"/>
          <w:sz w:val="24"/>
          <w:lang w:val="fr-CA"/>
        </w:rPr>
        <w:t>CAN/CSA Z902-</w:t>
      </w:r>
      <w:r>
        <w:rPr>
          <w:rFonts w:ascii="Arial" w:hAnsi="Arial"/>
          <w:sz w:val="24"/>
          <w:lang w:val="fr-CA"/>
        </w:rPr>
        <w:t>15</w:t>
      </w:r>
      <w:r w:rsidRPr="00A45473">
        <w:rPr>
          <w:rFonts w:ascii="Arial" w:hAnsi="Arial"/>
          <w:sz w:val="24"/>
          <w:lang w:val="fr-CA"/>
        </w:rPr>
        <w:t xml:space="preserve">, </w:t>
      </w:r>
      <w:r w:rsidRPr="00523616">
        <w:rPr>
          <w:rFonts w:ascii="Arial" w:hAnsi="Arial"/>
          <w:i/>
          <w:sz w:val="24"/>
          <w:lang w:val="fr-CA"/>
        </w:rPr>
        <w:t>Sang et composants sanguins</w:t>
      </w:r>
      <w:r w:rsidRPr="00A45473">
        <w:rPr>
          <w:rFonts w:ascii="Arial" w:hAnsi="Arial"/>
          <w:sz w:val="24"/>
          <w:lang w:val="fr-CA"/>
        </w:rPr>
        <w:t xml:space="preserve">, </w:t>
      </w:r>
      <w:r>
        <w:rPr>
          <w:rFonts w:ascii="Arial" w:hAnsi="Arial"/>
          <w:sz w:val="24"/>
          <w:lang w:val="fr-CA"/>
        </w:rPr>
        <w:t>Conseil canadien des normes de l’</w:t>
      </w:r>
      <w:r w:rsidRPr="00A45473">
        <w:rPr>
          <w:rFonts w:ascii="Arial" w:hAnsi="Arial"/>
          <w:sz w:val="24"/>
          <w:lang w:val="fr-CA"/>
        </w:rPr>
        <w:t xml:space="preserve">Association canadienne de normalisation (CSA), </w:t>
      </w:r>
      <w:r w:rsidR="008062EF">
        <w:rPr>
          <w:rFonts w:ascii="Arial" w:hAnsi="Arial"/>
          <w:sz w:val="24"/>
          <w:lang w:val="fr-CA"/>
        </w:rPr>
        <w:t xml:space="preserve">décembre </w:t>
      </w:r>
      <w:r>
        <w:rPr>
          <w:rFonts w:ascii="Arial" w:hAnsi="Arial"/>
          <w:sz w:val="24"/>
          <w:lang w:val="fr-CA"/>
        </w:rPr>
        <w:t>2015</w:t>
      </w:r>
      <w:r w:rsidR="008062EF">
        <w:rPr>
          <w:rFonts w:ascii="Arial" w:hAnsi="Arial"/>
          <w:sz w:val="24"/>
          <w:lang w:val="fr-CA"/>
        </w:rPr>
        <w:t>. Tableaux 4 et 5</w:t>
      </w:r>
    </w:p>
    <w:p w:rsidR="009C2A97" w:rsidRDefault="009C2A97" w:rsidP="009C2A97">
      <w:pPr>
        <w:pStyle w:val="ListParagraph"/>
        <w:rPr>
          <w:rFonts w:ascii="Arial" w:hAnsi="Arial"/>
          <w:color w:val="000000"/>
          <w:sz w:val="24"/>
          <w:lang w:val="fr-CA"/>
        </w:rPr>
      </w:pPr>
    </w:p>
    <w:p w:rsidR="001273E9" w:rsidRPr="009A3E5C" w:rsidRDefault="009C2A97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523EA1">
        <w:rPr>
          <w:rFonts w:ascii="Arial" w:hAnsi="Arial"/>
          <w:i/>
          <w:color w:val="000000"/>
          <w:sz w:val="24"/>
          <w:lang w:val="fr-CA"/>
        </w:rPr>
        <w:t>Standards for Hospital Transfusion Services</w:t>
      </w:r>
      <w:r w:rsidRPr="009C2A97">
        <w:rPr>
          <w:rFonts w:ascii="Arial" w:hAnsi="Arial"/>
          <w:color w:val="000000"/>
          <w:sz w:val="24"/>
          <w:lang w:val="fr-CA"/>
        </w:rPr>
        <w:t xml:space="preserve">, version </w:t>
      </w:r>
      <w:r w:rsidR="009D12FC">
        <w:rPr>
          <w:rFonts w:ascii="Arial" w:hAnsi="Arial"/>
          <w:color w:val="000000"/>
          <w:sz w:val="24"/>
          <w:lang w:val="fr-CA"/>
        </w:rPr>
        <w:t>4</w:t>
      </w:r>
      <w:r w:rsidRPr="009C2A97">
        <w:rPr>
          <w:rFonts w:ascii="Arial" w:hAnsi="Arial"/>
          <w:color w:val="000000"/>
          <w:sz w:val="24"/>
          <w:lang w:val="fr-CA"/>
        </w:rPr>
        <w:t xml:space="preserve">, </w:t>
      </w:r>
      <w:r w:rsidR="009D12FC">
        <w:rPr>
          <w:rFonts w:ascii="Arial" w:hAnsi="Arial"/>
          <w:color w:val="000000"/>
          <w:sz w:val="24"/>
          <w:lang w:val="fr-CA"/>
        </w:rPr>
        <w:t xml:space="preserve">avril </w:t>
      </w:r>
      <w:r w:rsidRPr="009C2A97">
        <w:rPr>
          <w:rFonts w:ascii="Arial" w:hAnsi="Arial"/>
          <w:color w:val="000000"/>
          <w:sz w:val="24"/>
          <w:lang w:val="fr-CA"/>
        </w:rPr>
        <w:t>20</w:t>
      </w:r>
      <w:r w:rsidR="009D12FC">
        <w:rPr>
          <w:rFonts w:ascii="Arial" w:hAnsi="Arial"/>
          <w:color w:val="000000"/>
          <w:sz w:val="24"/>
          <w:lang w:val="fr-CA"/>
        </w:rPr>
        <w:t>1</w:t>
      </w:r>
      <w:r w:rsidRPr="009C2A97">
        <w:rPr>
          <w:rFonts w:ascii="Arial" w:hAnsi="Arial"/>
          <w:color w:val="000000"/>
          <w:sz w:val="24"/>
          <w:lang w:val="fr-CA"/>
        </w:rPr>
        <w:t>7, Société canadienne de médecine transfusionnelle</w:t>
      </w:r>
      <w:r w:rsidR="009D12FC">
        <w:rPr>
          <w:rFonts w:ascii="Arial" w:hAnsi="Arial"/>
          <w:color w:val="000000"/>
          <w:sz w:val="24"/>
          <w:lang w:val="fr-CA"/>
        </w:rPr>
        <w:t>;</w:t>
      </w:r>
      <w:r>
        <w:rPr>
          <w:rFonts w:ascii="Arial" w:hAnsi="Arial"/>
          <w:color w:val="000000"/>
          <w:sz w:val="24"/>
          <w:lang w:val="fr-CA"/>
        </w:rPr>
        <w:t xml:space="preserve"> annexe</w:t>
      </w:r>
      <w:r w:rsidRPr="009C2A97">
        <w:rPr>
          <w:rFonts w:ascii="Arial" w:hAnsi="Arial"/>
          <w:color w:val="000000"/>
          <w:sz w:val="24"/>
          <w:lang w:val="fr-CA"/>
        </w:rPr>
        <w:t xml:space="preserve"> A</w:t>
      </w:r>
      <w:r>
        <w:rPr>
          <w:rFonts w:ascii="Arial" w:hAnsi="Arial"/>
          <w:color w:val="000000"/>
          <w:sz w:val="24"/>
          <w:lang w:val="fr-CA"/>
        </w:rPr>
        <w:t>.</w:t>
      </w:r>
      <w:r w:rsidR="00180527" w:rsidRPr="009A3E5C">
        <w:rPr>
          <w:rFonts w:ascii="Arial" w:hAnsi="Arial"/>
          <w:color w:val="000000"/>
          <w:sz w:val="24"/>
          <w:lang w:val="fr-CA"/>
        </w:rPr>
        <w:t xml:space="preserve"> </w:t>
      </w:r>
    </w:p>
    <w:p w:rsidR="001273E9" w:rsidRPr="000248F9" w:rsidRDefault="001273E9">
      <w:pPr>
        <w:rPr>
          <w:rFonts w:ascii="Arial" w:hAnsi="Arial"/>
          <w:sz w:val="24"/>
          <w:lang w:val="fr-CA"/>
        </w:rPr>
      </w:pPr>
    </w:p>
    <w:p w:rsidR="001273E9" w:rsidRPr="000248F9" w:rsidRDefault="001273E9">
      <w:pPr>
        <w:rPr>
          <w:rFonts w:ascii="Arial" w:hAnsi="Arial"/>
          <w:sz w:val="24"/>
          <w:lang w:val="fr-CA"/>
        </w:rPr>
      </w:pPr>
    </w:p>
    <w:p w:rsidR="009A3E5C" w:rsidRDefault="009A3E5C" w:rsidP="009A3E5C">
      <w:pPr>
        <w:rPr>
          <w:lang w:val="fr-CA"/>
        </w:rPr>
      </w:pPr>
    </w:p>
    <w:p w:rsidR="009D12FC" w:rsidRPr="005862C8" w:rsidRDefault="009D12FC" w:rsidP="009D12FC">
      <w:pPr>
        <w:tabs>
          <w:tab w:val="left" w:pos="720"/>
          <w:tab w:val="left" w:pos="1440"/>
          <w:tab w:val="left" w:pos="2160"/>
          <w:tab w:val="left" w:pos="2880"/>
          <w:tab w:val="left" w:pos="3830"/>
        </w:tabs>
        <w:rPr>
          <w:rFonts w:ascii="Arial" w:hAnsi="Arial" w:cs="Arial"/>
          <w:b/>
          <w:sz w:val="28"/>
          <w:szCs w:val="24"/>
          <w:lang w:val="fr-CA"/>
        </w:rPr>
      </w:pPr>
      <w:r w:rsidRPr="005862C8">
        <w:rPr>
          <w:rFonts w:ascii="Arial" w:hAnsi="Arial" w:cs="Arial"/>
          <w:b/>
          <w:sz w:val="28"/>
          <w:szCs w:val="24"/>
          <w:lang w:val="fr-CA"/>
        </w:rPr>
        <w:t>10.0</w:t>
      </w:r>
      <w:r w:rsidRPr="005862C8">
        <w:rPr>
          <w:rFonts w:ascii="Arial" w:hAnsi="Arial" w:cs="Arial"/>
          <w:b/>
          <w:sz w:val="28"/>
          <w:szCs w:val="24"/>
          <w:lang w:val="fr-CA"/>
        </w:rPr>
        <w:tab/>
        <w:t xml:space="preserve">Suivi des </w:t>
      </w:r>
      <w:r>
        <w:rPr>
          <w:rFonts w:ascii="Arial" w:hAnsi="Arial" w:cs="Arial"/>
          <w:b/>
          <w:sz w:val="28"/>
          <w:szCs w:val="24"/>
          <w:lang w:val="fr-CA"/>
        </w:rPr>
        <w:t>ré</w:t>
      </w:r>
      <w:r w:rsidRPr="005862C8">
        <w:rPr>
          <w:rFonts w:ascii="Arial" w:hAnsi="Arial" w:cs="Arial"/>
          <w:b/>
          <w:sz w:val="28"/>
          <w:szCs w:val="24"/>
          <w:lang w:val="fr-CA"/>
        </w:rPr>
        <w:t>visions</w:t>
      </w:r>
      <w:r>
        <w:rPr>
          <w:rFonts w:ascii="Arial" w:hAnsi="Arial" w:cs="Arial"/>
          <w:b/>
          <w:sz w:val="28"/>
          <w:szCs w:val="24"/>
          <w:lang w:val="fr-CA"/>
        </w:rPr>
        <w:tab/>
      </w:r>
      <w:r w:rsidRPr="005862C8">
        <w:rPr>
          <w:rFonts w:ascii="Arial" w:hAnsi="Arial" w:cs="Arial"/>
          <w:b/>
          <w:sz w:val="28"/>
          <w:szCs w:val="24"/>
          <w:lang w:val="fr-C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621"/>
      </w:tblGrid>
      <w:tr w:rsidR="009D12FC" w:rsidRPr="005862C8" w:rsidTr="00767323">
        <w:tc>
          <w:tcPr>
            <w:tcW w:w="2235" w:type="dxa"/>
            <w:shd w:val="clear" w:color="auto" w:fill="F2F2F2"/>
          </w:tcPr>
          <w:p w:rsidR="009D12FC" w:rsidRPr="005C5023" w:rsidRDefault="009D12FC" w:rsidP="006176E7">
            <w:pPr>
              <w:rPr>
                <w:rFonts w:ascii="Arial" w:hAnsi="Arial" w:cs="Arial"/>
                <w:b/>
                <w:sz w:val="22"/>
                <w:szCs w:val="24"/>
                <w:lang w:val="fr-CA"/>
              </w:rPr>
            </w:pPr>
            <w:r w:rsidRPr="005C5023">
              <w:rPr>
                <w:rFonts w:ascii="Arial" w:hAnsi="Arial" w:cs="Arial"/>
                <w:b/>
                <w:sz w:val="22"/>
                <w:szCs w:val="24"/>
                <w:lang w:val="fr-CA"/>
              </w:rPr>
              <w:t>Date de la révision</w:t>
            </w:r>
          </w:p>
        </w:tc>
        <w:tc>
          <w:tcPr>
            <w:tcW w:w="6621" w:type="dxa"/>
            <w:shd w:val="clear" w:color="auto" w:fill="F2F2F2"/>
          </w:tcPr>
          <w:p w:rsidR="009D12FC" w:rsidRPr="005C5023" w:rsidRDefault="009D12FC" w:rsidP="006176E7">
            <w:pPr>
              <w:rPr>
                <w:rFonts w:ascii="Arial" w:hAnsi="Arial" w:cs="Arial"/>
                <w:b/>
                <w:sz w:val="22"/>
                <w:szCs w:val="24"/>
                <w:lang w:val="fr-CA"/>
              </w:rPr>
            </w:pPr>
            <w:r w:rsidRPr="005C5023">
              <w:rPr>
                <w:rFonts w:ascii="Arial" w:hAnsi="Arial" w:cs="Arial"/>
                <w:b/>
                <w:sz w:val="22"/>
                <w:szCs w:val="24"/>
                <w:lang w:val="fr-CA"/>
              </w:rPr>
              <w:t>Résumé des changements</w:t>
            </w:r>
          </w:p>
        </w:tc>
      </w:tr>
      <w:tr w:rsidR="009D12FC" w:rsidRPr="005862C8" w:rsidTr="00767323">
        <w:trPr>
          <w:trHeight w:val="1267"/>
        </w:trPr>
        <w:tc>
          <w:tcPr>
            <w:tcW w:w="2235" w:type="dxa"/>
            <w:shd w:val="clear" w:color="auto" w:fill="auto"/>
          </w:tcPr>
          <w:p w:rsidR="009D12FC" w:rsidRPr="005C5023" w:rsidRDefault="009D12FC" w:rsidP="006176E7">
            <w:pPr>
              <w:rPr>
                <w:rFonts w:ascii="Arial" w:hAnsi="Arial" w:cs="Arial"/>
                <w:sz w:val="22"/>
                <w:szCs w:val="24"/>
                <w:lang w:val="fr-CA"/>
              </w:rPr>
            </w:pPr>
            <w:r w:rsidRPr="005C5023">
              <w:rPr>
                <w:rFonts w:ascii="Arial" w:hAnsi="Arial" w:cs="Arial"/>
                <w:sz w:val="22"/>
                <w:szCs w:val="24"/>
                <w:lang w:val="fr-CA"/>
              </w:rPr>
              <w:t>10 août 2015</w:t>
            </w:r>
          </w:p>
        </w:tc>
        <w:tc>
          <w:tcPr>
            <w:tcW w:w="6621" w:type="dxa"/>
            <w:shd w:val="clear" w:color="auto" w:fill="auto"/>
          </w:tcPr>
          <w:p w:rsidR="009D12FC" w:rsidRPr="005C5023" w:rsidRDefault="009D12FC" w:rsidP="009D12FC">
            <w:pPr>
              <w:numPr>
                <w:ilvl w:val="0"/>
                <w:numId w:val="40"/>
              </w:numPr>
              <w:spacing w:after="160" w:line="259" w:lineRule="auto"/>
              <w:ind w:left="175" w:hanging="142"/>
              <w:rPr>
                <w:rFonts w:ascii="Arial" w:hAnsi="Arial"/>
                <w:b/>
                <w:color w:val="000000"/>
                <w:sz w:val="22"/>
                <w:lang w:val="fr-CA"/>
              </w:rPr>
            </w:pPr>
            <w:r w:rsidRPr="005C5023">
              <w:rPr>
                <w:rFonts w:ascii="Arial" w:hAnsi="Arial" w:cs="Arial"/>
                <w:sz w:val="22"/>
                <w:szCs w:val="24"/>
                <w:lang w:val="fr-CA"/>
              </w:rPr>
              <w:t>Changement du nom du manuel</w:t>
            </w:r>
          </w:p>
          <w:p w:rsidR="009D12FC" w:rsidRPr="005C5023" w:rsidRDefault="009D12FC" w:rsidP="009D12FC">
            <w:pPr>
              <w:numPr>
                <w:ilvl w:val="0"/>
                <w:numId w:val="40"/>
              </w:numPr>
              <w:spacing w:after="160" w:line="259" w:lineRule="auto"/>
              <w:ind w:left="175" w:hanging="142"/>
              <w:rPr>
                <w:rFonts w:ascii="Arial" w:hAnsi="Arial"/>
                <w:b/>
                <w:color w:val="000000"/>
                <w:sz w:val="22"/>
                <w:lang w:val="fr-CA"/>
              </w:rPr>
            </w:pPr>
            <w:r w:rsidRPr="005C5023">
              <w:rPr>
                <w:rFonts w:ascii="Arial" w:hAnsi="Arial" w:cs="Arial"/>
                <w:sz w:val="22"/>
                <w:szCs w:val="24"/>
                <w:lang w:val="fr-CA"/>
              </w:rPr>
              <w:t>Révision de</w:t>
            </w:r>
            <w:r w:rsidR="00767323">
              <w:rPr>
                <w:rFonts w:ascii="Arial" w:hAnsi="Arial" w:cs="Arial"/>
                <w:sz w:val="22"/>
                <w:szCs w:val="24"/>
                <w:lang w:val="fr-CA"/>
              </w:rPr>
              <w:t xml:space="preserve"> la </w:t>
            </w:r>
            <w:r w:rsidRPr="005C5023">
              <w:rPr>
                <w:rFonts w:ascii="Arial" w:hAnsi="Arial" w:cs="Arial"/>
                <w:sz w:val="22"/>
                <w:szCs w:val="24"/>
                <w:lang w:val="fr-CA"/>
              </w:rPr>
              <w:t>section</w:t>
            </w:r>
            <w:r w:rsidR="00767323">
              <w:rPr>
                <w:rFonts w:ascii="Arial" w:hAnsi="Arial" w:cs="Arial"/>
                <w:sz w:val="22"/>
                <w:szCs w:val="24"/>
                <w:lang w:val="fr-CA"/>
              </w:rPr>
              <w:t xml:space="preserve"> 6</w:t>
            </w:r>
            <w:r w:rsidRPr="005C5023">
              <w:rPr>
                <w:rFonts w:ascii="Arial" w:hAnsi="Arial" w:cs="Arial"/>
                <w:sz w:val="22"/>
                <w:szCs w:val="24"/>
                <w:lang w:val="fr-CA"/>
              </w:rPr>
              <w:t>.0</w:t>
            </w:r>
          </w:p>
          <w:p w:rsidR="009D12FC" w:rsidRPr="005C5023" w:rsidRDefault="009D12FC" w:rsidP="009D12FC">
            <w:pPr>
              <w:numPr>
                <w:ilvl w:val="0"/>
                <w:numId w:val="40"/>
              </w:numPr>
              <w:spacing w:after="160" w:line="259" w:lineRule="auto"/>
              <w:ind w:left="176" w:hanging="142"/>
              <w:rPr>
                <w:rFonts w:ascii="Arial" w:hAnsi="Arial" w:cs="Arial"/>
                <w:sz w:val="22"/>
                <w:szCs w:val="24"/>
                <w:lang w:val="fr-CA"/>
              </w:rPr>
            </w:pPr>
            <w:r w:rsidRPr="005C5023">
              <w:rPr>
                <w:rFonts w:ascii="Arial" w:hAnsi="Arial" w:cs="Arial"/>
                <w:sz w:val="22"/>
                <w:szCs w:val="24"/>
                <w:lang w:val="fr-CA"/>
              </w:rPr>
              <w:t xml:space="preserve">Mise à jour des références </w:t>
            </w:r>
          </w:p>
        </w:tc>
      </w:tr>
      <w:tr w:rsidR="00767323" w:rsidRPr="005862C8" w:rsidTr="00767323">
        <w:trPr>
          <w:trHeight w:val="572"/>
        </w:trPr>
        <w:tc>
          <w:tcPr>
            <w:tcW w:w="2235" w:type="dxa"/>
            <w:shd w:val="clear" w:color="auto" w:fill="auto"/>
          </w:tcPr>
          <w:p w:rsidR="00767323" w:rsidRPr="005C5023" w:rsidRDefault="00767323" w:rsidP="006176E7">
            <w:pPr>
              <w:rPr>
                <w:rFonts w:ascii="Arial" w:hAnsi="Arial" w:cs="Arial"/>
                <w:sz w:val="22"/>
                <w:szCs w:val="24"/>
                <w:lang w:val="fr-CA"/>
              </w:rPr>
            </w:pPr>
            <w:r>
              <w:rPr>
                <w:rFonts w:ascii="Arial" w:hAnsi="Arial" w:cs="Arial"/>
                <w:sz w:val="22"/>
                <w:szCs w:val="24"/>
                <w:lang w:val="fr-CA"/>
              </w:rPr>
              <w:t>18 juillet 2016</w:t>
            </w:r>
          </w:p>
        </w:tc>
        <w:tc>
          <w:tcPr>
            <w:tcW w:w="6621" w:type="dxa"/>
            <w:shd w:val="clear" w:color="auto" w:fill="auto"/>
          </w:tcPr>
          <w:p w:rsidR="00767323" w:rsidRPr="005C5023" w:rsidRDefault="00767323" w:rsidP="00767323">
            <w:pPr>
              <w:numPr>
                <w:ilvl w:val="0"/>
                <w:numId w:val="40"/>
              </w:numPr>
              <w:spacing w:after="160" w:line="259" w:lineRule="auto"/>
              <w:ind w:left="175" w:hanging="142"/>
              <w:rPr>
                <w:rFonts w:ascii="Arial" w:hAnsi="Arial" w:cs="Arial"/>
                <w:sz w:val="22"/>
                <w:szCs w:val="24"/>
                <w:lang w:val="fr-CA"/>
              </w:rPr>
            </w:pPr>
            <w:r>
              <w:rPr>
                <w:rFonts w:ascii="Arial" w:hAnsi="Arial" w:cs="Arial"/>
                <w:sz w:val="22"/>
                <w:szCs w:val="24"/>
                <w:lang w:val="fr-CA"/>
              </w:rPr>
              <w:t>Mise à jour de la référence 9.2 (CSA)</w:t>
            </w:r>
          </w:p>
        </w:tc>
      </w:tr>
      <w:tr w:rsidR="009D12FC" w:rsidRPr="005862C8" w:rsidTr="00767323">
        <w:trPr>
          <w:trHeight w:val="416"/>
        </w:trPr>
        <w:tc>
          <w:tcPr>
            <w:tcW w:w="2235" w:type="dxa"/>
            <w:shd w:val="clear" w:color="auto" w:fill="auto"/>
          </w:tcPr>
          <w:p w:rsidR="009D12FC" w:rsidRPr="005C5023" w:rsidRDefault="00767323" w:rsidP="00767323">
            <w:pPr>
              <w:tabs>
                <w:tab w:val="left" w:pos="3051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14 août </w:t>
            </w:r>
            <w:r w:rsidR="009D12FC" w:rsidRPr="005C5023">
              <w:rPr>
                <w:rFonts w:ascii="Arial" w:hAnsi="Arial"/>
                <w:sz w:val="22"/>
              </w:rPr>
              <w:t>2017</w:t>
            </w:r>
          </w:p>
        </w:tc>
        <w:tc>
          <w:tcPr>
            <w:tcW w:w="6621" w:type="dxa"/>
            <w:shd w:val="clear" w:color="auto" w:fill="auto"/>
          </w:tcPr>
          <w:p w:rsidR="009D12FC" w:rsidRPr="00B80D27" w:rsidRDefault="009D12FC" w:rsidP="00767323">
            <w:pPr>
              <w:numPr>
                <w:ilvl w:val="0"/>
                <w:numId w:val="40"/>
              </w:numPr>
              <w:spacing w:after="160" w:line="259" w:lineRule="auto"/>
              <w:ind w:left="175" w:hanging="142"/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 w:cs="Arial"/>
                <w:sz w:val="22"/>
                <w:lang w:val="fr-CA"/>
              </w:rPr>
              <w:t>Mise à jour des références</w:t>
            </w:r>
            <w:r w:rsidRPr="00B80D27">
              <w:rPr>
                <w:rFonts w:ascii="Arial" w:hAnsi="Arial"/>
                <w:sz w:val="22"/>
                <w:lang w:val="fr-CA"/>
              </w:rPr>
              <w:t xml:space="preserve"> </w:t>
            </w:r>
            <w:r w:rsidR="00767323" w:rsidRPr="00B80D27">
              <w:rPr>
                <w:rFonts w:ascii="Arial" w:hAnsi="Arial"/>
                <w:sz w:val="22"/>
                <w:lang w:val="fr-CA"/>
              </w:rPr>
              <w:t>9.1 et 9.3 (</w:t>
            </w:r>
            <w:r w:rsidR="00767323" w:rsidRPr="00B80D27">
              <w:rPr>
                <w:rFonts w:ascii="Arial" w:hAnsi="Arial"/>
                <w:i/>
                <w:sz w:val="22"/>
                <w:lang w:val="fr-CA"/>
              </w:rPr>
              <w:t>IQMH</w:t>
            </w:r>
            <w:r w:rsidR="00767323" w:rsidRPr="00B80D27">
              <w:rPr>
                <w:rFonts w:ascii="Arial" w:hAnsi="Arial"/>
                <w:sz w:val="22"/>
                <w:lang w:val="fr-CA"/>
              </w:rPr>
              <w:t xml:space="preserve"> et SCMT)</w:t>
            </w:r>
          </w:p>
        </w:tc>
      </w:tr>
    </w:tbl>
    <w:p w:rsidR="001273E9" w:rsidRPr="009A3E5C" w:rsidRDefault="001273E9" w:rsidP="009A3E5C">
      <w:pPr>
        <w:jc w:val="center"/>
        <w:rPr>
          <w:lang w:val="fr-CA"/>
        </w:rPr>
      </w:pPr>
    </w:p>
    <w:sectPr w:rsidR="001273E9" w:rsidRPr="009A3E5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67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4B" w:rsidRDefault="0049374B">
      <w:r>
        <w:separator/>
      </w:r>
    </w:p>
  </w:endnote>
  <w:endnote w:type="continuationSeparator" w:id="0">
    <w:p w:rsidR="0049374B" w:rsidRDefault="0049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E00824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E00824" w:rsidRDefault="00E00824">
          <w:pPr>
            <w:pStyle w:val="Footer"/>
            <w:jc w:val="center"/>
            <w:rPr>
              <w:sz w:val="8"/>
            </w:rPr>
          </w:pPr>
        </w:p>
        <w:p w:rsidR="00E00824" w:rsidRDefault="000F182B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rFonts w:ascii="Verdana" w:hAnsi="Verdana"/>
              <w:noProof/>
              <w:sz w:val="8"/>
              <w:lang w:val="en-CA" w:eastAsia="en-CA"/>
            </w:rPr>
            <w:drawing>
              <wp:inline distT="0" distB="0" distL="0" distR="0">
                <wp:extent cx="701675" cy="553085"/>
                <wp:effectExtent l="0" t="0" r="3175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E00824" w:rsidRDefault="00E00824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625BA2" w:rsidRPr="00D52543" w:rsidRDefault="009D12FC" w:rsidP="00625BA2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C06618">
            <w:rPr>
              <w:rFonts w:ascii="Arial" w:hAnsi="Arial" w:cs="Arial"/>
              <w:bCs/>
              <w:sz w:val="18"/>
              <w:szCs w:val="28"/>
              <w:lang w:val="fr-CA"/>
            </w:rPr>
            <w:t>Réseau régional ontarien de coordination du sang</w:t>
          </w:r>
          <w:r w:rsidRPr="00C06618">
            <w:rPr>
              <w:rFonts w:ascii="Arial" w:hAnsi="Arial" w:cs="Arial"/>
              <w:bCs/>
              <w:sz w:val="18"/>
              <w:szCs w:val="28"/>
              <w:lang w:val="fr-CA"/>
            </w:rPr>
            <w:br/>
            <w:t>Manuel de ressources techniques en transfusion de l’Ontario</w:t>
          </w:r>
        </w:p>
        <w:p w:rsidR="00E00824" w:rsidRPr="00B80D27" w:rsidRDefault="00E00824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="00E00824" w:rsidRPr="00B80D27" w:rsidRDefault="00E00824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E00824" w:rsidRDefault="00E00824" w:rsidP="009D12FC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ADM.008 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0F182B">
            <w:rPr>
              <w:rFonts w:ascii="Arial" w:hAnsi="Arial"/>
              <w:noProof/>
              <w:snapToGrid w:val="0"/>
              <w:sz w:val="18"/>
            </w:rPr>
            <w:t>4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0F182B">
            <w:rPr>
              <w:rFonts w:ascii="Arial" w:hAnsi="Arial"/>
              <w:noProof/>
              <w:snapToGrid w:val="0"/>
              <w:sz w:val="18"/>
            </w:rPr>
            <w:t>4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E00824" w:rsidRDefault="00E008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A2" w:rsidRDefault="00625BA2"/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E00824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E00824" w:rsidRDefault="00E00824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E00824" w:rsidRDefault="000F182B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rFonts w:ascii="Verdana" w:hAnsi="Verdana"/>
              <w:noProof/>
              <w:sz w:val="8"/>
              <w:lang w:val="en-CA" w:eastAsia="en-CA"/>
            </w:rPr>
            <w:drawing>
              <wp:inline distT="0" distB="0" distL="0" distR="0">
                <wp:extent cx="701675" cy="553085"/>
                <wp:effectExtent l="0" t="0" r="3175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E00824" w:rsidRDefault="00E00824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E00824" w:rsidRPr="00B80D27" w:rsidRDefault="009D12F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C06618">
            <w:rPr>
              <w:rFonts w:ascii="Arial" w:hAnsi="Arial" w:cs="Arial"/>
              <w:bCs/>
              <w:sz w:val="18"/>
              <w:szCs w:val="28"/>
              <w:lang w:val="fr-CA"/>
            </w:rPr>
            <w:t>Réseau régional ontarien de coordination du sang</w:t>
          </w:r>
          <w:r w:rsidRPr="00C06618">
            <w:rPr>
              <w:rFonts w:ascii="Arial" w:hAnsi="Arial" w:cs="Arial"/>
              <w:bCs/>
              <w:sz w:val="18"/>
              <w:szCs w:val="28"/>
              <w:lang w:val="fr-CA"/>
            </w:rPr>
            <w:br/>
            <w:t>Manuel de ressources techniques en transfusion de l’Ontario</w:t>
          </w:r>
          <w:r w:rsidRPr="00B80D27">
            <w:rPr>
              <w:rFonts w:ascii="Arial" w:hAnsi="Arial"/>
              <w:sz w:val="18"/>
              <w:lang w:val="fr-CA"/>
            </w:rPr>
            <w:t xml:space="preserve"> </w:t>
          </w:r>
        </w:p>
      </w:tc>
      <w:tc>
        <w:tcPr>
          <w:tcW w:w="1494" w:type="dxa"/>
        </w:tcPr>
        <w:p w:rsidR="00E00824" w:rsidRPr="00B80D27" w:rsidRDefault="00E00824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E00824" w:rsidRDefault="00E00824" w:rsidP="009D12FC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ADM.008 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0F182B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0F182B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E00824" w:rsidRDefault="00E00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4B" w:rsidRDefault="0049374B">
      <w:r>
        <w:separator/>
      </w:r>
    </w:p>
  </w:footnote>
  <w:footnote w:type="continuationSeparator" w:id="0">
    <w:p w:rsidR="0049374B" w:rsidRDefault="00493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824" w:rsidRPr="0075442F" w:rsidRDefault="00E00824" w:rsidP="000248F9">
    <w:pPr>
      <w:pStyle w:val="Header"/>
      <w:tabs>
        <w:tab w:val="left" w:pos="6617"/>
      </w:tabs>
      <w:jc w:val="center"/>
      <w:rPr>
        <w:rFonts w:ascii="Arial" w:hAnsi="Arial"/>
        <w:b/>
        <w:color w:val="000000"/>
        <w:spacing w:val="-2"/>
        <w:sz w:val="28"/>
        <w:lang w:val="fr-CA"/>
      </w:rPr>
    </w:pPr>
    <w:r w:rsidRPr="0075442F">
      <w:rPr>
        <w:rFonts w:ascii="Arial" w:hAnsi="Arial"/>
        <w:b/>
        <w:color w:val="000000"/>
        <w:spacing w:val="-2"/>
        <w:sz w:val="28"/>
        <w:lang w:val="fr-CA"/>
      </w:rPr>
      <w:t>Conservation des documents – Médecine transfusionnelle</w:t>
    </w:r>
  </w:p>
  <w:p w:rsidR="00E00824" w:rsidRDefault="00E00824">
    <w:pPr>
      <w:pStyle w:val="Header"/>
      <w:rPr>
        <w:rFonts w:ascii="Arial" w:hAnsi="Arial"/>
        <w:sz w:val="18"/>
      </w:rPr>
    </w:pPr>
    <w:r>
      <w:rPr>
        <w:rFonts w:ascii="Arial" w:hAnsi="Arial"/>
        <w:sz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824" w:rsidRPr="0075442F" w:rsidRDefault="000F182B">
    <w:pPr>
      <w:pStyle w:val="Header"/>
      <w:rPr>
        <w:rFonts w:ascii="Arial" w:hAnsi="Arial" w:cs="Arial"/>
        <w:b/>
        <w:bCs/>
        <w:color w:val="000000"/>
        <w:kern w:val="24"/>
        <w:sz w:val="22"/>
        <w:lang w:val="fr-CA"/>
      </w:rPr>
    </w:pPr>
    <w:r>
      <w:rPr>
        <w:rFonts w:ascii="Verdana" w:hAnsi="Verdana"/>
        <w:noProof/>
        <w:sz w:val="8"/>
        <w:lang w:val="en-CA" w:eastAsia="en-CA"/>
      </w:rPr>
      <w:drawing>
        <wp:inline distT="0" distB="0" distL="0" distR="0">
          <wp:extent cx="1711960" cy="574040"/>
          <wp:effectExtent l="0" t="0" r="2540" b="0"/>
          <wp:docPr id="2" name="Picture 2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2FC" w:rsidRPr="00E37118" w:rsidRDefault="009D12FC" w:rsidP="009D12FC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E37118">
      <w:rPr>
        <w:rFonts w:ascii="Arial" w:hAnsi="Arial" w:cs="Arial"/>
        <w:b/>
        <w:bCs/>
        <w:sz w:val="28"/>
        <w:szCs w:val="28"/>
        <w:lang w:val="fr-CA"/>
      </w:rPr>
      <w:t>Réseau régional ontarien de coordination du sang</w:t>
    </w:r>
  </w:p>
  <w:p w:rsidR="009D12FC" w:rsidRPr="00E37118" w:rsidRDefault="009D12FC" w:rsidP="009D12FC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E37118">
      <w:rPr>
        <w:rFonts w:ascii="Arial" w:hAnsi="Arial" w:cs="Arial"/>
        <w:b/>
        <w:bCs/>
        <w:sz w:val="28"/>
        <w:szCs w:val="28"/>
        <w:lang w:val="fr-CA"/>
      </w:rPr>
      <w:t>Manuel de ressources techniques en transfusion de l’Ontario</w:t>
    </w:r>
  </w:p>
  <w:p w:rsidR="00E00824" w:rsidRPr="0075442F" w:rsidRDefault="00E00824">
    <w:pPr>
      <w:pStyle w:val="Header"/>
      <w:jc w:val="center"/>
      <w:rPr>
        <w:rFonts w:ascii="Arial" w:hAnsi="Arial" w:cs="Arial"/>
        <w:b/>
        <w:bCs/>
        <w:color w:val="000000"/>
        <w:kern w:val="24"/>
        <w:sz w:val="22"/>
        <w:lang w:val="fr-CA"/>
      </w:rPr>
    </w:pPr>
  </w:p>
  <w:p w:rsidR="00E00824" w:rsidRPr="0075442F" w:rsidRDefault="00E00824" w:rsidP="0075442F">
    <w:pPr>
      <w:pStyle w:val="Header"/>
      <w:tabs>
        <w:tab w:val="left" w:pos="6617"/>
      </w:tabs>
      <w:jc w:val="center"/>
      <w:rPr>
        <w:rFonts w:ascii="Arial" w:hAnsi="Arial"/>
        <w:b/>
        <w:color w:val="000000"/>
        <w:spacing w:val="-2"/>
        <w:sz w:val="28"/>
        <w:lang w:val="fr-CA"/>
      </w:rPr>
    </w:pPr>
    <w:r w:rsidRPr="0075442F">
      <w:rPr>
        <w:rFonts w:ascii="Arial" w:hAnsi="Arial"/>
        <w:b/>
        <w:color w:val="000000"/>
        <w:spacing w:val="-2"/>
        <w:sz w:val="28"/>
        <w:lang w:val="fr-CA"/>
      </w:rPr>
      <w:t>Conservation des documents – Médecine transfusionnelle</w:t>
    </w:r>
  </w:p>
  <w:p w:rsidR="00E00824" w:rsidRPr="0075442F" w:rsidRDefault="00E00824">
    <w:pPr>
      <w:pStyle w:val="Header"/>
      <w:tabs>
        <w:tab w:val="left" w:pos="6617"/>
      </w:tabs>
      <w:jc w:val="center"/>
      <w:rPr>
        <w:rFonts w:ascii="Arial" w:hAnsi="Arial"/>
        <w:b/>
        <w:color w:val="000000"/>
        <w:sz w:val="28"/>
        <w:lang w:val="fr-CA"/>
      </w:rPr>
    </w:pPr>
  </w:p>
  <w:p w:rsidR="00E00824" w:rsidRPr="0075442F" w:rsidRDefault="00E00824">
    <w:pPr>
      <w:pStyle w:val="Header"/>
      <w:tabs>
        <w:tab w:val="left" w:pos="6617"/>
      </w:tabs>
      <w:rPr>
        <w:rFonts w:ascii="Arial" w:hAnsi="Arial" w:cs="Arial"/>
        <w:b/>
        <w:bCs/>
        <w:color w:val="000000"/>
        <w:kern w:val="24"/>
        <w:lang w:val="fr-CA"/>
      </w:rPr>
    </w:pPr>
    <w:r w:rsidRPr="0075442F">
      <w:rPr>
        <w:rFonts w:ascii="Arial" w:hAnsi="Arial" w:cs="Arial"/>
        <w:b/>
        <w:bCs/>
        <w:color w:val="000000"/>
        <w:lang w:val="fr-CA"/>
      </w:rPr>
      <w:tab/>
    </w:r>
    <w:r w:rsidR="000F182B">
      <w:rPr>
        <w:noProof/>
        <w:color w:val="000000"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428"/>
      <w:gridCol w:w="4428"/>
    </w:tblGrid>
    <w:tr w:rsidR="00E00824" w:rsidRPr="0075442F">
      <w:tc>
        <w:tcPr>
          <w:tcW w:w="4428" w:type="dxa"/>
        </w:tcPr>
        <w:p w:rsidR="00E00824" w:rsidRPr="0075442F" w:rsidRDefault="00667230" w:rsidP="009D12FC">
          <w:pPr>
            <w:pStyle w:val="Header"/>
            <w:rPr>
              <w:rFonts w:ascii="Arial" w:hAnsi="Arial" w:cs="Arial"/>
              <w:color w:val="000000"/>
              <w:kern w:val="24"/>
              <w:lang w:val="fr-CA"/>
            </w:rPr>
          </w:pPr>
          <w:r>
            <w:rPr>
              <w:rFonts w:ascii="Arial" w:hAnsi="Arial" w:cs="Arial"/>
              <w:color w:val="000000"/>
              <w:lang w:val="fr-CA"/>
            </w:rPr>
            <w:t>Approbation </w:t>
          </w:r>
          <w:r w:rsidR="00E00824" w:rsidRPr="0075442F">
            <w:rPr>
              <w:rFonts w:ascii="Arial" w:hAnsi="Arial" w:cs="Arial"/>
              <w:color w:val="000000"/>
              <w:lang w:val="fr-CA"/>
            </w:rPr>
            <w:t>:</w:t>
          </w:r>
          <w:r w:rsidR="00625BA2">
            <w:rPr>
              <w:rFonts w:ascii="Arial" w:hAnsi="Arial" w:cs="Arial"/>
              <w:color w:val="000000"/>
              <w:lang w:val="fr-CA"/>
            </w:rPr>
            <w:t xml:space="preserve"> </w:t>
          </w:r>
        </w:p>
      </w:tc>
      <w:tc>
        <w:tcPr>
          <w:tcW w:w="4428" w:type="dxa"/>
        </w:tcPr>
        <w:p w:rsidR="00E00824" w:rsidRPr="0075442F" w:rsidRDefault="00E00824">
          <w:pPr>
            <w:pStyle w:val="Header"/>
            <w:rPr>
              <w:rFonts w:ascii="Arial" w:hAnsi="Arial" w:cs="Arial"/>
              <w:color w:val="000000"/>
              <w:kern w:val="24"/>
              <w:lang w:val="fr-CA"/>
            </w:rPr>
          </w:pPr>
          <w:r w:rsidRPr="0075442F">
            <w:rPr>
              <w:rFonts w:ascii="Arial" w:hAnsi="Arial" w:cs="Arial"/>
              <w:color w:val="000000"/>
              <w:lang w:val="fr-CA"/>
            </w:rPr>
            <w:t>Document n</w:t>
          </w:r>
          <w:r w:rsidRPr="0075442F">
            <w:rPr>
              <w:rFonts w:ascii="Arial" w:hAnsi="Arial" w:cs="Arial"/>
              <w:color w:val="000000"/>
              <w:vertAlign w:val="superscript"/>
              <w:lang w:val="fr-CA"/>
            </w:rPr>
            <w:t>o</w:t>
          </w:r>
          <w:r w:rsidRPr="0075442F">
            <w:rPr>
              <w:rFonts w:ascii="Arial" w:hAnsi="Arial" w:cs="Arial"/>
              <w:color w:val="000000"/>
              <w:lang w:val="fr-CA"/>
            </w:rPr>
            <w:t xml:space="preserve"> : ADM.008</w:t>
          </w:r>
        </w:p>
      </w:tc>
    </w:tr>
    <w:tr w:rsidR="00E00824" w:rsidRPr="0075442F">
      <w:tc>
        <w:tcPr>
          <w:tcW w:w="4428" w:type="dxa"/>
        </w:tcPr>
        <w:p w:rsidR="00E00824" w:rsidRPr="0075442F" w:rsidRDefault="00E00824" w:rsidP="0075442F">
          <w:pPr>
            <w:pStyle w:val="Header"/>
            <w:rPr>
              <w:rFonts w:ascii="Arial" w:hAnsi="Arial" w:cs="Arial"/>
              <w:color w:val="000000"/>
              <w:kern w:val="24"/>
              <w:lang w:val="fr-CA"/>
            </w:rPr>
          </w:pPr>
          <w:r w:rsidRPr="0075442F">
            <w:rPr>
              <w:rFonts w:ascii="Arial" w:hAnsi="Arial" w:cs="Arial"/>
              <w:color w:val="000000"/>
              <w:lang w:val="fr-CA"/>
            </w:rPr>
            <w:t xml:space="preserve">Date de </w:t>
          </w:r>
          <w:r w:rsidR="00667230">
            <w:rPr>
              <w:rFonts w:ascii="Arial" w:hAnsi="Arial" w:cs="Arial"/>
              <w:color w:val="000000"/>
              <w:lang w:val="fr-CA"/>
            </w:rPr>
            <w:t>publication </w:t>
          </w:r>
          <w:r w:rsidRPr="0075442F">
            <w:rPr>
              <w:rFonts w:ascii="Arial" w:hAnsi="Arial" w:cs="Arial"/>
              <w:color w:val="000000"/>
              <w:lang w:val="fr-CA"/>
            </w:rPr>
            <w:t>: 2006/09/</w:t>
          </w:r>
          <w:r>
            <w:rPr>
              <w:rFonts w:ascii="Arial" w:hAnsi="Arial" w:cs="Arial"/>
              <w:color w:val="000000"/>
              <w:lang w:val="fr-CA"/>
            </w:rPr>
            <w:t>2</w:t>
          </w:r>
          <w:r w:rsidRPr="0075442F">
            <w:rPr>
              <w:rFonts w:ascii="Arial" w:hAnsi="Arial" w:cs="Arial"/>
              <w:color w:val="000000"/>
              <w:lang w:val="fr-CA"/>
            </w:rPr>
            <w:t>1</w:t>
          </w:r>
        </w:p>
      </w:tc>
      <w:tc>
        <w:tcPr>
          <w:tcW w:w="4428" w:type="dxa"/>
        </w:tcPr>
        <w:p w:rsidR="00E00824" w:rsidRPr="0075442F" w:rsidRDefault="00667230" w:rsidP="0075442F">
          <w:pPr>
            <w:pStyle w:val="Header"/>
            <w:rPr>
              <w:rFonts w:ascii="Arial" w:hAnsi="Arial" w:cs="Arial"/>
              <w:color w:val="000000"/>
              <w:kern w:val="24"/>
              <w:lang w:val="fr-CA"/>
            </w:rPr>
          </w:pPr>
          <w:r>
            <w:rPr>
              <w:rFonts w:ascii="Arial" w:hAnsi="Arial" w:cs="Arial"/>
              <w:color w:val="000000"/>
              <w:lang w:val="fr-CA"/>
            </w:rPr>
            <w:t>Catégorie </w:t>
          </w:r>
          <w:r w:rsidR="00E00824" w:rsidRPr="0075442F">
            <w:rPr>
              <w:rFonts w:ascii="Arial" w:hAnsi="Arial" w:cs="Arial"/>
              <w:color w:val="000000"/>
              <w:lang w:val="fr-CA"/>
            </w:rPr>
            <w:t>: Administration</w:t>
          </w:r>
        </w:p>
      </w:tc>
    </w:tr>
    <w:tr w:rsidR="00E00824" w:rsidRPr="0075442F">
      <w:tc>
        <w:tcPr>
          <w:tcW w:w="4428" w:type="dxa"/>
        </w:tcPr>
        <w:p w:rsidR="00E00824" w:rsidRPr="0075442F" w:rsidRDefault="00E00824" w:rsidP="009D12FC">
          <w:pPr>
            <w:pStyle w:val="Header"/>
            <w:rPr>
              <w:rFonts w:ascii="Arial" w:hAnsi="Arial" w:cs="Arial"/>
              <w:color w:val="000000"/>
              <w:kern w:val="24"/>
              <w:lang w:val="fr-CA"/>
            </w:rPr>
          </w:pPr>
          <w:r w:rsidRPr="0075442F">
            <w:rPr>
              <w:rFonts w:ascii="Arial" w:hAnsi="Arial" w:cs="Arial"/>
              <w:color w:val="000000"/>
              <w:lang w:val="fr-CA"/>
            </w:rPr>
            <w:t xml:space="preserve">Date de </w:t>
          </w:r>
          <w:r w:rsidR="00667230">
            <w:rPr>
              <w:rFonts w:ascii="Arial" w:hAnsi="Arial" w:cs="Arial"/>
              <w:color w:val="000000"/>
              <w:lang w:val="fr-CA"/>
            </w:rPr>
            <w:t>révision </w:t>
          </w:r>
          <w:r w:rsidRPr="0075442F">
            <w:rPr>
              <w:rFonts w:ascii="Arial" w:hAnsi="Arial" w:cs="Arial"/>
              <w:color w:val="000000"/>
              <w:lang w:val="fr-CA"/>
            </w:rPr>
            <w:t>:</w:t>
          </w:r>
          <w:r w:rsidR="00625BA2">
            <w:rPr>
              <w:rFonts w:ascii="Arial" w:hAnsi="Arial" w:cs="Arial"/>
              <w:color w:val="000000"/>
              <w:lang w:val="fr-CA"/>
            </w:rPr>
            <w:t xml:space="preserve"> 2009/12/31</w:t>
          </w:r>
          <w:r w:rsidR="009D12FC">
            <w:rPr>
              <w:rFonts w:ascii="Arial" w:hAnsi="Arial" w:cs="Arial"/>
              <w:color w:val="000000"/>
              <w:lang w:val="fr-CA"/>
            </w:rPr>
            <w:t>; 2015/08/10; 2016/07/18; 2017/08/14</w:t>
          </w:r>
        </w:p>
      </w:tc>
      <w:tc>
        <w:tcPr>
          <w:tcW w:w="4428" w:type="dxa"/>
        </w:tcPr>
        <w:p w:rsidR="00E00824" w:rsidRPr="0075442F" w:rsidRDefault="00667230" w:rsidP="0075442F">
          <w:pPr>
            <w:pStyle w:val="Header"/>
            <w:rPr>
              <w:rFonts w:ascii="Arial" w:hAnsi="Arial" w:cs="Arial"/>
              <w:color w:val="000000"/>
              <w:kern w:val="24"/>
              <w:lang w:val="fr-CA"/>
            </w:rPr>
          </w:pPr>
          <w:r>
            <w:rPr>
              <w:rFonts w:ascii="Arial" w:hAnsi="Arial" w:cs="Arial"/>
              <w:color w:val="000000"/>
              <w:lang w:val="fr-CA"/>
            </w:rPr>
            <w:t>Pages </w:t>
          </w:r>
          <w:r w:rsidR="00E00824" w:rsidRPr="0075442F">
            <w:rPr>
              <w:rFonts w:ascii="Arial" w:hAnsi="Arial" w:cs="Arial"/>
              <w:color w:val="000000"/>
              <w:lang w:val="fr-CA"/>
            </w:rPr>
            <w:t xml:space="preserve">: </w:t>
          </w:r>
          <w:r w:rsidR="00E00824" w:rsidRPr="0075442F">
            <w:rPr>
              <w:rFonts w:ascii="Arial" w:hAnsi="Arial" w:cs="Arial"/>
              <w:color w:val="000000"/>
              <w:lang w:val="fr-CA"/>
            </w:rPr>
            <w:fldChar w:fldCharType="begin"/>
          </w:r>
          <w:r w:rsidR="00E00824" w:rsidRPr="0075442F">
            <w:rPr>
              <w:rFonts w:ascii="Arial" w:hAnsi="Arial" w:cs="Arial"/>
              <w:color w:val="000000"/>
              <w:lang w:val="fr-CA"/>
            </w:rPr>
            <w:instrText xml:space="preserve"> NUMPAGES </w:instrText>
          </w:r>
          <w:r w:rsidR="00E00824" w:rsidRPr="0075442F">
            <w:rPr>
              <w:rFonts w:ascii="Arial" w:hAnsi="Arial" w:cs="Arial"/>
              <w:color w:val="000000"/>
              <w:lang w:val="fr-CA"/>
            </w:rPr>
            <w:fldChar w:fldCharType="separate"/>
          </w:r>
          <w:r w:rsidR="000F182B">
            <w:rPr>
              <w:rFonts w:ascii="Arial" w:hAnsi="Arial" w:cs="Arial"/>
              <w:noProof/>
              <w:color w:val="000000"/>
              <w:lang w:val="fr-CA"/>
            </w:rPr>
            <w:t>1</w:t>
          </w:r>
          <w:r w:rsidR="00E00824" w:rsidRPr="0075442F">
            <w:rPr>
              <w:rFonts w:ascii="Arial" w:hAnsi="Arial" w:cs="Arial"/>
              <w:color w:val="000000"/>
              <w:lang w:val="fr-CA"/>
            </w:rPr>
            <w:fldChar w:fldCharType="end"/>
          </w:r>
        </w:p>
      </w:tc>
    </w:tr>
  </w:tbl>
  <w:p w:rsidR="00E00824" w:rsidRDefault="000F182B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</w:p>
  <w:p w:rsidR="00E00824" w:rsidRDefault="00E008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E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892D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5E14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011B57"/>
    <w:multiLevelType w:val="singleLevel"/>
    <w:tmpl w:val="2E20C9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0F3D4C8C"/>
    <w:multiLevelType w:val="singleLevel"/>
    <w:tmpl w:val="85F0EF6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119249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C901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99B75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5D77F7"/>
    <w:multiLevelType w:val="singleLevel"/>
    <w:tmpl w:val="0A54887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0">
    <w:nsid w:val="291077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2">
    <w:nsid w:val="33BF5A4B"/>
    <w:multiLevelType w:val="singleLevel"/>
    <w:tmpl w:val="85F0EF6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33EE74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5">
    <w:nsid w:val="34567BF1"/>
    <w:multiLevelType w:val="multilevel"/>
    <w:tmpl w:val="D6586DF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3B4E58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B9D272F"/>
    <w:multiLevelType w:val="singleLevel"/>
    <w:tmpl w:val="DFFC678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8">
    <w:nsid w:val="3F2D5252"/>
    <w:multiLevelType w:val="singleLevel"/>
    <w:tmpl w:val="BE160752"/>
    <w:lvl w:ilvl="0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29921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E414F46"/>
    <w:multiLevelType w:val="multilevel"/>
    <w:tmpl w:val="067ADC0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>
    <w:nsid w:val="4E8457F8"/>
    <w:multiLevelType w:val="hybridMultilevel"/>
    <w:tmpl w:val="1AE409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876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42A20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5FB38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68F06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6B05D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B1739E4"/>
    <w:multiLevelType w:val="singleLevel"/>
    <w:tmpl w:val="85F0EF6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9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5604E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5983C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98F68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C1078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C9011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FC473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32939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28"/>
  </w:num>
  <w:num w:numId="3">
    <w:abstractNumId w:val="14"/>
  </w:num>
  <w:num w:numId="4">
    <w:abstractNumId w:val="11"/>
  </w:num>
  <w:num w:numId="5">
    <w:abstractNumId w:val="39"/>
  </w:num>
  <w:num w:numId="6">
    <w:abstractNumId w:val="38"/>
  </w:num>
  <w:num w:numId="7">
    <w:abstractNumId w:val="36"/>
  </w:num>
  <w:num w:numId="8">
    <w:abstractNumId w:val="7"/>
  </w:num>
  <w:num w:numId="9">
    <w:abstractNumId w:val="29"/>
  </w:num>
  <w:num w:numId="10">
    <w:abstractNumId w:val="34"/>
  </w:num>
  <w:num w:numId="11">
    <w:abstractNumId w:val="30"/>
  </w:num>
  <w:num w:numId="12">
    <w:abstractNumId w:val="5"/>
  </w:num>
  <w:num w:numId="13">
    <w:abstractNumId w:val="6"/>
  </w:num>
  <w:num w:numId="14">
    <w:abstractNumId w:val="12"/>
  </w:num>
  <w:num w:numId="15">
    <w:abstractNumId w:val="27"/>
  </w:num>
  <w:num w:numId="16">
    <w:abstractNumId w:val="10"/>
  </w:num>
  <w:num w:numId="17">
    <w:abstractNumId w:val="4"/>
  </w:num>
  <w:num w:numId="18">
    <w:abstractNumId w:val="23"/>
  </w:num>
  <w:num w:numId="19">
    <w:abstractNumId w:val="18"/>
  </w:num>
  <w:num w:numId="20">
    <w:abstractNumId w:val="13"/>
  </w:num>
  <w:num w:numId="21">
    <w:abstractNumId w:val="8"/>
  </w:num>
  <w:num w:numId="22">
    <w:abstractNumId w:val="25"/>
  </w:num>
  <w:num w:numId="23">
    <w:abstractNumId w:val="32"/>
  </w:num>
  <w:num w:numId="24">
    <w:abstractNumId w:val="24"/>
  </w:num>
  <w:num w:numId="25">
    <w:abstractNumId w:val="35"/>
  </w:num>
  <w:num w:numId="26">
    <w:abstractNumId w:val="19"/>
  </w:num>
  <w:num w:numId="27">
    <w:abstractNumId w:val="37"/>
  </w:num>
  <w:num w:numId="28">
    <w:abstractNumId w:val="17"/>
  </w:num>
  <w:num w:numId="29">
    <w:abstractNumId w:val="3"/>
  </w:num>
  <w:num w:numId="30">
    <w:abstractNumId w:val="26"/>
  </w:num>
  <w:num w:numId="31">
    <w:abstractNumId w:val="16"/>
  </w:num>
  <w:num w:numId="32">
    <w:abstractNumId w:val="2"/>
  </w:num>
  <w:num w:numId="33">
    <w:abstractNumId w:val="33"/>
  </w:num>
  <w:num w:numId="34">
    <w:abstractNumId w:val="31"/>
  </w:num>
  <w:num w:numId="35">
    <w:abstractNumId w:val="1"/>
  </w:num>
  <w:num w:numId="36">
    <w:abstractNumId w:val="0"/>
  </w:num>
  <w:num w:numId="37">
    <w:abstractNumId w:val="22"/>
  </w:num>
  <w:num w:numId="38">
    <w:abstractNumId w:val="9"/>
  </w:num>
  <w:num w:numId="39">
    <w:abstractNumId w:val="2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D0"/>
    <w:rsid w:val="000248F9"/>
    <w:rsid w:val="000F182B"/>
    <w:rsid w:val="000F613A"/>
    <w:rsid w:val="001273E9"/>
    <w:rsid w:val="00180527"/>
    <w:rsid w:val="001E1561"/>
    <w:rsid w:val="0022203E"/>
    <w:rsid w:val="00252D74"/>
    <w:rsid w:val="002D0307"/>
    <w:rsid w:val="002E39B7"/>
    <w:rsid w:val="003D068F"/>
    <w:rsid w:val="003F3AD0"/>
    <w:rsid w:val="0049374B"/>
    <w:rsid w:val="00523EA1"/>
    <w:rsid w:val="0053063B"/>
    <w:rsid w:val="00584933"/>
    <w:rsid w:val="00597BEB"/>
    <w:rsid w:val="006075FE"/>
    <w:rsid w:val="006176E7"/>
    <w:rsid w:val="00625BA2"/>
    <w:rsid w:val="00667230"/>
    <w:rsid w:val="00733867"/>
    <w:rsid w:val="0075442F"/>
    <w:rsid w:val="00767323"/>
    <w:rsid w:val="008062EF"/>
    <w:rsid w:val="00821A4B"/>
    <w:rsid w:val="0083040D"/>
    <w:rsid w:val="00863B27"/>
    <w:rsid w:val="00882D5F"/>
    <w:rsid w:val="00916D34"/>
    <w:rsid w:val="00932628"/>
    <w:rsid w:val="009A3E5C"/>
    <w:rsid w:val="009C2A97"/>
    <w:rsid w:val="009D12FC"/>
    <w:rsid w:val="009E3C8E"/>
    <w:rsid w:val="00A55DF8"/>
    <w:rsid w:val="00A66F74"/>
    <w:rsid w:val="00B567A4"/>
    <w:rsid w:val="00B66D6F"/>
    <w:rsid w:val="00B731D5"/>
    <w:rsid w:val="00B80D27"/>
    <w:rsid w:val="00B96FA7"/>
    <w:rsid w:val="00C002AB"/>
    <w:rsid w:val="00C7533D"/>
    <w:rsid w:val="00D51F5B"/>
    <w:rsid w:val="00D95C68"/>
    <w:rsid w:val="00E00824"/>
    <w:rsid w:val="00F26387"/>
    <w:rsid w:val="00F662E2"/>
    <w:rsid w:val="00F81B17"/>
    <w:rsid w:val="00FA0253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/>
      <w:sz w:val="24"/>
    </w:rPr>
  </w:style>
  <w:style w:type="character" w:styleId="CommentReference">
    <w:name w:val="annotation reference"/>
    <w:semiHidden/>
    <w:rsid w:val="009A3E5C"/>
    <w:rPr>
      <w:sz w:val="16"/>
      <w:szCs w:val="16"/>
    </w:rPr>
  </w:style>
  <w:style w:type="paragraph" w:styleId="CommentText">
    <w:name w:val="annotation text"/>
    <w:basedOn w:val="Normal"/>
    <w:semiHidden/>
    <w:rsid w:val="009A3E5C"/>
  </w:style>
  <w:style w:type="paragraph" w:styleId="CommentSubject">
    <w:name w:val="annotation subject"/>
    <w:basedOn w:val="CommentText"/>
    <w:next w:val="CommentText"/>
    <w:semiHidden/>
    <w:rsid w:val="009A3E5C"/>
    <w:rPr>
      <w:b/>
      <w:bCs/>
    </w:rPr>
  </w:style>
  <w:style w:type="paragraph" w:styleId="BalloonText">
    <w:name w:val="Balloon Text"/>
    <w:basedOn w:val="Normal"/>
    <w:semiHidden/>
    <w:rsid w:val="009A3E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A97"/>
    <w:pPr>
      <w:ind w:left="708"/>
    </w:pPr>
  </w:style>
  <w:style w:type="character" w:customStyle="1" w:styleId="HeaderChar">
    <w:name w:val="Header Char"/>
    <w:link w:val="Header"/>
    <w:uiPriority w:val="99"/>
    <w:rsid w:val="009D12FC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/>
      <w:sz w:val="24"/>
    </w:rPr>
  </w:style>
  <w:style w:type="character" w:styleId="CommentReference">
    <w:name w:val="annotation reference"/>
    <w:semiHidden/>
    <w:rsid w:val="009A3E5C"/>
    <w:rPr>
      <w:sz w:val="16"/>
      <w:szCs w:val="16"/>
    </w:rPr>
  </w:style>
  <w:style w:type="paragraph" w:styleId="CommentText">
    <w:name w:val="annotation text"/>
    <w:basedOn w:val="Normal"/>
    <w:semiHidden/>
    <w:rsid w:val="009A3E5C"/>
  </w:style>
  <w:style w:type="paragraph" w:styleId="CommentSubject">
    <w:name w:val="annotation subject"/>
    <w:basedOn w:val="CommentText"/>
    <w:next w:val="CommentText"/>
    <w:semiHidden/>
    <w:rsid w:val="009A3E5C"/>
    <w:rPr>
      <w:b/>
      <w:bCs/>
    </w:rPr>
  </w:style>
  <w:style w:type="paragraph" w:styleId="BalloonText">
    <w:name w:val="Balloon Text"/>
    <w:basedOn w:val="Normal"/>
    <w:semiHidden/>
    <w:rsid w:val="009A3E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A97"/>
    <w:pPr>
      <w:ind w:left="708"/>
    </w:pPr>
  </w:style>
  <w:style w:type="character" w:customStyle="1" w:styleId="HeaderChar">
    <w:name w:val="Header Char"/>
    <w:link w:val="Header"/>
    <w:uiPriority w:val="99"/>
    <w:rsid w:val="009D12F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A.008 Record Retention</vt:lpstr>
      <vt:lpstr>A.008 Record Retention</vt:lpstr>
    </vt:vector>
  </TitlesOfParts>
  <Company>The Ottawa Hospital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A.008 Record Retention</dc:title>
  <dc:creator>TOPO</dc:creator>
  <cp:lastModifiedBy>Greening, Emma</cp:lastModifiedBy>
  <cp:revision>2</cp:revision>
  <cp:lastPrinted>2017-09-20T18:01:00Z</cp:lastPrinted>
  <dcterms:created xsi:type="dcterms:W3CDTF">2017-10-10T14:12:00Z</dcterms:created>
  <dcterms:modified xsi:type="dcterms:W3CDTF">2017-10-10T14:12:00Z</dcterms:modified>
</cp:coreProperties>
</file>