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6" w:rsidRPr="00B14A1D" w:rsidRDefault="00706C46">
      <w:p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</w:p>
    <w:p w:rsidR="00706C46" w:rsidRPr="00B14A1D" w:rsidRDefault="00706C4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Principe</w:t>
      </w:r>
    </w:p>
    <w:p w:rsidR="00706C46" w:rsidRPr="00B14A1D" w:rsidRDefault="00706C46">
      <w:pPr>
        <w:rPr>
          <w:rFonts w:ascii="Arial" w:hAnsi="Arial"/>
          <w:b/>
          <w:color w:val="000000"/>
          <w:sz w:val="24"/>
          <w:lang w:val="fr-CA"/>
        </w:rPr>
      </w:pPr>
    </w:p>
    <w:p w:rsidR="00706C46" w:rsidRPr="00B14A1D" w:rsidRDefault="00353450" w:rsidP="00353450">
      <w:pPr>
        <w:pStyle w:val="BodyTextIndent"/>
        <w:rPr>
          <w:color w:val="000000"/>
          <w:lang w:val="fr-CA"/>
        </w:rPr>
      </w:pPr>
      <w:r w:rsidRPr="00B14A1D">
        <w:rPr>
          <w:color w:val="000000"/>
          <w:lang w:val="fr-CA"/>
        </w:rPr>
        <w:t>Le Laboratoire de médecine transfusionnelle (LMT) doit surveiller les résultats de ses procédures.</w:t>
      </w:r>
      <w:r w:rsidR="00706C46" w:rsidRPr="00B14A1D">
        <w:rPr>
          <w:color w:val="000000"/>
          <w:lang w:val="fr-CA"/>
        </w:rPr>
        <w:t xml:space="preserve"> </w:t>
      </w:r>
      <w:r w:rsidR="00205EB9" w:rsidRPr="00B14A1D">
        <w:rPr>
          <w:color w:val="000000"/>
          <w:lang w:val="fr-CA"/>
        </w:rPr>
        <w:t>L’identification</w:t>
      </w:r>
      <w:r w:rsidRPr="00B14A1D">
        <w:rPr>
          <w:color w:val="000000"/>
          <w:lang w:val="fr-CA"/>
        </w:rPr>
        <w:t xml:space="preserve"> et la correction de toute non</w:t>
      </w:r>
      <w:r w:rsidR="005D46F5" w:rsidRPr="00B14A1D">
        <w:rPr>
          <w:color w:val="000000"/>
          <w:lang w:val="fr-CA"/>
        </w:rPr>
        <w:t>-</w:t>
      </w:r>
      <w:r w:rsidR="00DD3DCC">
        <w:rPr>
          <w:color w:val="000000"/>
          <w:lang w:val="fr-CA"/>
        </w:rPr>
        <w:t>c</w:t>
      </w:r>
      <w:r w:rsidRPr="00B14A1D">
        <w:rPr>
          <w:color w:val="000000"/>
          <w:lang w:val="fr-CA"/>
        </w:rPr>
        <w:t>onform</w:t>
      </w:r>
      <w:r w:rsidR="005D46F5" w:rsidRPr="00B14A1D">
        <w:rPr>
          <w:color w:val="000000"/>
          <w:lang w:val="fr-CA"/>
        </w:rPr>
        <w:t>ité</w:t>
      </w:r>
      <w:r w:rsidRPr="00B14A1D">
        <w:rPr>
          <w:color w:val="000000"/>
          <w:lang w:val="fr-CA"/>
        </w:rPr>
        <w:t xml:space="preserve"> </w:t>
      </w:r>
      <w:r w:rsidR="00DD3DCC">
        <w:rPr>
          <w:color w:val="000000"/>
          <w:lang w:val="fr-CA"/>
        </w:rPr>
        <w:t>sont</w:t>
      </w:r>
      <w:r w:rsidRPr="00B14A1D">
        <w:rPr>
          <w:color w:val="000000"/>
          <w:lang w:val="fr-CA"/>
        </w:rPr>
        <w:t xml:space="preserve"> un moyen de surveillance à cet effet</w:t>
      </w:r>
      <w:r w:rsidR="005F4D90" w:rsidRPr="005F4D90">
        <w:rPr>
          <w:color w:val="000000"/>
          <w:vertAlign w:val="superscript"/>
          <w:lang w:val="fr-CA"/>
        </w:rPr>
        <w:t>9.1</w:t>
      </w:r>
      <w:r w:rsidRPr="00B14A1D">
        <w:rPr>
          <w:color w:val="000000"/>
          <w:lang w:val="fr-CA"/>
        </w:rPr>
        <w:t xml:space="preserve">. </w:t>
      </w:r>
    </w:p>
    <w:p w:rsidR="00706C46" w:rsidRPr="00B14A1D" w:rsidRDefault="00706C46">
      <w:pPr>
        <w:ind w:left="720"/>
        <w:rPr>
          <w:rFonts w:ascii="Arial" w:hAnsi="Arial"/>
          <w:color w:val="000000"/>
          <w:sz w:val="24"/>
          <w:lang w:val="fr-CA"/>
        </w:rPr>
      </w:pPr>
    </w:p>
    <w:p w:rsidR="00706C46" w:rsidRPr="00B14A1D" w:rsidRDefault="00353450" w:rsidP="00353450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706C46" w:rsidRPr="00B14A1D" w:rsidRDefault="00706C46">
      <w:pPr>
        <w:rPr>
          <w:rFonts w:ascii="Arial" w:hAnsi="Arial"/>
          <w:b/>
          <w:color w:val="000000"/>
          <w:sz w:val="24"/>
          <w:lang w:val="fr-CA"/>
        </w:rPr>
      </w:pPr>
    </w:p>
    <w:p w:rsidR="00706C46" w:rsidRPr="00B14A1D" w:rsidRDefault="00353450" w:rsidP="0035345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t>Des formulaires normalisés de non-conformité seront utilisés.</w:t>
      </w:r>
    </w:p>
    <w:p w:rsidR="00706C46" w:rsidRPr="00B14A1D" w:rsidRDefault="00706C46">
      <w:pPr>
        <w:ind w:left="720"/>
        <w:rPr>
          <w:rFonts w:ascii="Arial" w:hAnsi="Arial"/>
          <w:color w:val="000000"/>
          <w:sz w:val="24"/>
          <w:lang w:val="fr-CA"/>
        </w:rPr>
      </w:pPr>
    </w:p>
    <w:p w:rsidR="00706C46" w:rsidRPr="00B14A1D" w:rsidRDefault="00353450" w:rsidP="0035345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t>Ces formulaires sont destinés à améliorer les procédures et non à instaurer des mesures disciplinaires.</w:t>
      </w:r>
    </w:p>
    <w:p w:rsidR="00706C46" w:rsidRPr="00B14A1D" w:rsidRDefault="00706C46">
      <w:pPr>
        <w:rPr>
          <w:rFonts w:ascii="Arial" w:hAnsi="Arial"/>
          <w:color w:val="000000"/>
          <w:sz w:val="24"/>
          <w:lang w:val="fr-CA"/>
        </w:rPr>
      </w:pPr>
    </w:p>
    <w:p w:rsidR="00706C46" w:rsidRPr="00B14A1D" w:rsidRDefault="00353450" w:rsidP="0035345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t>Ces fichiers font partie du système de gestion de la qualité (SGQ).</w:t>
      </w:r>
    </w:p>
    <w:p w:rsidR="00706C46" w:rsidRPr="00B14A1D" w:rsidRDefault="00706C46">
      <w:pPr>
        <w:rPr>
          <w:rFonts w:ascii="Arial" w:hAnsi="Arial"/>
          <w:color w:val="000000"/>
          <w:sz w:val="24"/>
          <w:lang w:val="fr-CA"/>
        </w:rPr>
      </w:pPr>
    </w:p>
    <w:p w:rsidR="00706C46" w:rsidRPr="00B14A1D" w:rsidRDefault="00353450" w:rsidP="00353450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4F59D3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B14A1D">
        <w:rPr>
          <w:rFonts w:ascii="Arial" w:hAnsi="Arial"/>
          <w:b/>
          <w:color w:val="000000"/>
          <w:sz w:val="28"/>
          <w:lang w:val="fr-CA"/>
        </w:rPr>
        <w:t>S.O</w:t>
      </w:r>
      <w:r w:rsidR="005D46F5" w:rsidRPr="00B14A1D">
        <w:rPr>
          <w:rFonts w:ascii="Arial" w:hAnsi="Arial"/>
          <w:b/>
          <w:color w:val="000000"/>
          <w:sz w:val="28"/>
          <w:lang w:val="fr-CA"/>
        </w:rPr>
        <w:t>.</w:t>
      </w:r>
    </w:p>
    <w:p w:rsidR="00706C46" w:rsidRPr="00B14A1D" w:rsidRDefault="00706C46">
      <w:pPr>
        <w:rPr>
          <w:rFonts w:ascii="Arial" w:hAnsi="Arial"/>
          <w:b/>
          <w:color w:val="000000"/>
          <w:sz w:val="24"/>
          <w:lang w:val="fr-CA"/>
        </w:rPr>
      </w:pPr>
    </w:p>
    <w:p w:rsidR="00706C46" w:rsidRPr="00B14A1D" w:rsidRDefault="00353450" w:rsidP="00353450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Matériel</w:t>
      </w:r>
      <w:r w:rsidR="00706C46" w:rsidRPr="00B14A1D">
        <w:rPr>
          <w:rFonts w:ascii="Arial" w:hAnsi="Arial"/>
          <w:b/>
          <w:color w:val="000000"/>
          <w:sz w:val="28"/>
          <w:lang w:val="fr-CA"/>
        </w:rPr>
        <w:t xml:space="preserve"> </w:t>
      </w:r>
      <w:r w:rsidR="00706C46" w:rsidRPr="00B14A1D">
        <w:rPr>
          <w:rFonts w:ascii="Arial" w:hAnsi="Arial"/>
          <w:b/>
          <w:color w:val="000000"/>
          <w:sz w:val="28"/>
          <w:lang w:val="fr-CA"/>
        </w:rPr>
        <w:tab/>
      </w:r>
      <w:r w:rsidR="00706C46" w:rsidRPr="00B14A1D">
        <w:rPr>
          <w:rFonts w:ascii="Arial" w:hAnsi="Arial"/>
          <w:b/>
          <w:color w:val="000000"/>
          <w:sz w:val="28"/>
          <w:lang w:val="fr-CA"/>
        </w:rPr>
        <w:tab/>
      </w:r>
    </w:p>
    <w:p w:rsidR="00706C46" w:rsidRPr="00B14A1D" w:rsidRDefault="00706C46">
      <w:pPr>
        <w:rPr>
          <w:rFonts w:ascii="Arial" w:hAnsi="Arial"/>
          <w:b/>
          <w:color w:val="000000"/>
          <w:sz w:val="24"/>
          <w:lang w:val="fr-CA"/>
        </w:rPr>
      </w:pPr>
    </w:p>
    <w:p w:rsidR="00706C46" w:rsidRPr="00B14A1D" w:rsidRDefault="007354D6" w:rsidP="00205EB9">
      <w:pPr>
        <w:ind w:firstLine="720"/>
        <w:rPr>
          <w:rFonts w:ascii="Arial" w:hAnsi="Arial"/>
          <w:b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Fournitures </w:t>
      </w:r>
      <w:r w:rsidR="00353450" w:rsidRPr="00B14A1D">
        <w:rPr>
          <w:rFonts w:ascii="Arial" w:hAnsi="Arial"/>
          <w:color w:val="000000"/>
          <w:sz w:val="24"/>
          <w:lang w:val="fr-CA"/>
        </w:rPr>
        <w:t>: Formulaire de rapport de non-conformité du LMT</w:t>
      </w:r>
      <w:r w:rsidR="005F4D90">
        <w:rPr>
          <w:rFonts w:ascii="Arial" w:hAnsi="Arial"/>
          <w:color w:val="000000"/>
          <w:sz w:val="24"/>
          <w:lang w:val="fr-CA"/>
        </w:rPr>
        <w:t xml:space="preserve"> </w:t>
      </w:r>
      <w:r w:rsidR="005F4D90">
        <w:rPr>
          <w:rFonts w:ascii="Arial" w:hAnsi="Arial"/>
          <w:color w:val="000000"/>
          <w:sz w:val="24"/>
          <w:lang w:val="fr-CA"/>
        </w:rPr>
        <w:tab/>
      </w:r>
      <w:r w:rsidR="005F4D90">
        <w:rPr>
          <w:rFonts w:ascii="Arial" w:hAnsi="Arial"/>
          <w:color w:val="000000"/>
          <w:sz w:val="24"/>
          <w:lang w:val="fr-CA"/>
        </w:rPr>
        <w:tab/>
      </w:r>
      <w:r w:rsidR="005F4D90">
        <w:rPr>
          <w:rFonts w:ascii="Arial" w:hAnsi="Arial"/>
          <w:color w:val="000000"/>
          <w:sz w:val="24"/>
          <w:lang w:val="fr-CA"/>
        </w:rPr>
        <w:tab/>
      </w:r>
      <w:r w:rsidR="005F4D90">
        <w:rPr>
          <w:rFonts w:ascii="Arial" w:hAnsi="Arial"/>
          <w:color w:val="000000"/>
          <w:sz w:val="24"/>
          <w:lang w:val="fr-CA"/>
        </w:rPr>
        <w:tab/>
      </w:r>
      <w:r w:rsidR="005F4D90">
        <w:rPr>
          <w:rFonts w:ascii="Arial" w:hAnsi="Arial"/>
          <w:color w:val="000000"/>
          <w:sz w:val="24"/>
          <w:lang w:val="fr-CA"/>
        </w:rPr>
        <w:tab/>
      </w:r>
      <w:r w:rsidR="00F70080">
        <w:rPr>
          <w:rFonts w:ascii="Arial" w:hAnsi="Arial"/>
          <w:color w:val="000000"/>
          <w:sz w:val="24"/>
          <w:lang w:val="fr-CA"/>
        </w:rPr>
        <w:t xml:space="preserve"> </w:t>
      </w:r>
      <w:r w:rsidR="005F4D90">
        <w:rPr>
          <w:rFonts w:ascii="Arial" w:hAnsi="Arial"/>
          <w:color w:val="000000"/>
          <w:sz w:val="24"/>
          <w:lang w:val="fr-CA"/>
        </w:rPr>
        <w:t>(ADM.005F)</w:t>
      </w:r>
      <w:r w:rsidR="00F70080">
        <w:rPr>
          <w:rFonts w:ascii="Arial" w:hAnsi="Arial"/>
          <w:color w:val="000000"/>
          <w:sz w:val="24"/>
          <w:lang w:val="fr-CA"/>
        </w:rPr>
        <w:t xml:space="preserve"> ou f</w:t>
      </w:r>
      <w:r w:rsidR="00205EB9" w:rsidRPr="00B14A1D">
        <w:rPr>
          <w:rFonts w:ascii="Arial" w:hAnsi="Arial"/>
          <w:color w:val="000000"/>
          <w:sz w:val="24"/>
          <w:lang w:val="fr-CA"/>
        </w:rPr>
        <w:t xml:space="preserve">ormulaire de rapport de non-conformité de </w:t>
      </w:r>
      <w:r w:rsidR="00F70080">
        <w:rPr>
          <w:rFonts w:ascii="Arial" w:hAnsi="Arial"/>
          <w:color w:val="000000"/>
          <w:sz w:val="24"/>
          <w:lang w:val="fr-CA"/>
        </w:rPr>
        <w:tab/>
      </w:r>
      <w:r w:rsidR="00F70080">
        <w:rPr>
          <w:rFonts w:ascii="Arial" w:hAnsi="Arial"/>
          <w:color w:val="000000"/>
          <w:sz w:val="24"/>
          <w:lang w:val="fr-CA"/>
        </w:rPr>
        <w:tab/>
      </w:r>
      <w:r w:rsidR="00F70080">
        <w:rPr>
          <w:rFonts w:ascii="Arial" w:hAnsi="Arial"/>
          <w:color w:val="000000"/>
          <w:sz w:val="24"/>
          <w:lang w:val="fr-CA"/>
        </w:rPr>
        <w:tab/>
      </w:r>
      <w:r w:rsidR="00F70080">
        <w:rPr>
          <w:rFonts w:ascii="Arial" w:hAnsi="Arial"/>
          <w:color w:val="000000"/>
          <w:sz w:val="24"/>
          <w:lang w:val="fr-CA"/>
        </w:rPr>
        <w:tab/>
        <w:t xml:space="preserve"> </w:t>
      </w:r>
      <w:r w:rsidR="00205EB9" w:rsidRPr="00B14A1D">
        <w:rPr>
          <w:rFonts w:ascii="Arial" w:hAnsi="Arial"/>
          <w:color w:val="000000"/>
          <w:sz w:val="24"/>
          <w:lang w:val="fr-CA"/>
        </w:rPr>
        <w:t>l’hôpital</w:t>
      </w:r>
    </w:p>
    <w:p w:rsidR="00706C46" w:rsidRPr="00B14A1D" w:rsidRDefault="00706C46">
      <w:pPr>
        <w:rPr>
          <w:rFonts w:ascii="Arial" w:hAnsi="Arial"/>
          <w:color w:val="000000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tab/>
      </w:r>
      <w:r w:rsidRPr="00B14A1D">
        <w:rPr>
          <w:rFonts w:ascii="Arial" w:hAnsi="Arial"/>
          <w:color w:val="000000"/>
          <w:sz w:val="24"/>
          <w:lang w:val="fr-CA"/>
        </w:rPr>
        <w:tab/>
      </w:r>
      <w:r w:rsidRPr="00B14A1D">
        <w:rPr>
          <w:rFonts w:ascii="Arial" w:hAnsi="Arial"/>
          <w:color w:val="000000"/>
          <w:sz w:val="24"/>
          <w:lang w:val="fr-CA"/>
        </w:rPr>
        <w:tab/>
      </w:r>
    </w:p>
    <w:p w:rsidR="00706C46" w:rsidRPr="00B14A1D" w:rsidRDefault="00353450" w:rsidP="00353450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Contrôle de la qualité</w:t>
      </w:r>
    </w:p>
    <w:p w:rsidR="00706C46" w:rsidRPr="00B14A1D" w:rsidRDefault="00706C46">
      <w:pPr>
        <w:ind w:left="720"/>
        <w:rPr>
          <w:rFonts w:ascii="Arial" w:hAnsi="Arial"/>
          <w:color w:val="000000"/>
          <w:sz w:val="24"/>
          <w:lang w:val="fr-CA"/>
        </w:rPr>
      </w:pPr>
    </w:p>
    <w:p w:rsidR="00706C46" w:rsidRPr="00B14A1D" w:rsidRDefault="005D46F5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t xml:space="preserve">Il faut faire une revue annuelle (ou plus </w:t>
      </w:r>
      <w:r w:rsidR="00E909F5" w:rsidRPr="00B14A1D">
        <w:rPr>
          <w:rFonts w:ascii="Arial" w:hAnsi="Arial"/>
          <w:color w:val="000000"/>
          <w:sz w:val="24"/>
          <w:lang w:val="fr-CA"/>
        </w:rPr>
        <w:t>fréquente</w:t>
      </w:r>
      <w:r w:rsidRPr="00B14A1D">
        <w:rPr>
          <w:rFonts w:ascii="Arial" w:hAnsi="Arial"/>
          <w:color w:val="000000"/>
          <w:sz w:val="24"/>
          <w:lang w:val="fr-CA"/>
        </w:rPr>
        <w:t xml:space="preserve">, si nécessaire) de </w:t>
      </w:r>
      <w:r w:rsidRPr="005F4D90">
        <w:rPr>
          <w:rFonts w:ascii="Arial" w:hAnsi="Arial"/>
          <w:color w:val="000000"/>
          <w:sz w:val="24"/>
          <w:lang w:val="fr-CA"/>
        </w:rPr>
        <w:t>tous</w:t>
      </w:r>
      <w:r w:rsidRPr="00B14A1D">
        <w:rPr>
          <w:rFonts w:ascii="Arial" w:hAnsi="Arial"/>
          <w:color w:val="000000"/>
          <w:sz w:val="24"/>
          <w:lang w:val="fr-CA"/>
        </w:rPr>
        <w:t xml:space="preserve"> les rapports</w:t>
      </w:r>
      <w:r w:rsidR="00E43FC6">
        <w:rPr>
          <w:rFonts w:ascii="Arial" w:hAnsi="Arial"/>
          <w:color w:val="000000"/>
          <w:sz w:val="24"/>
          <w:lang w:val="fr-CA"/>
        </w:rPr>
        <w:t xml:space="preserve"> </w:t>
      </w:r>
      <w:r w:rsidR="005F4D90">
        <w:rPr>
          <w:rFonts w:ascii="Arial" w:hAnsi="Arial"/>
          <w:color w:val="000000"/>
          <w:sz w:val="24"/>
          <w:lang w:val="fr-CA"/>
        </w:rPr>
        <w:t>d’incident ou de non</w:t>
      </w:r>
      <w:r w:rsidR="00E43FC6">
        <w:rPr>
          <w:rFonts w:ascii="Arial" w:hAnsi="Arial"/>
          <w:color w:val="000000"/>
          <w:sz w:val="24"/>
          <w:lang w:val="fr-CA"/>
        </w:rPr>
        <w:t>-</w:t>
      </w:r>
      <w:r w:rsidR="005F4D90">
        <w:rPr>
          <w:rFonts w:ascii="Arial" w:hAnsi="Arial"/>
          <w:color w:val="000000"/>
          <w:sz w:val="24"/>
          <w:lang w:val="fr-CA"/>
        </w:rPr>
        <w:t>conformité</w:t>
      </w:r>
      <w:r w:rsidRPr="00B14A1D">
        <w:rPr>
          <w:rFonts w:ascii="Arial" w:hAnsi="Arial"/>
          <w:color w:val="000000"/>
          <w:sz w:val="24"/>
          <w:lang w:val="fr-CA"/>
        </w:rPr>
        <w:t xml:space="preserve"> et procéder à une analyse des tendances qui fera l’objet d’un rapport</w:t>
      </w:r>
      <w:r w:rsidR="00F70080">
        <w:rPr>
          <w:rFonts w:ascii="Arial" w:hAnsi="Arial"/>
          <w:color w:val="000000"/>
          <w:sz w:val="24"/>
          <w:lang w:val="fr-CA"/>
        </w:rPr>
        <w:t xml:space="preserve"> à soumettre au Comité de médecine transfusionnelle ou son équivalent</w:t>
      </w:r>
      <w:r w:rsidRPr="00B14A1D">
        <w:rPr>
          <w:rFonts w:ascii="Arial" w:hAnsi="Arial"/>
          <w:color w:val="000000"/>
          <w:sz w:val="24"/>
          <w:lang w:val="fr-CA"/>
        </w:rPr>
        <w:t xml:space="preserve">. </w:t>
      </w:r>
      <w:r w:rsidRPr="00B14A1D">
        <w:rPr>
          <w:rFonts w:ascii="Arial" w:hAnsi="Arial"/>
          <w:color w:val="000000"/>
          <w:sz w:val="24"/>
          <w:lang w:val="fr-CA"/>
        </w:rPr>
        <w:br/>
      </w:r>
    </w:p>
    <w:p w:rsidR="00706C46" w:rsidRPr="00B14A1D" w:rsidRDefault="00E909F5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t xml:space="preserve">Le directeur médical </w:t>
      </w:r>
      <w:r w:rsidR="00F70080">
        <w:rPr>
          <w:rFonts w:ascii="Arial" w:hAnsi="Arial"/>
          <w:color w:val="000000"/>
          <w:sz w:val="24"/>
          <w:lang w:val="fr-CA"/>
        </w:rPr>
        <w:t xml:space="preserve">du Service de médecine transfusionnelle </w:t>
      </w:r>
      <w:r w:rsidRPr="00B14A1D">
        <w:rPr>
          <w:rFonts w:ascii="Arial" w:hAnsi="Arial"/>
          <w:color w:val="000000"/>
          <w:sz w:val="24"/>
          <w:lang w:val="fr-CA"/>
        </w:rPr>
        <w:t xml:space="preserve">ou </w:t>
      </w:r>
      <w:r w:rsidR="00B714F7">
        <w:rPr>
          <w:rFonts w:ascii="Arial" w:hAnsi="Arial"/>
          <w:color w:val="000000"/>
          <w:sz w:val="24"/>
          <w:lang w:val="fr-CA"/>
        </w:rPr>
        <w:t>son représentant</w:t>
      </w:r>
      <w:r w:rsidRPr="00B14A1D">
        <w:rPr>
          <w:rFonts w:ascii="Arial" w:hAnsi="Arial"/>
          <w:color w:val="000000"/>
          <w:sz w:val="24"/>
          <w:lang w:val="fr-CA"/>
        </w:rPr>
        <w:t xml:space="preserve"> doit revoir le rapport d’analyse</w:t>
      </w:r>
      <w:r w:rsidR="00706C46" w:rsidRPr="00B14A1D">
        <w:rPr>
          <w:rFonts w:ascii="Arial" w:hAnsi="Arial"/>
          <w:color w:val="000000"/>
          <w:sz w:val="24"/>
          <w:lang w:val="fr-CA"/>
        </w:rPr>
        <w:t>.</w:t>
      </w:r>
    </w:p>
    <w:p w:rsidR="00706C46" w:rsidRPr="00B14A1D" w:rsidRDefault="00706C46">
      <w:pPr>
        <w:rPr>
          <w:rFonts w:ascii="Arial" w:hAnsi="Arial"/>
          <w:sz w:val="24"/>
          <w:lang w:val="fr-CA"/>
        </w:rPr>
      </w:pPr>
    </w:p>
    <w:p w:rsidR="00706C46" w:rsidRPr="00B14A1D" w:rsidRDefault="00E909F5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lastRenderedPageBreak/>
        <w:t xml:space="preserve">Toute mesure subséquente </w:t>
      </w:r>
      <w:r w:rsidR="00205EB9" w:rsidRPr="00B14A1D">
        <w:rPr>
          <w:rFonts w:ascii="Arial" w:hAnsi="Arial"/>
          <w:color w:val="000000"/>
          <w:sz w:val="24"/>
          <w:lang w:val="fr-CA"/>
        </w:rPr>
        <w:t xml:space="preserve">au </w:t>
      </w:r>
      <w:r w:rsidRPr="00B14A1D">
        <w:rPr>
          <w:rFonts w:ascii="Arial" w:hAnsi="Arial"/>
          <w:color w:val="000000"/>
          <w:sz w:val="24"/>
          <w:lang w:val="fr-CA"/>
        </w:rPr>
        <w:t>rapport d’analyse, p.ex. changement à une procédure, formation du personnel, doit être documentée et sauvegardée dans les dossiers du SGQ</w:t>
      </w:r>
      <w:r w:rsidR="00706C46" w:rsidRPr="00B14A1D">
        <w:rPr>
          <w:rFonts w:ascii="Arial" w:hAnsi="Arial"/>
          <w:color w:val="000000"/>
          <w:sz w:val="24"/>
          <w:lang w:val="fr-CA"/>
        </w:rPr>
        <w:t>.</w:t>
      </w:r>
    </w:p>
    <w:p w:rsidR="005D46F5" w:rsidRPr="00B14A1D" w:rsidRDefault="005D46F5" w:rsidP="005D46F5">
      <w:pPr>
        <w:ind w:left="720"/>
        <w:rPr>
          <w:rFonts w:ascii="Arial" w:hAnsi="Arial"/>
          <w:color w:val="000000"/>
          <w:sz w:val="24"/>
          <w:lang w:val="fr-CA"/>
        </w:rPr>
      </w:pPr>
    </w:p>
    <w:p w:rsidR="00706C46" w:rsidRPr="00B14A1D" w:rsidRDefault="00353450" w:rsidP="005D46F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706C46" w:rsidRPr="00B14A1D" w:rsidRDefault="00706C46">
      <w:pPr>
        <w:rPr>
          <w:rFonts w:ascii="Arial" w:hAnsi="Arial"/>
          <w:b/>
          <w:sz w:val="24"/>
          <w:lang w:val="fr-CA"/>
        </w:rPr>
      </w:pPr>
    </w:p>
    <w:p w:rsidR="00A647AD" w:rsidRPr="00A647AD" w:rsidRDefault="00A647AD" w:rsidP="00E909F5">
      <w:pPr>
        <w:pStyle w:val="BodyText2"/>
        <w:numPr>
          <w:ilvl w:val="1"/>
          <w:numId w:val="1"/>
        </w:numPr>
        <w:tabs>
          <w:tab w:val="clear" w:pos="-1440"/>
          <w:tab w:val="clear" w:pos="-720"/>
          <w:tab w:val="left" w:pos="-1080"/>
          <w:tab w:val="left" w:pos="-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left"/>
        <w:rPr>
          <w:rFonts w:ascii="Arial" w:hAnsi="Arial"/>
          <w:color w:val="000000"/>
          <w:lang w:val="fr-CA"/>
        </w:rPr>
      </w:pPr>
      <w:r>
        <w:rPr>
          <w:rFonts w:ascii="Arial" w:hAnsi="Arial"/>
          <w:b/>
          <w:lang w:val="fr-CA"/>
        </w:rPr>
        <w:t xml:space="preserve">  </w:t>
      </w:r>
      <w:r>
        <w:rPr>
          <w:rFonts w:ascii="Arial" w:hAnsi="Arial"/>
          <w:lang w:val="fr-CA"/>
        </w:rPr>
        <w:t>Non-conformité relevée</w:t>
      </w:r>
      <w:r w:rsidR="009F5423">
        <w:rPr>
          <w:rFonts w:ascii="Arial" w:hAnsi="Arial"/>
          <w:lang w:val="fr-CA"/>
        </w:rPr>
        <w:br/>
      </w:r>
    </w:p>
    <w:p w:rsidR="00706C46" w:rsidRPr="00B14A1D" w:rsidRDefault="00A647AD" w:rsidP="00A647AD">
      <w:pPr>
        <w:pStyle w:val="BodyText2"/>
        <w:numPr>
          <w:ilvl w:val="2"/>
          <w:numId w:val="1"/>
        </w:numPr>
        <w:tabs>
          <w:tab w:val="clear" w:pos="-1440"/>
          <w:tab w:val="clear" w:pos="-720"/>
          <w:tab w:val="clear" w:pos="1440"/>
          <w:tab w:val="left" w:pos="-1080"/>
          <w:tab w:val="left" w:pos="-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left"/>
        <w:rPr>
          <w:rFonts w:ascii="Arial" w:hAnsi="Arial"/>
          <w:color w:val="000000"/>
          <w:lang w:val="fr-CA"/>
        </w:rPr>
      </w:pPr>
      <w:r>
        <w:rPr>
          <w:rFonts w:ascii="Arial" w:hAnsi="Arial"/>
          <w:lang w:val="fr-CA"/>
        </w:rPr>
        <w:t>U</w:t>
      </w:r>
      <w:r w:rsidR="00E909F5" w:rsidRPr="005F4D90">
        <w:rPr>
          <w:rFonts w:ascii="Arial" w:hAnsi="Arial"/>
          <w:lang w:val="fr-CA"/>
        </w:rPr>
        <w:t>n</w:t>
      </w:r>
      <w:r w:rsidR="00E909F5" w:rsidRPr="00B14A1D">
        <w:rPr>
          <w:rFonts w:ascii="Arial" w:hAnsi="Arial"/>
          <w:b/>
          <w:lang w:val="fr-CA"/>
        </w:rPr>
        <w:t xml:space="preserve"> </w:t>
      </w:r>
      <w:r w:rsidR="00E909F5" w:rsidRPr="005F4D90">
        <w:rPr>
          <w:rFonts w:ascii="Arial" w:hAnsi="Arial"/>
          <w:lang w:val="fr-CA"/>
        </w:rPr>
        <w:t xml:space="preserve">rapport interne de non-conformité </w:t>
      </w:r>
      <w:r w:rsidR="005F4D90">
        <w:rPr>
          <w:rFonts w:ascii="Arial" w:hAnsi="Arial"/>
          <w:lang w:val="fr-CA"/>
        </w:rPr>
        <w:t xml:space="preserve">(ADM.005F) </w:t>
      </w:r>
      <w:r w:rsidR="00E909F5" w:rsidRPr="005F4D90">
        <w:rPr>
          <w:rFonts w:ascii="Arial" w:hAnsi="Arial"/>
          <w:lang w:val="fr-CA"/>
        </w:rPr>
        <w:t>du LMT</w:t>
      </w:r>
      <w:r w:rsidR="00706C46" w:rsidRPr="00B14A1D">
        <w:rPr>
          <w:rFonts w:ascii="Arial" w:hAnsi="Arial"/>
          <w:b/>
          <w:lang w:val="fr-CA"/>
        </w:rPr>
        <w:t xml:space="preserve"> </w:t>
      </w:r>
      <w:r w:rsidR="00E909F5" w:rsidRPr="00B14A1D">
        <w:rPr>
          <w:rFonts w:ascii="Arial" w:hAnsi="Arial"/>
          <w:lang w:val="fr-CA"/>
        </w:rPr>
        <w:t xml:space="preserve">sera rempli lorsqu’une erreur est dépistée dans le LMT et corrigée avant la publication de l’information ou la mise en circulation d’un produit. Les </w:t>
      </w:r>
      <w:r w:rsidR="00E909F5" w:rsidRPr="00B14A1D">
        <w:rPr>
          <w:rFonts w:ascii="Arial" w:hAnsi="Arial"/>
          <w:color w:val="000000"/>
          <w:lang w:val="fr-CA"/>
        </w:rPr>
        <w:t xml:space="preserve">catégories de non-conformité sont les </w:t>
      </w:r>
      <w:r w:rsidR="007354D6">
        <w:rPr>
          <w:rFonts w:ascii="Arial" w:hAnsi="Arial"/>
          <w:color w:val="000000"/>
          <w:lang w:val="fr-CA"/>
        </w:rPr>
        <w:t>suivantes </w:t>
      </w:r>
      <w:r w:rsidR="00E909F5" w:rsidRPr="00B14A1D">
        <w:rPr>
          <w:rFonts w:ascii="Arial" w:hAnsi="Arial"/>
          <w:color w:val="000000"/>
          <w:lang w:val="fr-CA"/>
        </w:rPr>
        <w:t xml:space="preserve">: </w:t>
      </w:r>
      <w:r w:rsidR="00E909F5" w:rsidRPr="00B14A1D">
        <w:rPr>
          <w:rFonts w:ascii="Arial" w:hAnsi="Arial"/>
          <w:color w:val="000000"/>
          <w:lang w:val="fr-CA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670"/>
      </w:tblGrid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  <w:shd w:val="pct20" w:color="auto" w:fill="FFFFFF"/>
          </w:tcPr>
          <w:p w:rsidR="00706C46" w:rsidRPr="00B14A1D" w:rsidRDefault="005F4D90" w:rsidP="005F4D90">
            <w:pPr>
              <w:pStyle w:val="Heading9"/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 xml:space="preserve">Type </w:t>
            </w:r>
            <w:r w:rsidR="00E909F5" w:rsidRPr="00B14A1D">
              <w:rPr>
                <w:color w:val="000000"/>
                <w:lang w:val="fr-CA"/>
              </w:rPr>
              <w:t xml:space="preserve">de </w:t>
            </w:r>
            <w:r>
              <w:rPr>
                <w:color w:val="000000"/>
                <w:lang w:val="fr-CA"/>
              </w:rPr>
              <w:t>non-conformité</w:t>
            </w:r>
          </w:p>
        </w:tc>
        <w:tc>
          <w:tcPr>
            <w:tcW w:w="5670" w:type="dxa"/>
            <w:shd w:val="pct20" w:color="auto" w:fill="FFFFFF"/>
          </w:tcPr>
          <w:p w:rsidR="00706C46" w:rsidRPr="00B14A1D" w:rsidRDefault="00706C46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jc w:val="center"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Ex</w:t>
            </w:r>
            <w:r w:rsidR="00E909F5"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e</w:t>
            </w: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mple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353450" w:rsidP="00353450">
            <w:pPr>
              <w:pStyle w:val="Heading9"/>
              <w:rPr>
                <w:color w:val="000000"/>
                <w:lang w:val="fr-CA"/>
              </w:rPr>
            </w:pPr>
            <w:r w:rsidRPr="00B14A1D">
              <w:rPr>
                <w:color w:val="000000"/>
                <w:lang w:val="fr-CA"/>
              </w:rPr>
              <w:t>Erreur d’inscription</w:t>
            </w:r>
          </w:p>
        </w:tc>
        <w:tc>
          <w:tcPr>
            <w:tcW w:w="5670" w:type="dxa"/>
          </w:tcPr>
          <w:p w:rsidR="00706C46" w:rsidRPr="00B14A1D" w:rsidRDefault="009B5FC1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Groupe de l’unité mal inscrit</w:t>
            </w:r>
            <w:r w:rsidR="00706C46"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 xml:space="preserve"> 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E909F5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 xml:space="preserve">Gaspillage de produit </w:t>
            </w:r>
            <w:r w:rsidR="007354D6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sanguin</w:t>
            </w:r>
          </w:p>
        </w:tc>
        <w:tc>
          <w:tcPr>
            <w:tcW w:w="5670" w:type="dxa"/>
          </w:tcPr>
          <w:p w:rsidR="00706C46" w:rsidRPr="00B14A1D" w:rsidRDefault="00353450" w:rsidP="00353450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Dégel du mauvais produit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E909F5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Retard de mise en circulation</w:t>
            </w:r>
          </w:p>
        </w:tc>
        <w:tc>
          <w:tcPr>
            <w:tcW w:w="5670" w:type="dxa"/>
          </w:tcPr>
          <w:p w:rsidR="00706C46" w:rsidRPr="00B14A1D" w:rsidRDefault="009B5FC1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Demande verbale qui n’a pas été transmise en temps opportun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E909F5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Absence d’analyse</w:t>
            </w:r>
          </w:p>
        </w:tc>
        <w:tc>
          <w:tcPr>
            <w:tcW w:w="5670" w:type="dxa"/>
          </w:tcPr>
          <w:p w:rsidR="00706C46" w:rsidRPr="00B14A1D" w:rsidRDefault="00706C46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R</w:t>
            </w:r>
            <w:r w:rsidR="009B5FC1"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ésultats non vérifiés et non complétés</w:t>
            </w: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 xml:space="preserve"> 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E909F5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Erreur d’étiquetage</w:t>
            </w:r>
          </w:p>
        </w:tc>
        <w:tc>
          <w:tcPr>
            <w:tcW w:w="5670" w:type="dxa"/>
          </w:tcPr>
          <w:p w:rsidR="00706C46" w:rsidRPr="00B14A1D" w:rsidRDefault="004608FA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Étiquette d’échantillon mise sur le mauvais tube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3B5E87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Erreur – don autologue</w:t>
            </w:r>
          </w:p>
        </w:tc>
        <w:tc>
          <w:tcPr>
            <w:tcW w:w="5670" w:type="dxa"/>
          </w:tcPr>
          <w:p w:rsidR="00706C46" w:rsidRPr="00B14A1D" w:rsidRDefault="00353450" w:rsidP="00353450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Divergence de nom qui n'a pas été relevée à la réception du produit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E909F5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Erreur technique – analyse</w:t>
            </w:r>
          </w:p>
        </w:tc>
        <w:tc>
          <w:tcPr>
            <w:tcW w:w="5670" w:type="dxa"/>
          </w:tcPr>
          <w:p w:rsidR="00706C46" w:rsidRPr="00B14A1D" w:rsidRDefault="00353450" w:rsidP="00353450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Ajout du mauvais antisérum lors d'une analyse</w:t>
            </w:r>
          </w:p>
        </w:tc>
      </w:tr>
      <w:tr w:rsidR="00706C46" w:rsidRPr="00B14A1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06C46" w:rsidRPr="00B14A1D" w:rsidRDefault="00E909F5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 xml:space="preserve">Erreur de </w:t>
            </w:r>
            <w:r w:rsidR="004608FA"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 xml:space="preserve">rapport </w:t>
            </w:r>
          </w:p>
        </w:tc>
        <w:tc>
          <w:tcPr>
            <w:tcW w:w="5670" w:type="dxa"/>
          </w:tcPr>
          <w:p w:rsidR="00706C46" w:rsidRPr="00B14A1D" w:rsidRDefault="004608FA">
            <w:pPr>
              <w:tabs>
                <w:tab w:val="left" w:pos="-108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rPr>
                <w:rFonts w:ascii="Arial" w:hAnsi="Arial"/>
                <w:color w:val="000000"/>
                <w:spacing w:val="-2"/>
                <w:sz w:val="24"/>
                <w:lang w:val="fr-CA"/>
              </w:rPr>
            </w:pP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 xml:space="preserve">Mauvais résultat </w:t>
            </w:r>
            <w:r w:rsidR="00B14A1D"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inscrit</w:t>
            </w:r>
            <w:r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 xml:space="preserve"> au dossier mais constaté au LMT et modifié</w:t>
            </w:r>
            <w:r w:rsidR="00706C46" w:rsidRPr="00B14A1D">
              <w:rPr>
                <w:rFonts w:ascii="Arial" w:hAnsi="Arial"/>
                <w:color w:val="000000"/>
                <w:spacing w:val="-2"/>
                <w:sz w:val="24"/>
                <w:lang w:val="fr-CA"/>
              </w:rPr>
              <w:t>.</w:t>
            </w:r>
          </w:p>
        </w:tc>
      </w:tr>
    </w:tbl>
    <w:p w:rsidR="00706C46" w:rsidRDefault="00A647AD" w:rsidP="00A647AD">
      <w:pPr>
        <w:pStyle w:val="BodyText2"/>
        <w:numPr>
          <w:ilvl w:val="2"/>
          <w:numId w:val="1"/>
        </w:numPr>
        <w:tabs>
          <w:tab w:val="clear" w:pos="-1440"/>
          <w:tab w:val="clear" w:pos="-720"/>
          <w:tab w:val="clear" w:pos="720"/>
          <w:tab w:val="clear" w:pos="1440"/>
          <w:tab w:val="left" w:pos="-1080"/>
          <w:tab w:val="left" w:pos="-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left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Tout incident ayant un impact sur les soins au patient sera porté sans délai à l’attention du </w:t>
      </w:r>
      <w:r w:rsidR="009F5423">
        <w:rPr>
          <w:rFonts w:ascii="Arial" w:hAnsi="Arial"/>
          <w:lang w:val="fr-CA"/>
        </w:rPr>
        <w:t>gestionnaire</w:t>
      </w:r>
      <w:r>
        <w:rPr>
          <w:rFonts w:ascii="Arial" w:hAnsi="Arial"/>
          <w:lang w:val="fr-CA"/>
        </w:rPr>
        <w:t xml:space="preserve"> et du directeur médical.</w:t>
      </w:r>
    </w:p>
    <w:p w:rsidR="00A647AD" w:rsidRPr="00B14A1D" w:rsidRDefault="00A647AD">
      <w:pPr>
        <w:pStyle w:val="BodyText2"/>
        <w:tabs>
          <w:tab w:val="clear" w:pos="-1440"/>
          <w:tab w:val="clear" w:pos="-720"/>
          <w:tab w:val="clear" w:pos="720"/>
          <w:tab w:val="clear" w:pos="1440"/>
          <w:tab w:val="left" w:pos="-1080"/>
          <w:tab w:val="left" w:pos="-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center"/>
        <w:rPr>
          <w:rFonts w:ascii="Arial" w:hAnsi="Arial"/>
          <w:lang w:val="fr-CA"/>
        </w:rPr>
      </w:pPr>
    </w:p>
    <w:p w:rsidR="00A647AD" w:rsidRDefault="00A647AD">
      <w:pPr>
        <w:pStyle w:val="BodyText3"/>
        <w:numPr>
          <w:ilvl w:val="1"/>
          <w:numId w:val="1"/>
        </w:numPr>
        <w:rPr>
          <w:rFonts w:ascii="Arial" w:hAnsi="Arial"/>
          <w:color w:val="000000"/>
          <w:spacing w:val="0"/>
          <w:lang w:val="fr-CA"/>
        </w:rPr>
      </w:pPr>
      <w:r>
        <w:rPr>
          <w:rFonts w:ascii="Arial" w:hAnsi="Arial"/>
          <w:color w:val="000000"/>
          <w:spacing w:val="0"/>
          <w:lang w:val="fr-CA"/>
        </w:rPr>
        <w:t>Signalement de non-conformité</w:t>
      </w:r>
      <w:r w:rsidR="009F5423">
        <w:rPr>
          <w:rFonts w:ascii="Arial" w:hAnsi="Arial"/>
          <w:color w:val="000000"/>
          <w:spacing w:val="0"/>
          <w:lang w:val="fr-CA"/>
        </w:rPr>
        <w:br/>
      </w:r>
      <w:r w:rsidR="005D2B58">
        <w:rPr>
          <w:rFonts w:ascii="Arial" w:hAnsi="Arial"/>
          <w:color w:val="000000"/>
          <w:spacing w:val="0"/>
          <w:lang w:val="fr-CA"/>
        </w:rPr>
        <w:t xml:space="preserve"> </w:t>
      </w:r>
    </w:p>
    <w:p w:rsidR="005D2B58" w:rsidRPr="005D2B58" w:rsidRDefault="005D2B58" w:rsidP="00A647AD">
      <w:pPr>
        <w:pStyle w:val="BodyText3"/>
        <w:numPr>
          <w:ilvl w:val="2"/>
          <w:numId w:val="1"/>
        </w:numPr>
        <w:rPr>
          <w:rFonts w:ascii="Arial" w:hAnsi="Arial"/>
          <w:color w:val="000000"/>
          <w:spacing w:val="0"/>
          <w:lang w:val="fr-CA"/>
        </w:rPr>
      </w:pPr>
      <w:r>
        <w:rPr>
          <w:rFonts w:ascii="Arial" w:hAnsi="Arial"/>
          <w:color w:val="000000"/>
          <w:spacing w:val="0"/>
          <w:lang w:val="fr-CA"/>
        </w:rPr>
        <w:t xml:space="preserve">Des rapports hospitaliers de non-conformité </w:t>
      </w:r>
      <w:r w:rsidRPr="00B14A1D">
        <w:rPr>
          <w:rFonts w:ascii="Arial" w:hAnsi="Arial"/>
          <w:color w:val="000000"/>
          <w:lang w:val="fr-CA"/>
        </w:rPr>
        <w:t xml:space="preserve">seront émis dans les circonstances </w:t>
      </w:r>
      <w:r>
        <w:rPr>
          <w:rFonts w:ascii="Arial" w:hAnsi="Arial"/>
          <w:color w:val="000000"/>
          <w:lang w:val="fr-CA"/>
        </w:rPr>
        <w:t>suivantes </w:t>
      </w:r>
      <w:r w:rsidRPr="00B14A1D">
        <w:rPr>
          <w:rFonts w:ascii="Arial" w:hAnsi="Arial"/>
          <w:color w:val="000000"/>
          <w:lang w:val="fr-CA"/>
        </w:rPr>
        <w:t>:</w:t>
      </w:r>
    </w:p>
    <w:p w:rsidR="005D2B58" w:rsidRPr="00B14A1D" w:rsidRDefault="005D2B58" w:rsidP="005D2B58">
      <w:pPr>
        <w:numPr>
          <w:ilvl w:val="0"/>
          <w:numId w:val="18"/>
        </w:numPr>
        <w:tabs>
          <w:tab w:val="center" w:pos="2835"/>
          <w:tab w:val="right" w:pos="9360"/>
        </w:tabs>
        <w:suppressAutoHyphens/>
        <w:ind w:left="288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ab/>
      </w:r>
      <w:r w:rsidRPr="00B14A1D">
        <w:rPr>
          <w:rFonts w:ascii="Arial" w:hAnsi="Arial"/>
          <w:color w:val="000000"/>
          <w:sz w:val="24"/>
          <w:lang w:val="fr-CA"/>
        </w:rPr>
        <w:t>Le patient est affecté d'une façon quelconque (mauvais produit, produit incompatible, unité transfusée au mauvais patient, retard évitable de mise en circulation des produits).</w:t>
      </w:r>
    </w:p>
    <w:p w:rsidR="005D2B58" w:rsidRPr="00B14A1D" w:rsidRDefault="005D2B58" w:rsidP="005D2B58">
      <w:pPr>
        <w:tabs>
          <w:tab w:val="center" w:pos="2835"/>
          <w:tab w:val="right" w:pos="9360"/>
        </w:tabs>
        <w:suppressAutoHyphens/>
        <w:ind w:left="2160"/>
        <w:rPr>
          <w:rFonts w:ascii="Arial" w:hAnsi="Arial"/>
          <w:color w:val="000000"/>
          <w:sz w:val="24"/>
          <w:lang w:val="fr-CA"/>
        </w:rPr>
      </w:pPr>
    </w:p>
    <w:p w:rsidR="005D2B58" w:rsidRPr="00B14A1D" w:rsidRDefault="005D2B58" w:rsidP="005D2B58">
      <w:pPr>
        <w:numPr>
          <w:ilvl w:val="0"/>
          <w:numId w:val="18"/>
        </w:numPr>
        <w:tabs>
          <w:tab w:val="center" w:pos="2835"/>
          <w:tab w:val="right" w:pos="9360"/>
        </w:tabs>
        <w:suppressAutoHyphens/>
        <w:ind w:left="288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ab/>
      </w:r>
      <w:r w:rsidRPr="00B14A1D">
        <w:rPr>
          <w:rFonts w:ascii="Arial" w:hAnsi="Arial"/>
          <w:color w:val="000000"/>
          <w:sz w:val="24"/>
          <w:lang w:val="fr-CA"/>
        </w:rPr>
        <w:t>Des produits sanguins sont gaspillés (erreur de manipulation, d'entreposage).</w:t>
      </w:r>
    </w:p>
    <w:p w:rsidR="005D2B58" w:rsidRPr="00B14A1D" w:rsidRDefault="005D2B58" w:rsidP="005D2B58">
      <w:pPr>
        <w:tabs>
          <w:tab w:val="center" w:pos="2835"/>
          <w:tab w:val="right" w:pos="9360"/>
        </w:tabs>
        <w:suppressAutoHyphens/>
        <w:ind w:left="2160"/>
        <w:rPr>
          <w:rFonts w:ascii="Arial" w:hAnsi="Arial"/>
          <w:sz w:val="24"/>
          <w:lang w:val="fr-CA"/>
        </w:rPr>
      </w:pPr>
    </w:p>
    <w:p w:rsidR="005D2B58" w:rsidRPr="005D2B58" w:rsidRDefault="005D2B58" w:rsidP="005D2B58">
      <w:pPr>
        <w:pStyle w:val="BodyText3"/>
        <w:numPr>
          <w:ilvl w:val="0"/>
          <w:numId w:val="18"/>
        </w:numPr>
        <w:tabs>
          <w:tab w:val="clear" w:pos="4680"/>
          <w:tab w:val="center" w:pos="2835"/>
        </w:tabs>
        <w:ind w:left="2880"/>
        <w:rPr>
          <w:rFonts w:ascii="Arial" w:hAnsi="Arial"/>
          <w:color w:val="000000"/>
          <w:spacing w:val="0"/>
          <w:lang w:val="fr-CA"/>
        </w:rPr>
      </w:pPr>
      <w:r>
        <w:rPr>
          <w:rFonts w:ascii="Arial" w:hAnsi="Arial"/>
          <w:color w:val="000000"/>
          <w:lang w:val="fr-CA"/>
        </w:rPr>
        <w:lastRenderedPageBreak/>
        <w:tab/>
        <w:t>L’é</w:t>
      </w:r>
      <w:r w:rsidRPr="00B14A1D">
        <w:rPr>
          <w:rFonts w:ascii="Arial" w:hAnsi="Arial"/>
          <w:color w:val="000000"/>
          <w:lang w:val="fr-CA"/>
        </w:rPr>
        <w:t xml:space="preserve">chantillon </w:t>
      </w:r>
      <w:r>
        <w:rPr>
          <w:rFonts w:ascii="Arial" w:hAnsi="Arial"/>
          <w:color w:val="000000"/>
          <w:lang w:val="fr-CA"/>
        </w:rPr>
        <w:t xml:space="preserve">est </w:t>
      </w:r>
      <w:r w:rsidRPr="00B14A1D">
        <w:rPr>
          <w:rFonts w:ascii="Arial" w:hAnsi="Arial"/>
          <w:color w:val="000000"/>
          <w:lang w:val="fr-CA"/>
        </w:rPr>
        <w:t>inacceptable à des fins d’analyse – nouvel échantillon requis (aucune étiquette, erreur d’identification</w:t>
      </w:r>
      <w:r>
        <w:rPr>
          <w:rFonts w:ascii="Arial" w:hAnsi="Arial"/>
          <w:color w:val="000000"/>
          <w:lang w:val="fr-CA"/>
        </w:rPr>
        <w:br/>
      </w:r>
    </w:p>
    <w:p w:rsidR="00706C46" w:rsidRDefault="004608FA" w:rsidP="00A647AD">
      <w:pPr>
        <w:pStyle w:val="BodyText3"/>
        <w:numPr>
          <w:ilvl w:val="2"/>
          <w:numId w:val="1"/>
        </w:numPr>
        <w:rPr>
          <w:rFonts w:ascii="Arial" w:hAnsi="Arial"/>
          <w:color w:val="000000"/>
          <w:spacing w:val="0"/>
          <w:lang w:val="fr-CA"/>
        </w:rPr>
      </w:pPr>
      <w:r w:rsidRPr="00B14A1D">
        <w:rPr>
          <w:rFonts w:ascii="Arial" w:hAnsi="Arial"/>
          <w:color w:val="000000"/>
          <w:spacing w:val="0"/>
          <w:lang w:val="fr-CA"/>
        </w:rPr>
        <w:t>Les mesures correctives prises seront notées et une copie sera gardée en dossier à l’endroit désigné</w:t>
      </w:r>
      <w:r w:rsidR="00706C46" w:rsidRPr="00B14A1D">
        <w:rPr>
          <w:rFonts w:ascii="Arial" w:hAnsi="Arial"/>
          <w:color w:val="000000"/>
          <w:spacing w:val="0"/>
          <w:lang w:val="fr-CA"/>
        </w:rPr>
        <w:t>.</w:t>
      </w:r>
      <w:r w:rsidR="005D2B58">
        <w:rPr>
          <w:rFonts w:ascii="Arial" w:hAnsi="Arial"/>
          <w:color w:val="000000"/>
          <w:spacing w:val="0"/>
          <w:lang w:val="fr-CA"/>
        </w:rPr>
        <w:br/>
      </w:r>
    </w:p>
    <w:p w:rsidR="005D2B58" w:rsidRPr="005D2B58" w:rsidRDefault="005D2B58" w:rsidP="00A647AD">
      <w:pPr>
        <w:pStyle w:val="BodyText3"/>
        <w:numPr>
          <w:ilvl w:val="2"/>
          <w:numId w:val="1"/>
        </w:numPr>
        <w:rPr>
          <w:rFonts w:ascii="Arial" w:hAnsi="Arial"/>
          <w:color w:val="000000"/>
          <w:spacing w:val="0"/>
          <w:lang w:val="fr-CA"/>
        </w:rPr>
      </w:pPr>
      <w:r w:rsidRPr="00B14A1D">
        <w:rPr>
          <w:rFonts w:ascii="Arial" w:hAnsi="Arial"/>
          <w:color w:val="000000"/>
          <w:lang w:val="fr-CA"/>
        </w:rPr>
        <w:t>Les mesures correctives seront notées et classées avec la documentation du SGQ</w:t>
      </w:r>
      <w:r>
        <w:rPr>
          <w:rFonts w:ascii="Arial" w:hAnsi="Arial"/>
          <w:color w:val="000000"/>
          <w:lang w:val="fr-CA"/>
        </w:rPr>
        <w:t>.</w:t>
      </w:r>
      <w:r>
        <w:rPr>
          <w:rFonts w:ascii="Arial" w:hAnsi="Arial"/>
          <w:color w:val="000000"/>
          <w:lang w:val="fr-CA"/>
        </w:rPr>
        <w:br/>
      </w:r>
    </w:p>
    <w:p w:rsidR="005D2B58" w:rsidRPr="00B14A1D" w:rsidRDefault="009F5423" w:rsidP="00A647AD">
      <w:pPr>
        <w:pStyle w:val="BodyText3"/>
        <w:numPr>
          <w:ilvl w:val="2"/>
          <w:numId w:val="1"/>
        </w:numPr>
        <w:rPr>
          <w:rFonts w:ascii="Arial" w:hAnsi="Arial"/>
          <w:color w:val="000000"/>
          <w:spacing w:val="0"/>
          <w:lang w:val="fr-CA"/>
        </w:rPr>
      </w:pPr>
      <w:r w:rsidRPr="00B14A1D">
        <w:rPr>
          <w:rFonts w:ascii="Arial" w:hAnsi="Arial"/>
          <w:color w:val="000000"/>
          <w:lang w:val="fr-CA"/>
        </w:rPr>
        <w:t xml:space="preserve">Les rapports hospitaliers de </w:t>
      </w:r>
      <w:r>
        <w:rPr>
          <w:rFonts w:ascii="Arial" w:hAnsi="Arial"/>
          <w:color w:val="000000"/>
          <w:lang w:val="fr-CA"/>
        </w:rPr>
        <w:t xml:space="preserve">non-conformité </w:t>
      </w:r>
      <w:r w:rsidRPr="00B14A1D">
        <w:rPr>
          <w:rFonts w:ascii="Arial" w:hAnsi="Arial"/>
          <w:color w:val="000000"/>
          <w:lang w:val="fr-CA"/>
        </w:rPr>
        <w:t>seront signés par le gestionnaire du LMT ou la personne désignée, revus tous les mois et étudiés lors des réunions trimestrielles d’opérations par le gestionnaire et le directeur médical</w:t>
      </w:r>
    </w:p>
    <w:p w:rsidR="00706C46" w:rsidRPr="00B14A1D" w:rsidRDefault="00706C46">
      <w:pPr>
        <w:pStyle w:val="BodyText3"/>
        <w:tabs>
          <w:tab w:val="clear" w:pos="4680"/>
          <w:tab w:val="center" w:pos="8550"/>
        </w:tabs>
        <w:ind w:left="1440"/>
        <w:rPr>
          <w:rFonts w:ascii="Arial" w:hAnsi="Arial"/>
          <w:color w:val="000000"/>
          <w:spacing w:val="0"/>
          <w:lang w:val="fr-CA"/>
        </w:rPr>
      </w:pPr>
      <w:r w:rsidRPr="00B14A1D">
        <w:rPr>
          <w:rFonts w:ascii="Arial" w:hAnsi="Arial"/>
          <w:color w:val="000000"/>
          <w:spacing w:val="0"/>
          <w:lang w:val="fr-CA"/>
        </w:rPr>
        <w:tab/>
      </w:r>
    </w:p>
    <w:p w:rsidR="009F5423" w:rsidRPr="009F5423" w:rsidRDefault="009F5423">
      <w:pPr>
        <w:numPr>
          <w:ilvl w:val="1"/>
          <w:numId w:val="1"/>
        </w:numPr>
        <w:tabs>
          <w:tab w:val="center" w:pos="4680"/>
          <w:tab w:val="right" w:pos="9360"/>
        </w:tabs>
        <w:suppressAutoHyphens/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Étude des rapports de non-conformité</w:t>
      </w:r>
      <w:r>
        <w:rPr>
          <w:rFonts w:ascii="Arial" w:hAnsi="Arial"/>
          <w:color w:val="000000"/>
          <w:sz w:val="24"/>
          <w:lang w:val="fr-CA"/>
        </w:rPr>
        <w:br/>
      </w:r>
    </w:p>
    <w:p w:rsidR="00706C46" w:rsidRDefault="004608FA" w:rsidP="009F5423">
      <w:pPr>
        <w:numPr>
          <w:ilvl w:val="2"/>
          <w:numId w:val="1"/>
        </w:numPr>
        <w:tabs>
          <w:tab w:val="center" w:pos="4680"/>
          <w:tab w:val="right" w:pos="9360"/>
        </w:tabs>
        <w:suppressAutoHyphens/>
        <w:rPr>
          <w:rFonts w:ascii="Arial" w:hAnsi="Arial"/>
          <w:sz w:val="24"/>
          <w:lang w:val="fr-CA"/>
        </w:rPr>
      </w:pPr>
      <w:r w:rsidRPr="00B14A1D">
        <w:rPr>
          <w:rFonts w:ascii="Arial" w:hAnsi="Arial"/>
          <w:color w:val="000000"/>
          <w:sz w:val="24"/>
          <w:lang w:val="fr-CA"/>
        </w:rPr>
        <w:t>Les rapports d</w:t>
      </w:r>
      <w:r w:rsidR="005F4D90">
        <w:rPr>
          <w:rFonts w:ascii="Arial" w:hAnsi="Arial"/>
          <w:color w:val="000000"/>
          <w:sz w:val="24"/>
          <w:lang w:val="fr-CA"/>
        </w:rPr>
        <w:t xml:space="preserve">e non-conformité </w:t>
      </w:r>
      <w:r w:rsidRPr="00B14A1D">
        <w:rPr>
          <w:rFonts w:ascii="Arial" w:hAnsi="Arial"/>
          <w:color w:val="000000"/>
          <w:sz w:val="24"/>
          <w:lang w:val="fr-CA"/>
        </w:rPr>
        <w:t>seront révisés tous les mois. Toute e</w:t>
      </w:r>
      <w:r w:rsidRPr="00B14A1D">
        <w:rPr>
          <w:rFonts w:ascii="Arial" w:hAnsi="Arial"/>
          <w:sz w:val="24"/>
          <w:lang w:val="fr-CA"/>
        </w:rPr>
        <w:t xml:space="preserve">rreur répétée (même erreur ou même technologue) sera </w:t>
      </w:r>
      <w:r w:rsidR="007354D6">
        <w:rPr>
          <w:rFonts w:ascii="Arial" w:hAnsi="Arial"/>
          <w:sz w:val="24"/>
          <w:lang w:val="fr-CA"/>
        </w:rPr>
        <w:t>étudiée</w:t>
      </w:r>
      <w:r w:rsidRPr="00B14A1D">
        <w:rPr>
          <w:rFonts w:ascii="Arial" w:hAnsi="Arial"/>
          <w:sz w:val="24"/>
          <w:lang w:val="fr-CA"/>
        </w:rPr>
        <w:t xml:space="preserve"> pour déterminer si des changements à la procédure et/ou un supplément de formation sont requis</w:t>
      </w:r>
      <w:r w:rsidR="00706C46" w:rsidRPr="00B14A1D">
        <w:rPr>
          <w:rFonts w:ascii="Arial" w:hAnsi="Arial"/>
          <w:sz w:val="24"/>
          <w:lang w:val="fr-CA"/>
        </w:rPr>
        <w:t>.</w:t>
      </w:r>
      <w:r w:rsidR="009F5423">
        <w:rPr>
          <w:rFonts w:ascii="Arial" w:hAnsi="Arial"/>
          <w:sz w:val="24"/>
          <w:lang w:val="fr-CA"/>
        </w:rPr>
        <w:br/>
      </w:r>
    </w:p>
    <w:p w:rsidR="009F5423" w:rsidRPr="00B14A1D" w:rsidRDefault="009F5423" w:rsidP="009F5423">
      <w:pPr>
        <w:numPr>
          <w:ilvl w:val="2"/>
          <w:numId w:val="1"/>
        </w:numPr>
        <w:tabs>
          <w:tab w:val="center" w:pos="4680"/>
          <w:tab w:val="right" w:pos="9360"/>
        </w:tabs>
        <w:suppressAutoHyphens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rapports de non-conformité seront révisés régulièrement par le directeur médical du Service et le comité de médecine transfusionnelle de l’hôpital.</w:t>
      </w:r>
    </w:p>
    <w:p w:rsidR="00706C46" w:rsidRPr="005F4D90" w:rsidRDefault="00706C46">
      <w:pPr>
        <w:rPr>
          <w:rFonts w:ascii="Arial" w:hAnsi="Arial"/>
          <w:sz w:val="24"/>
          <w:lang w:val="fr-CA"/>
        </w:rPr>
      </w:pPr>
    </w:p>
    <w:p w:rsidR="00706C46" w:rsidRPr="00B14A1D" w:rsidRDefault="007D73E0" w:rsidP="005D46F5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Documentation</w:t>
      </w:r>
    </w:p>
    <w:p w:rsidR="00706C46" w:rsidRPr="00B14A1D" w:rsidRDefault="00706C46">
      <w:pPr>
        <w:rPr>
          <w:rFonts w:ascii="Arial" w:hAnsi="Arial"/>
          <w:b/>
          <w:color w:val="000000"/>
          <w:sz w:val="24"/>
          <w:lang w:val="fr-CA"/>
        </w:rPr>
      </w:pPr>
    </w:p>
    <w:p w:rsidR="00706C46" w:rsidRPr="00B14A1D" w:rsidRDefault="00B714F7">
      <w:pPr>
        <w:pStyle w:val="BodyTextIndent"/>
        <w:rPr>
          <w:color w:val="000000"/>
          <w:lang w:val="fr-CA"/>
        </w:rPr>
      </w:pPr>
      <w:r>
        <w:rPr>
          <w:color w:val="000000"/>
          <w:lang w:val="fr-CA"/>
        </w:rPr>
        <w:t>A</w:t>
      </w:r>
      <w:r w:rsidR="007D73E0" w:rsidRPr="00B14A1D">
        <w:rPr>
          <w:color w:val="000000"/>
          <w:lang w:val="fr-CA"/>
        </w:rPr>
        <w:t xml:space="preserve">u moins une revue annuelle des rapports </w:t>
      </w:r>
      <w:r>
        <w:rPr>
          <w:color w:val="000000"/>
          <w:lang w:val="fr-CA"/>
        </w:rPr>
        <w:t xml:space="preserve">et une </w:t>
      </w:r>
      <w:r w:rsidR="007D73E0" w:rsidRPr="00B14A1D">
        <w:rPr>
          <w:color w:val="000000"/>
          <w:lang w:val="fr-CA"/>
        </w:rPr>
        <w:t xml:space="preserve">analyse des tendances seront </w:t>
      </w:r>
      <w:r>
        <w:rPr>
          <w:color w:val="000000"/>
          <w:lang w:val="fr-CA"/>
        </w:rPr>
        <w:t xml:space="preserve">préparées et </w:t>
      </w:r>
      <w:r w:rsidR="007D73E0" w:rsidRPr="00B14A1D">
        <w:rPr>
          <w:color w:val="000000"/>
          <w:lang w:val="fr-CA"/>
        </w:rPr>
        <w:t>présenté</w:t>
      </w:r>
      <w:r>
        <w:rPr>
          <w:color w:val="000000"/>
          <w:lang w:val="fr-CA"/>
        </w:rPr>
        <w:t>e</w:t>
      </w:r>
      <w:r w:rsidR="007D73E0" w:rsidRPr="00B14A1D">
        <w:rPr>
          <w:color w:val="000000"/>
          <w:lang w:val="fr-CA"/>
        </w:rPr>
        <w:t xml:space="preserve">s au directeur médical </w:t>
      </w:r>
      <w:r w:rsidR="009F5423">
        <w:rPr>
          <w:color w:val="000000"/>
          <w:lang w:val="fr-CA"/>
        </w:rPr>
        <w:t xml:space="preserve">et au comité de médecine transfusionnelle </w:t>
      </w:r>
      <w:r w:rsidR="007D73E0" w:rsidRPr="00B14A1D">
        <w:rPr>
          <w:color w:val="000000"/>
          <w:lang w:val="fr-CA"/>
        </w:rPr>
        <w:t>qui les réviser</w:t>
      </w:r>
      <w:r w:rsidR="009F5423">
        <w:rPr>
          <w:color w:val="000000"/>
          <w:lang w:val="fr-CA"/>
        </w:rPr>
        <w:t>ont</w:t>
      </w:r>
      <w:r w:rsidR="007D73E0" w:rsidRPr="00B14A1D">
        <w:rPr>
          <w:color w:val="000000"/>
          <w:lang w:val="fr-CA"/>
        </w:rPr>
        <w:t xml:space="preserve"> et apporter</w:t>
      </w:r>
      <w:r w:rsidR="009F5423">
        <w:rPr>
          <w:color w:val="000000"/>
          <w:lang w:val="fr-CA"/>
        </w:rPr>
        <w:t>ont</w:t>
      </w:r>
      <w:r w:rsidR="007D73E0" w:rsidRPr="00B14A1D">
        <w:rPr>
          <w:color w:val="000000"/>
          <w:lang w:val="fr-CA"/>
        </w:rPr>
        <w:t xml:space="preserve"> au besoin des améliorations aux activités.</w:t>
      </w:r>
    </w:p>
    <w:p w:rsidR="00706C46" w:rsidRPr="00B14A1D" w:rsidRDefault="00706C46">
      <w:pPr>
        <w:ind w:left="720"/>
        <w:rPr>
          <w:rFonts w:ascii="Arial" w:hAnsi="Arial"/>
          <w:color w:val="000000"/>
          <w:sz w:val="24"/>
          <w:lang w:val="fr-CA"/>
        </w:rPr>
      </w:pPr>
    </w:p>
    <w:p w:rsidR="00706C46" w:rsidRPr="00B14A1D" w:rsidRDefault="007D73E0" w:rsidP="005D46F5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R</w:t>
      </w:r>
      <w:r w:rsidR="005D46F5" w:rsidRPr="00B14A1D">
        <w:rPr>
          <w:rFonts w:ascii="Arial" w:hAnsi="Arial"/>
          <w:b/>
          <w:color w:val="000000"/>
          <w:sz w:val="28"/>
          <w:lang w:val="fr-CA"/>
        </w:rPr>
        <w:t xml:space="preserve">emarques </w:t>
      </w:r>
      <w:r w:rsidR="00B714F7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B14A1D">
        <w:rPr>
          <w:rFonts w:ascii="Arial" w:hAnsi="Arial"/>
          <w:b/>
          <w:color w:val="000000"/>
          <w:sz w:val="28"/>
          <w:lang w:val="fr-CA"/>
        </w:rPr>
        <w:t>S</w:t>
      </w:r>
      <w:r w:rsidR="005D46F5" w:rsidRPr="00B14A1D">
        <w:rPr>
          <w:rFonts w:ascii="Arial" w:hAnsi="Arial"/>
          <w:b/>
          <w:color w:val="000000"/>
          <w:sz w:val="28"/>
          <w:lang w:val="fr-CA"/>
        </w:rPr>
        <w:t>.</w:t>
      </w:r>
      <w:r w:rsidRPr="00B14A1D">
        <w:rPr>
          <w:rFonts w:ascii="Arial" w:hAnsi="Arial"/>
          <w:b/>
          <w:color w:val="000000"/>
          <w:sz w:val="28"/>
          <w:lang w:val="fr-CA"/>
        </w:rPr>
        <w:t>O.</w:t>
      </w:r>
    </w:p>
    <w:p w:rsidR="00706C46" w:rsidRPr="00B14A1D" w:rsidRDefault="00706C46">
      <w:pPr>
        <w:rPr>
          <w:rFonts w:ascii="Arial" w:hAnsi="Arial"/>
          <w:color w:val="000000"/>
          <w:sz w:val="24"/>
          <w:lang w:val="fr-CA"/>
        </w:rPr>
      </w:pPr>
    </w:p>
    <w:p w:rsidR="00706C46" w:rsidRDefault="00706C4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B14A1D">
        <w:rPr>
          <w:rFonts w:ascii="Arial" w:hAnsi="Arial"/>
          <w:b/>
          <w:color w:val="000000"/>
          <w:sz w:val="28"/>
          <w:lang w:val="fr-CA"/>
        </w:rPr>
        <w:t>R</w:t>
      </w:r>
      <w:r w:rsidR="00353450" w:rsidRPr="00B14A1D">
        <w:rPr>
          <w:rFonts w:ascii="Arial" w:hAnsi="Arial"/>
          <w:b/>
          <w:color w:val="000000"/>
          <w:sz w:val="28"/>
          <w:lang w:val="fr-CA"/>
        </w:rPr>
        <w:t>éfé</w:t>
      </w:r>
      <w:r w:rsidRPr="00B14A1D">
        <w:rPr>
          <w:rFonts w:ascii="Arial" w:hAnsi="Arial"/>
          <w:b/>
          <w:color w:val="000000"/>
          <w:sz w:val="28"/>
          <w:lang w:val="fr-CA"/>
        </w:rPr>
        <w:t>rences</w:t>
      </w:r>
    </w:p>
    <w:p w:rsidR="004836AB" w:rsidRDefault="004836AB" w:rsidP="004836AB">
      <w:pPr>
        <w:pStyle w:val="ListParagraph"/>
        <w:rPr>
          <w:rFonts w:ascii="Arial" w:hAnsi="Arial"/>
          <w:b/>
          <w:color w:val="000000"/>
          <w:sz w:val="28"/>
          <w:lang w:val="fr-CA"/>
        </w:rPr>
      </w:pPr>
    </w:p>
    <w:p w:rsidR="00BE74E8" w:rsidRPr="005464D6" w:rsidRDefault="009F5423" w:rsidP="004836AB">
      <w:pPr>
        <w:numPr>
          <w:ilvl w:val="1"/>
          <w:numId w:val="1"/>
        </w:numPr>
        <w:rPr>
          <w:color w:val="000000"/>
          <w:lang w:val="en-CA"/>
        </w:rPr>
      </w:pPr>
      <w:r w:rsidRPr="009F5423">
        <w:rPr>
          <w:rFonts w:ascii="Arial" w:hAnsi="Arial"/>
          <w:sz w:val="24"/>
        </w:rPr>
        <w:t>IQMH Program Requirements and Guidance Information, v6.0 Dec 2013; Section II – Quality Management System</w:t>
      </w:r>
      <w:r w:rsidR="00AA7E71" w:rsidRPr="009F5423">
        <w:rPr>
          <w:rFonts w:ascii="Arial" w:hAnsi="Arial"/>
          <w:color w:val="000000"/>
          <w:sz w:val="24"/>
        </w:rPr>
        <w:t>.</w:t>
      </w:r>
      <w:r w:rsidR="00AA7E71" w:rsidRPr="009F5423">
        <w:rPr>
          <w:rFonts w:ascii="Arial" w:hAnsi="Arial"/>
          <w:color w:val="000000"/>
          <w:sz w:val="24"/>
        </w:rPr>
        <w:br/>
      </w:r>
    </w:p>
    <w:p w:rsidR="00BE74E8" w:rsidRPr="005862C8" w:rsidRDefault="004836AB" w:rsidP="00BE74E8">
      <w:pPr>
        <w:tabs>
          <w:tab w:val="left" w:pos="720"/>
          <w:tab w:val="left" w:pos="1440"/>
          <w:tab w:val="left" w:pos="2160"/>
          <w:tab w:val="left" w:pos="2880"/>
          <w:tab w:val="left" w:pos="3830"/>
        </w:tabs>
        <w:rPr>
          <w:rFonts w:ascii="Arial" w:hAnsi="Arial" w:cs="Arial"/>
          <w:b/>
          <w:sz w:val="28"/>
          <w:szCs w:val="24"/>
          <w:lang w:val="fr-CA"/>
        </w:rPr>
      </w:pPr>
      <w:r w:rsidRPr="005464D6">
        <w:rPr>
          <w:rFonts w:ascii="Arial" w:hAnsi="Arial" w:cs="Arial"/>
          <w:b/>
          <w:sz w:val="28"/>
          <w:szCs w:val="24"/>
          <w:lang w:val="en-CA"/>
        </w:rPr>
        <w:br w:type="page"/>
      </w:r>
      <w:r w:rsidR="00BE74E8" w:rsidRPr="005862C8">
        <w:rPr>
          <w:rFonts w:ascii="Arial" w:hAnsi="Arial" w:cs="Arial"/>
          <w:b/>
          <w:sz w:val="28"/>
          <w:szCs w:val="24"/>
          <w:lang w:val="fr-CA"/>
        </w:rPr>
        <w:lastRenderedPageBreak/>
        <w:t>10.0</w:t>
      </w:r>
      <w:r w:rsidR="00BE74E8" w:rsidRPr="005862C8">
        <w:rPr>
          <w:rFonts w:ascii="Arial" w:hAnsi="Arial" w:cs="Arial"/>
          <w:b/>
          <w:sz w:val="28"/>
          <w:szCs w:val="24"/>
          <w:lang w:val="fr-CA"/>
        </w:rPr>
        <w:tab/>
        <w:t xml:space="preserve">Suivi des </w:t>
      </w:r>
      <w:r w:rsidR="00BE74E8">
        <w:rPr>
          <w:rFonts w:ascii="Arial" w:hAnsi="Arial" w:cs="Arial"/>
          <w:b/>
          <w:sz w:val="28"/>
          <w:szCs w:val="24"/>
          <w:lang w:val="fr-CA"/>
        </w:rPr>
        <w:t>ré</w:t>
      </w:r>
      <w:r w:rsidR="00BE74E8" w:rsidRPr="005862C8">
        <w:rPr>
          <w:rFonts w:ascii="Arial" w:hAnsi="Arial" w:cs="Arial"/>
          <w:b/>
          <w:sz w:val="28"/>
          <w:szCs w:val="24"/>
          <w:lang w:val="fr-CA"/>
        </w:rPr>
        <w:t>visions</w:t>
      </w:r>
      <w:r w:rsidR="00BE74E8">
        <w:rPr>
          <w:rFonts w:ascii="Arial" w:hAnsi="Arial" w:cs="Arial"/>
          <w:b/>
          <w:sz w:val="28"/>
          <w:szCs w:val="24"/>
          <w:lang w:val="fr-CA"/>
        </w:rPr>
        <w:tab/>
      </w:r>
      <w:r w:rsidR="00BE74E8" w:rsidRPr="005862C8">
        <w:rPr>
          <w:rFonts w:ascii="Arial" w:hAnsi="Arial" w:cs="Arial"/>
          <w:b/>
          <w:sz w:val="28"/>
          <w:szCs w:val="24"/>
          <w:lang w:val="fr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BE74E8" w:rsidRPr="005862C8" w:rsidTr="00DE0E49">
        <w:tc>
          <w:tcPr>
            <w:tcW w:w="2235" w:type="dxa"/>
            <w:shd w:val="clear" w:color="auto" w:fill="F2F2F2"/>
          </w:tcPr>
          <w:p w:rsidR="00BE74E8" w:rsidRPr="005862C8" w:rsidRDefault="00BE74E8" w:rsidP="00DE0E49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5862C8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BE74E8" w:rsidRPr="005862C8" w:rsidRDefault="00BE74E8" w:rsidP="00DE0E49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5862C8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BE74E8" w:rsidRPr="005862C8" w:rsidTr="00DE0E49">
        <w:trPr>
          <w:trHeight w:val="1267"/>
        </w:trPr>
        <w:tc>
          <w:tcPr>
            <w:tcW w:w="2235" w:type="dxa"/>
            <w:shd w:val="clear" w:color="auto" w:fill="auto"/>
          </w:tcPr>
          <w:p w:rsidR="00BE74E8" w:rsidRPr="005862C8" w:rsidRDefault="00BE74E8" w:rsidP="00DE0E49">
            <w:pPr>
              <w:rPr>
                <w:rFonts w:ascii="Arial" w:hAnsi="Arial" w:cs="Arial"/>
                <w:szCs w:val="24"/>
                <w:lang w:val="fr-CA"/>
              </w:rPr>
            </w:pPr>
            <w:r w:rsidRPr="005862C8">
              <w:rPr>
                <w:rFonts w:ascii="Arial" w:hAnsi="Arial" w:cs="Arial"/>
                <w:szCs w:val="24"/>
                <w:lang w:val="fr-CA"/>
              </w:rPr>
              <w:t>10 août 2015</w:t>
            </w:r>
          </w:p>
        </w:tc>
        <w:tc>
          <w:tcPr>
            <w:tcW w:w="6621" w:type="dxa"/>
            <w:shd w:val="clear" w:color="auto" w:fill="auto"/>
          </w:tcPr>
          <w:p w:rsidR="00BE74E8" w:rsidRDefault="00BE74E8" w:rsidP="00BE74E8">
            <w:pPr>
              <w:numPr>
                <w:ilvl w:val="0"/>
                <w:numId w:val="15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5862C8">
              <w:rPr>
                <w:rFonts w:ascii="Arial" w:hAnsi="Arial" w:cs="Arial"/>
                <w:szCs w:val="24"/>
                <w:lang w:val="fr-CA"/>
              </w:rPr>
              <w:t>Changement du nom du manuel</w:t>
            </w:r>
          </w:p>
          <w:p w:rsidR="009F5423" w:rsidRPr="009F5423" w:rsidRDefault="00BE74E8" w:rsidP="009F5423">
            <w:pPr>
              <w:numPr>
                <w:ilvl w:val="0"/>
                <w:numId w:val="15"/>
              </w:numPr>
              <w:ind w:left="175" w:hanging="142"/>
              <w:rPr>
                <w:rFonts w:ascii="Arial" w:hAnsi="Arial"/>
                <w:b/>
                <w:color w:val="000000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 xml:space="preserve">Ajout </w:t>
            </w:r>
            <w:r w:rsidR="009F5423">
              <w:rPr>
                <w:rFonts w:ascii="Arial" w:hAnsi="Arial" w:cs="Arial"/>
                <w:szCs w:val="24"/>
                <w:lang w:val="fr-CA"/>
              </w:rPr>
              <w:t>à la section 4 : « </w:t>
            </w:r>
            <w:r w:rsidR="009F5423" w:rsidRPr="009F5423">
              <w:rPr>
                <w:rFonts w:ascii="Arial" w:hAnsi="Arial"/>
                <w:color w:val="000000"/>
                <w:lang w:val="fr-CA"/>
              </w:rPr>
              <w:t>ou formulaire de rapport de non-conformité de l’hôpital</w:t>
            </w:r>
            <w:r w:rsidR="009F5423">
              <w:rPr>
                <w:rFonts w:ascii="Arial" w:hAnsi="Arial"/>
                <w:color w:val="000000"/>
                <w:lang w:val="fr-CA"/>
              </w:rPr>
              <w:t> »</w:t>
            </w:r>
          </w:p>
          <w:p w:rsidR="009F5423" w:rsidRDefault="009F5423" w:rsidP="00BE74E8">
            <w:pPr>
              <w:numPr>
                <w:ilvl w:val="0"/>
                <w:numId w:val="15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Mention du comité de médecine transfusionnelle en 5.1</w:t>
            </w:r>
          </w:p>
          <w:p w:rsidR="009F5423" w:rsidRPr="009F5423" w:rsidRDefault="009F5423" w:rsidP="00BE74E8">
            <w:pPr>
              <w:numPr>
                <w:ilvl w:val="0"/>
                <w:numId w:val="15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Remplacement de « directeur médical » par « </w:t>
            </w:r>
            <w:r w:rsidRPr="009F5423">
              <w:rPr>
                <w:rFonts w:ascii="Arial" w:hAnsi="Arial"/>
                <w:color w:val="000000"/>
                <w:lang w:val="fr-CA"/>
              </w:rPr>
              <w:t>directeur médical du Service de médecine transfusionnelle ou son représentant</w:t>
            </w:r>
            <w:r>
              <w:rPr>
                <w:rFonts w:ascii="Arial" w:hAnsi="Arial"/>
                <w:color w:val="000000"/>
                <w:lang w:val="fr-CA"/>
              </w:rPr>
              <w:t> » en 5.2</w:t>
            </w:r>
          </w:p>
          <w:p w:rsidR="00BE74E8" w:rsidRDefault="00BE74E8" w:rsidP="00BE74E8">
            <w:pPr>
              <w:numPr>
                <w:ilvl w:val="0"/>
                <w:numId w:val="15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5862C8">
              <w:rPr>
                <w:rFonts w:ascii="Arial" w:hAnsi="Arial" w:cs="Arial"/>
                <w:szCs w:val="24"/>
                <w:lang w:val="fr-CA"/>
              </w:rPr>
              <w:t xml:space="preserve">Révision </w:t>
            </w:r>
            <w:r>
              <w:rPr>
                <w:rFonts w:ascii="Arial" w:hAnsi="Arial" w:cs="Arial"/>
                <w:szCs w:val="24"/>
                <w:lang w:val="fr-CA"/>
              </w:rPr>
              <w:t xml:space="preserve">et renumérotation de la </w:t>
            </w:r>
            <w:r w:rsidRPr="005862C8">
              <w:rPr>
                <w:rFonts w:ascii="Arial" w:hAnsi="Arial" w:cs="Arial"/>
                <w:szCs w:val="24"/>
                <w:lang w:val="fr-CA"/>
              </w:rPr>
              <w:t>section</w:t>
            </w:r>
            <w:r>
              <w:rPr>
                <w:rFonts w:ascii="Arial" w:hAnsi="Arial" w:cs="Arial"/>
                <w:szCs w:val="24"/>
                <w:lang w:val="fr-CA"/>
              </w:rPr>
              <w:t xml:space="preserve"> 6</w:t>
            </w:r>
          </w:p>
          <w:p w:rsidR="009F5423" w:rsidRPr="005862C8" w:rsidRDefault="009F5423" w:rsidP="00BE74E8">
            <w:pPr>
              <w:numPr>
                <w:ilvl w:val="0"/>
                <w:numId w:val="15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Révision du libellé de la section 7.0</w:t>
            </w:r>
          </w:p>
          <w:p w:rsidR="00BE74E8" w:rsidRPr="005862C8" w:rsidRDefault="00BE74E8" w:rsidP="00BE74E8">
            <w:pPr>
              <w:numPr>
                <w:ilvl w:val="0"/>
                <w:numId w:val="15"/>
              </w:numPr>
              <w:spacing w:after="160" w:line="259" w:lineRule="auto"/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Mise à jour des références</w:t>
            </w:r>
            <w:r w:rsidRPr="005862C8">
              <w:rPr>
                <w:rFonts w:ascii="Arial" w:hAnsi="Arial" w:cs="Arial"/>
                <w:szCs w:val="24"/>
                <w:lang w:val="fr-CA"/>
              </w:rPr>
              <w:t xml:space="preserve"> </w:t>
            </w:r>
          </w:p>
        </w:tc>
      </w:tr>
    </w:tbl>
    <w:p w:rsidR="00706C46" w:rsidRPr="005464D6" w:rsidRDefault="00706C46">
      <w:pPr>
        <w:tabs>
          <w:tab w:val="left" w:pos="2349"/>
        </w:tabs>
        <w:rPr>
          <w:color w:val="000000"/>
          <w:lang w:val="fr-CA"/>
        </w:rPr>
      </w:pPr>
    </w:p>
    <w:p w:rsidR="00706C46" w:rsidRPr="005464D6" w:rsidRDefault="00706C46">
      <w:pPr>
        <w:rPr>
          <w:lang w:val="fr-CA"/>
        </w:rPr>
      </w:pPr>
    </w:p>
    <w:sectPr w:rsidR="00706C46" w:rsidRPr="005464D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5F" w:rsidRDefault="004A145F">
      <w:r>
        <w:separator/>
      </w:r>
    </w:p>
  </w:endnote>
  <w:endnote w:type="continuationSeparator" w:id="0">
    <w:p w:rsidR="004A145F" w:rsidRDefault="004A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132B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9132B8" w:rsidRDefault="009132B8">
          <w:pPr>
            <w:pStyle w:val="Footer"/>
            <w:jc w:val="center"/>
            <w:rPr>
              <w:sz w:val="8"/>
            </w:rPr>
          </w:pPr>
        </w:p>
        <w:p w:rsidR="009132B8" w:rsidRDefault="00081F8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6260"/>
                <wp:effectExtent l="0" t="0" r="635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132B8" w:rsidRDefault="009132B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F4D90" w:rsidRPr="00D52543" w:rsidRDefault="00BE74E8" w:rsidP="005F4D9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:rsidR="009132B8" w:rsidRPr="005464D6" w:rsidRDefault="009132B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9132B8" w:rsidRPr="005464D6" w:rsidRDefault="009132B8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9132B8" w:rsidRDefault="009132B8" w:rsidP="00BE74E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ADM.005 </w:t>
          </w:r>
          <w:r>
            <w:rPr>
              <w:rFonts w:ascii="Arial" w:hAnsi="Arial"/>
              <w:sz w:val="18"/>
            </w:rPr>
            <w:br/>
          </w:r>
          <w:r w:rsidRPr="007D73E0"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81F80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Pr="007D73E0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81F80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132B8" w:rsidRDefault="00913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132B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9132B8" w:rsidRDefault="009132B8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132B8" w:rsidRDefault="00081F8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6260"/>
                <wp:effectExtent l="0" t="0" r="635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132B8" w:rsidRDefault="009132B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132B8" w:rsidRPr="005464D6" w:rsidRDefault="00BE74E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Pr="005464D6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9132B8" w:rsidRPr="005464D6" w:rsidRDefault="009132B8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9132B8" w:rsidRDefault="009132B8" w:rsidP="00BE74E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ADM.005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81F80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81F80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132B8" w:rsidRDefault="00913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5F" w:rsidRDefault="004A145F">
      <w:r>
        <w:separator/>
      </w:r>
    </w:p>
  </w:footnote>
  <w:footnote w:type="continuationSeparator" w:id="0">
    <w:p w:rsidR="004A145F" w:rsidRDefault="004A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B8" w:rsidRPr="00E909F5" w:rsidRDefault="009132B8" w:rsidP="00353450">
    <w:pPr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E909F5">
      <w:rPr>
        <w:rFonts w:ascii="Arial" w:hAnsi="Arial"/>
        <w:b/>
        <w:color w:val="000000"/>
        <w:spacing w:val="-2"/>
        <w:sz w:val="28"/>
        <w:lang w:val="fr-CA"/>
      </w:rPr>
      <w:t>Rapports de non-conformité</w:t>
    </w:r>
  </w:p>
  <w:p w:rsidR="009132B8" w:rsidRDefault="009132B8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B8" w:rsidRPr="00353450" w:rsidRDefault="00081F80">
    <w:pPr>
      <w:pStyle w:val="Header"/>
      <w:rPr>
        <w:color w:val="000000"/>
        <w:lang w:val="fr-CA"/>
      </w:rPr>
    </w:pPr>
    <w:r>
      <w:rPr>
        <w:rFonts w:ascii="Verdana" w:hAnsi="Verdana"/>
        <w:noProof/>
        <w:sz w:val="8"/>
        <w:lang w:val="en-CA" w:eastAsia="en-CA"/>
      </w:rPr>
      <w:drawing>
        <wp:inline distT="0" distB="0" distL="0" distR="0">
          <wp:extent cx="1711325" cy="574675"/>
          <wp:effectExtent l="0" t="0" r="3175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4E8" w:rsidRPr="00E37118" w:rsidRDefault="00BE74E8" w:rsidP="00BE74E8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BE74E8" w:rsidRPr="00E37118" w:rsidRDefault="00BE74E8" w:rsidP="00BE74E8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9132B8" w:rsidRPr="00353450" w:rsidRDefault="009132B8">
    <w:pPr>
      <w:pStyle w:val="Header"/>
      <w:jc w:val="center"/>
      <w:rPr>
        <w:rFonts w:ascii="Arial" w:hAnsi="Arial" w:cs="Arial"/>
        <w:b/>
        <w:bCs/>
        <w:color w:val="000000"/>
        <w:kern w:val="24"/>
        <w:sz w:val="22"/>
        <w:lang w:val="fr-CA"/>
      </w:rPr>
    </w:pPr>
  </w:p>
  <w:p w:rsidR="009132B8" w:rsidRPr="00353450" w:rsidRDefault="009132B8" w:rsidP="00353450">
    <w:pPr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353450">
      <w:rPr>
        <w:rFonts w:ascii="Arial" w:hAnsi="Arial"/>
        <w:color w:val="000000"/>
        <w:spacing w:val="-2"/>
        <w:sz w:val="28"/>
        <w:lang w:val="fr-CA"/>
      </w:rPr>
      <w:t>Rapports de non-conformité</w:t>
    </w:r>
  </w:p>
  <w:p w:rsidR="009132B8" w:rsidRPr="00353450" w:rsidRDefault="009132B8">
    <w:pPr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jc w:val="center"/>
      <w:rPr>
        <w:rFonts w:ascii="Arial" w:hAnsi="Arial"/>
        <w:b/>
        <w:color w:val="000000"/>
        <w:spacing w:val="-2"/>
        <w:sz w:val="28"/>
        <w:lang w:val="fr-CA"/>
      </w:rPr>
    </w:pPr>
  </w:p>
  <w:p w:rsidR="009132B8" w:rsidRPr="00353450" w:rsidRDefault="009132B8">
    <w:pPr>
      <w:pStyle w:val="Header"/>
      <w:tabs>
        <w:tab w:val="left" w:pos="6617"/>
      </w:tabs>
      <w:rPr>
        <w:rFonts w:ascii="Arial" w:hAnsi="Arial" w:cs="Arial"/>
        <w:b/>
        <w:bCs/>
        <w:color w:val="000000"/>
        <w:kern w:val="24"/>
        <w:lang w:val="fr-CA"/>
      </w:rPr>
    </w:pPr>
    <w:r w:rsidRPr="00353450">
      <w:rPr>
        <w:rFonts w:ascii="Arial" w:hAnsi="Arial" w:cs="Arial"/>
        <w:b/>
        <w:bCs/>
        <w:color w:val="000000"/>
        <w:lang w:val="fr-CA"/>
      </w:rPr>
      <w:tab/>
    </w:r>
    <w:r w:rsidR="00081F80"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  <w:r w:rsidRPr="00353450">
      <w:rPr>
        <w:rFonts w:ascii="Arial" w:hAnsi="Arial" w:cs="Arial"/>
        <w:b/>
        <w:bCs/>
        <w:color w:val="000000"/>
        <w:lang w:val="fr-CA"/>
      </w:rPr>
      <w:tab/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9132B8" w:rsidRPr="00353450">
      <w:tc>
        <w:tcPr>
          <w:tcW w:w="4428" w:type="dxa"/>
        </w:tcPr>
        <w:p w:rsidR="009132B8" w:rsidRPr="00353450" w:rsidRDefault="009132B8" w:rsidP="00BE74E8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353450">
            <w:rPr>
              <w:rFonts w:ascii="Arial" w:hAnsi="Arial" w:cs="Arial"/>
              <w:color w:val="000000"/>
              <w:lang w:val="fr-CA"/>
            </w:rPr>
            <w:t>Approbation :</w:t>
          </w:r>
          <w:r w:rsidR="004F59D3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9132B8" w:rsidRPr="00353450" w:rsidRDefault="009132B8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353450">
            <w:rPr>
              <w:rFonts w:ascii="Arial" w:hAnsi="Arial" w:cs="Arial"/>
              <w:color w:val="000000"/>
              <w:lang w:val="fr-CA"/>
            </w:rPr>
            <w:t>Document n</w:t>
          </w:r>
          <w:r w:rsidRPr="00353450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353450">
            <w:rPr>
              <w:rFonts w:ascii="Arial" w:hAnsi="Arial" w:cs="Arial"/>
              <w:color w:val="000000"/>
              <w:lang w:val="fr-CA"/>
            </w:rPr>
            <w:t xml:space="preserve"> : ADM.005</w:t>
          </w:r>
        </w:p>
      </w:tc>
    </w:tr>
    <w:tr w:rsidR="009132B8" w:rsidRPr="00353450">
      <w:tc>
        <w:tcPr>
          <w:tcW w:w="4428" w:type="dxa"/>
        </w:tcPr>
        <w:p w:rsidR="009132B8" w:rsidRPr="00353450" w:rsidRDefault="009132B8" w:rsidP="00353450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353450">
            <w:rPr>
              <w:rFonts w:ascii="Arial" w:hAnsi="Arial" w:cs="Arial"/>
              <w:color w:val="000000"/>
              <w:lang w:val="fr-CA"/>
            </w:rPr>
            <w:t>Date de publication : 2006/09/</w:t>
          </w:r>
          <w:r w:rsidR="007354D6">
            <w:rPr>
              <w:rFonts w:ascii="Arial" w:hAnsi="Arial" w:cs="Arial"/>
              <w:color w:val="000000"/>
              <w:lang w:val="fr-CA"/>
            </w:rPr>
            <w:t>2</w:t>
          </w:r>
          <w:r w:rsidRPr="00353450">
            <w:rPr>
              <w:rFonts w:ascii="Arial" w:hAnsi="Arial" w:cs="Arial"/>
              <w:color w:val="000000"/>
              <w:lang w:val="fr-CA"/>
            </w:rPr>
            <w:t>1</w:t>
          </w:r>
        </w:p>
      </w:tc>
      <w:tc>
        <w:tcPr>
          <w:tcW w:w="4428" w:type="dxa"/>
        </w:tcPr>
        <w:p w:rsidR="009132B8" w:rsidRPr="00353450" w:rsidRDefault="009132B8" w:rsidP="00353450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353450">
            <w:rPr>
              <w:rFonts w:ascii="Arial" w:hAnsi="Arial" w:cs="Arial"/>
              <w:color w:val="000000"/>
              <w:lang w:val="fr-CA"/>
            </w:rPr>
            <w:t>Catégorie : Administration</w:t>
          </w:r>
        </w:p>
      </w:tc>
    </w:tr>
    <w:tr w:rsidR="009132B8" w:rsidRPr="00353450">
      <w:tc>
        <w:tcPr>
          <w:tcW w:w="4428" w:type="dxa"/>
        </w:tcPr>
        <w:p w:rsidR="009132B8" w:rsidRPr="00353450" w:rsidRDefault="009132B8" w:rsidP="00353450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353450">
            <w:rPr>
              <w:rFonts w:ascii="Arial" w:hAnsi="Arial" w:cs="Arial"/>
              <w:color w:val="000000"/>
              <w:lang w:val="fr-CA"/>
            </w:rPr>
            <w:t>Date de révision :</w:t>
          </w:r>
          <w:r w:rsidR="004F59D3">
            <w:rPr>
              <w:rFonts w:ascii="Arial" w:hAnsi="Arial" w:cs="Arial"/>
              <w:color w:val="000000"/>
              <w:lang w:val="fr-CA"/>
            </w:rPr>
            <w:t xml:space="preserve"> </w:t>
          </w:r>
          <w:r w:rsidR="005F4D90">
            <w:rPr>
              <w:rFonts w:ascii="Arial" w:hAnsi="Arial" w:cs="Arial"/>
              <w:color w:val="000000"/>
              <w:lang w:val="fr-CA"/>
            </w:rPr>
            <w:t>2009/12/31</w:t>
          </w:r>
          <w:r w:rsidR="00BE74E8">
            <w:rPr>
              <w:rFonts w:ascii="Arial" w:hAnsi="Arial" w:cs="Arial"/>
              <w:color w:val="000000"/>
              <w:lang w:val="fr-CA"/>
            </w:rPr>
            <w:t xml:space="preserve">; </w:t>
          </w:r>
          <w:r w:rsidR="00BE74E8">
            <w:rPr>
              <w:rFonts w:ascii="Arial" w:hAnsi="Arial" w:cs="Arial"/>
            </w:rPr>
            <w:t>2015/08/10</w:t>
          </w:r>
        </w:p>
      </w:tc>
      <w:tc>
        <w:tcPr>
          <w:tcW w:w="4428" w:type="dxa"/>
        </w:tcPr>
        <w:p w:rsidR="009132B8" w:rsidRPr="00353450" w:rsidRDefault="009132B8" w:rsidP="00353450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353450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353450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353450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353450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081F80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353450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9132B8" w:rsidRPr="00353450" w:rsidRDefault="00081F80">
    <w:pPr>
      <w:pStyle w:val="Header"/>
      <w:rPr>
        <w:color w:val="000000"/>
        <w:lang w:val="fr-CA"/>
      </w:rPr>
    </w:pPr>
    <w:r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1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F116F8"/>
    <w:multiLevelType w:val="singleLevel"/>
    <w:tmpl w:val="FBE087E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>
    <w:nsid w:val="33BF5A4B"/>
    <w:multiLevelType w:val="singleLevel"/>
    <w:tmpl w:val="85F0EF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>
    <w:nsid w:val="34567BF1"/>
    <w:multiLevelType w:val="multilevel"/>
    <w:tmpl w:val="0CC4F7E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8374E99"/>
    <w:multiLevelType w:val="singleLevel"/>
    <w:tmpl w:val="FBE087E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CBD5CCC"/>
    <w:multiLevelType w:val="hybridMultilevel"/>
    <w:tmpl w:val="79A04B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75456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E8457F8"/>
    <w:multiLevelType w:val="hybridMultilevel"/>
    <w:tmpl w:val="1AE40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1EF1DE4"/>
    <w:multiLevelType w:val="hybridMultilevel"/>
    <w:tmpl w:val="E3EC6166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DC1268"/>
    <w:multiLevelType w:val="hybridMultilevel"/>
    <w:tmpl w:val="B3425E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6"/>
  </w:num>
  <w:num w:numId="6">
    <w:abstractNumId w:val="15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0"/>
    <w:rsid w:val="000356DC"/>
    <w:rsid w:val="00081F80"/>
    <w:rsid w:val="00121791"/>
    <w:rsid w:val="00156147"/>
    <w:rsid w:val="00160894"/>
    <w:rsid w:val="001A52F9"/>
    <w:rsid w:val="00205EB9"/>
    <w:rsid w:val="0022772C"/>
    <w:rsid w:val="002D66BC"/>
    <w:rsid w:val="00353450"/>
    <w:rsid w:val="003B5E87"/>
    <w:rsid w:val="003E36E2"/>
    <w:rsid w:val="004011A2"/>
    <w:rsid w:val="004608FA"/>
    <w:rsid w:val="004836AB"/>
    <w:rsid w:val="004A145F"/>
    <w:rsid w:val="004B1B10"/>
    <w:rsid w:val="004F59D3"/>
    <w:rsid w:val="004F72B2"/>
    <w:rsid w:val="005464D6"/>
    <w:rsid w:val="005A0EB8"/>
    <w:rsid w:val="005D2B58"/>
    <w:rsid w:val="005D46F5"/>
    <w:rsid w:val="005F4D90"/>
    <w:rsid w:val="00706C46"/>
    <w:rsid w:val="007354D6"/>
    <w:rsid w:val="007B76E8"/>
    <w:rsid w:val="007D73E0"/>
    <w:rsid w:val="00902AE6"/>
    <w:rsid w:val="009132B8"/>
    <w:rsid w:val="00917B38"/>
    <w:rsid w:val="009B5FC1"/>
    <w:rsid w:val="009F5423"/>
    <w:rsid w:val="00A647AD"/>
    <w:rsid w:val="00AA7E71"/>
    <w:rsid w:val="00B14A1D"/>
    <w:rsid w:val="00B714F7"/>
    <w:rsid w:val="00BE74E8"/>
    <w:rsid w:val="00C12C3F"/>
    <w:rsid w:val="00DD3DCC"/>
    <w:rsid w:val="00DE0E49"/>
    <w:rsid w:val="00E43FC6"/>
    <w:rsid w:val="00E909F5"/>
    <w:rsid w:val="00EA426A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outlineLvl w:val="8"/>
    </w:pPr>
    <w:rPr>
      <w:rFonts w:ascii="Arial" w:hAnsi="Arial"/>
      <w:spacing w:val="-2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suppressAutoHyphens/>
      <w:jc w:val="both"/>
    </w:pPr>
    <w:rPr>
      <w:spacing w:val="-2"/>
      <w:sz w:val="24"/>
      <w:lang w:val="en-GB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center" w:pos="4680"/>
        <w:tab w:val="right" w:pos="9360"/>
      </w:tabs>
      <w:suppressAutoHyphens/>
    </w:pPr>
    <w:rPr>
      <w:spacing w:val="-2"/>
      <w:sz w:val="24"/>
      <w:lang w:val="en-GB"/>
    </w:rPr>
  </w:style>
  <w:style w:type="character" w:styleId="CommentReference">
    <w:name w:val="annotation reference"/>
    <w:semiHidden/>
    <w:rsid w:val="007D73E0"/>
    <w:rPr>
      <w:sz w:val="16"/>
      <w:szCs w:val="16"/>
    </w:rPr>
  </w:style>
  <w:style w:type="paragraph" w:styleId="CommentText">
    <w:name w:val="annotation text"/>
    <w:basedOn w:val="Normal"/>
    <w:semiHidden/>
    <w:rsid w:val="007D73E0"/>
  </w:style>
  <w:style w:type="paragraph" w:styleId="CommentSubject">
    <w:name w:val="annotation subject"/>
    <w:basedOn w:val="CommentText"/>
    <w:next w:val="CommentText"/>
    <w:semiHidden/>
    <w:rsid w:val="007D73E0"/>
    <w:rPr>
      <w:b/>
      <w:bCs/>
    </w:rPr>
  </w:style>
  <w:style w:type="paragraph" w:styleId="BalloonText">
    <w:name w:val="Balloon Text"/>
    <w:basedOn w:val="Normal"/>
    <w:semiHidden/>
    <w:rsid w:val="007D73E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E74E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36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outlineLvl w:val="8"/>
    </w:pPr>
    <w:rPr>
      <w:rFonts w:ascii="Arial" w:hAnsi="Arial"/>
      <w:spacing w:val="-2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suppressAutoHyphens/>
      <w:jc w:val="both"/>
    </w:pPr>
    <w:rPr>
      <w:spacing w:val="-2"/>
      <w:sz w:val="24"/>
      <w:lang w:val="en-GB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center" w:pos="4680"/>
        <w:tab w:val="right" w:pos="9360"/>
      </w:tabs>
      <w:suppressAutoHyphens/>
    </w:pPr>
    <w:rPr>
      <w:spacing w:val="-2"/>
      <w:sz w:val="24"/>
      <w:lang w:val="en-GB"/>
    </w:rPr>
  </w:style>
  <w:style w:type="character" w:styleId="CommentReference">
    <w:name w:val="annotation reference"/>
    <w:semiHidden/>
    <w:rsid w:val="007D73E0"/>
    <w:rPr>
      <w:sz w:val="16"/>
      <w:szCs w:val="16"/>
    </w:rPr>
  </w:style>
  <w:style w:type="paragraph" w:styleId="CommentText">
    <w:name w:val="annotation text"/>
    <w:basedOn w:val="Normal"/>
    <w:semiHidden/>
    <w:rsid w:val="007D73E0"/>
  </w:style>
  <w:style w:type="paragraph" w:styleId="CommentSubject">
    <w:name w:val="annotation subject"/>
    <w:basedOn w:val="CommentText"/>
    <w:next w:val="CommentText"/>
    <w:semiHidden/>
    <w:rsid w:val="007D73E0"/>
    <w:rPr>
      <w:b/>
      <w:bCs/>
    </w:rPr>
  </w:style>
  <w:style w:type="paragraph" w:styleId="BalloonText">
    <w:name w:val="Balloon Text"/>
    <w:basedOn w:val="Normal"/>
    <w:semiHidden/>
    <w:rsid w:val="007D73E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E74E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36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A.005 Non-Compliance Reports</vt:lpstr>
      <vt:lpstr>A.005 Non-Compliance Reports</vt:lpstr>
    </vt:vector>
  </TitlesOfParts>
  <Company>The Ottawa Hospital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A.005 Non-Compliance Reports</dc:title>
  <dc:creator>TOPO</dc:creator>
  <cp:lastModifiedBy>Greening, Emma</cp:lastModifiedBy>
  <cp:revision>2</cp:revision>
  <cp:lastPrinted>2010-03-16T14:56:00Z</cp:lastPrinted>
  <dcterms:created xsi:type="dcterms:W3CDTF">2017-10-10T14:11:00Z</dcterms:created>
  <dcterms:modified xsi:type="dcterms:W3CDTF">2017-10-10T14:11:00Z</dcterms:modified>
</cp:coreProperties>
</file>