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041" w:rsidRDefault="002A6041" w:rsidP="00694DD5">
      <w:pPr>
        <w:numPr>
          <w:ilvl w:val="0"/>
          <w:numId w:val="1"/>
        </w:numPr>
        <w:tabs>
          <w:tab w:val="clear" w:pos="990"/>
        </w:tabs>
        <w:spacing w:after="240"/>
        <w:ind w:left="720"/>
        <w:rPr>
          <w:rFonts w:ascii="Arial" w:hAnsi="Arial"/>
          <w:b/>
          <w:sz w:val="28"/>
        </w:rPr>
      </w:pPr>
      <w:r>
        <w:rPr>
          <w:rFonts w:ascii="Arial" w:hAnsi="Arial"/>
          <w:b/>
          <w:sz w:val="28"/>
        </w:rPr>
        <w:t>Principle</w:t>
      </w:r>
    </w:p>
    <w:p w:rsidR="00D86621" w:rsidRPr="004A163A" w:rsidRDefault="00D86621" w:rsidP="00694DD5">
      <w:pPr>
        <w:pStyle w:val="Header"/>
        <w:ind w:left="720"/>
        <w:rPr>
          <w:rFonts w:ascii="Arial" w:hAnsi="Arial"/>
          <w:sz w:val="24"/>
          <w:szCs w:val="24"/>
        </w:rPr>
      </w:pPr>
      <w:r w:rsidRPr="004A163A">
        <w:rPr>
          <w:rFonts w:ascii="Arial" w:hAnsi="Arial"/>
          <w:sz w:val="24"/>
          <w:szCs w:val="24"/>
        </w:rPr>
        <w:t>There are two situations that may require immediate p</w:t>
      </w:r>
      <w:r w:rsidR="003A13D9">
        <w:rPr>
          <w:rFonts w:ascii="Arial" w:hAnsi="Arial"/>
          <w:sz w:val="24"/>
          <w:szCs w:val="24"/>
        </w:rPr>
        <w:t>atient notification; these are traceback and l</w:t>
      </w:r>
      <w:r w:rsidRPr="004A163A">
        <w:rPr>
          <w:rFonts w:ascii="Arial" w:hAnsi="Arial"/>
          <w:sz w:val="24"/>
          <w:szCs w:val="24"/>
        </w:rPr>
        <w:t>ookback.</w:t>
      </w:r>
    </w:p>
    <w:p w:rsidR="00D86621" w:rsidRPr="004A163A" w:rsidRDefault="00D86621" w:rsidP="00D86621">
      <w:pPr>
        <w:pStyle w:val="Header"/>
        <w:ind w:left="709"/>
        <w:rPr>
          <w:rFonts w:ascii="Arial" w:hAnsi="Arial"/>
          <w:sz w:val="24"/>
          <w:szCs w:val="24"/>
        </w:rPr>
      </w:pPr>
    </w:p>
    <w:p w:rsidR="00D86621" w:rsidRPr="003A13D9" w:rsidRDefault="00D86621" w:rsidP="00D86621">
      <w:pPr>
        <w:pStyle w:val="Header"/>
        <w:ind w:left="709"/>
        <w:rPr>
          <w:rFonts w:ascii="Arial" w:hAnsi="Arial"/>
          <w:sz w:val="24"/>
          <w:szCs w:val="24"/>
          <w:vertAlign w:val="superscript"/>
        </w:rPr>
      </w:pPr>
      <w:r w:rsidRPr="004A163A">
        <w:rPr>
          <w:rFonts w:ascii="Arial" w:hAnsi="Arial"/>
          <w:sz w:val="24"/>
          <w:szCs w:val="24"/>
        </w:rPr>
        <w:t xml:space="preserve">Traceback: </w:t>
      </w:r>
      <w:r w:rsidR="00866AA7" w:rsidRPr="004A163A">
        <w:rPr>
          <w:rFonts w:ascii="Arial" w:hAnsi="Arial"/>
          <w:sz w:val="24"/>
          <w:szCs w:val="24"/>
        </w:rPr>
        <w:t xml:space="preserve">A </w:t>
      </w:r>
      <w:r w:rsidRPr="004A163A">
        <w:rPr>
          <w:rFonts w:ascii="Arial" w:hAnsi="Arial"/>
          <w:sz w:val="24"/>
          <w:szCs w:val="24"/>
        </w:rPr>
        <w:t>process initiated when a hospital informs the manufacturer that a patient has had an adverse o</w:t>
      </w:r>
      <w:r w:rsidR="00694DD5">
        <w:rPr>
          <w:rFonts w:ascii="Arial" w:hAnsi="Arial"/>
          <w:sz w:val="24"/>
          <w:szCs w:val="24"/>
        </w:rPr>
        <w:t>utcome to a specific donor unit</w:t>
      </w:r>
      <w:r w:rsidRPr="004A163A">
        <w:rPr>
          <w:rFonts w:ascii="Arial" w:hAnsi="Arial"/>
          <w:sz w:val="24"/>
          <w:szCs w:val="24"/>
        </w:rPr>
        <w:t xml:space="preserve"> </w:t>
      </w:r>
      <w:r w:rsidR="00694DD5">
        <w:rPr>
          <w:rFonts w:ascii="Arial" w:hAnsi="Arial"/>
          <w:sz w:val="24"/>
          <w:szCs w:val="24"/>
        </w:rPr>
        <w:t>(</w:t>
      </w:r>
      <w:r w:rsidRPr="004A163A">
        <w:rPr>
          <w:rFonts w:ascii="Arial" w:hAnsi="Arial"/>
          <w:sz w:val="24"/>
          <w:szCs w:val="24"/>
        </w:rPr>
        <w:t>e.g. a transfusion transmitted disease (TTD)</w:t>
      </w:r>
      <w:r w:rsidR="00694DD5">
        <w:rPr>
          <w:rFonts w:ascii="Arial" w:hAnsi="Arial"/>
          <w:sz w:val="24"/>
          <w:szCs w:val="24"/>
        </w:rPr>
        <w:t>)</w:t>
      </w:r>
      <w:r w:rsidRPr="004A163A">
        <w:rPr>
          <w:rFonts w:ascii="Arial" w:hAnsi="Arial"/>
          <w:sz w:val="24"/>
          <w:szCs w:val="24"/>
        </w:rPr>
        <w:t>.</w:t>
      </w:r>
      <w:r w:rsidR="004A163A">
        <w:rPr>
          <w:rFonts w:ascii="Arial" w:hAnsi="Arial"/>
          <w:sz w:val="24"/>
          <w:szCs w:val="24"/>
          <w:vertAlign w:val="superscript"/>
        </w:rPr>
        <w:t>9.1</w:t>
      </w:r>
    </w:p>
    <w:p w:rsidR="00D86621" w:rsidRPr="004A163A" w:rsidRDefault="00D86621" w:rsidP="00D86621">
      <w:pPr>
        <w:pStyle w:val="Header"/>
        <w:ind w:left="709"/>
        <w:rPr>
          <w:rFonts w:ascii="Arial" w:hAnsi="Arial"/>
          <w:sz w:val="24"/>
          <w:szCs w:val="24"/>
        </w:rPr>
      </w:pPr>
    </w:p>
    <w:p w:rsidR="00D86621" w:rsidRPr="003A13D9" w:rsidRDefault="00D86621" w:rsidP="00D86621">
      <w:pPr>
        <w:pStyle w:val="Header"/>
        <w:ind w:left="709"/>
        <w:rPr>
          <w:rFonts w:ascii="Arial" w:hAnsi="Arial"/>
          <w:sz w:val="24"/>
          <w:szCs w:val="24"/>
          <w:vertAlign w:val="superscript"/>
        </w:rPr>
      </w:pPr>
      <w:r w:rsidRPr="004A163A">
        <w:rPr>
          <w:rFonts w:ascii="Arial" w:hAnsi="Arial"/>
          <w:sz w:val="24"/>
          <w:szCs w:val="24"/>
        </w:rPr>
        <w:t xml:space="preserve">Lookback: </w:t>
      </w:r>
      <w:r w:rsidR="004A163A">
        <w:rPr>
          <w:rFonts w:ascii="Arial" w:hAnsi="Arial"/>
          <w:sz w:val="24"/>
          <w:szCs w:val="24"/>
        </w:rPr>
        <w:t>A</w:t>
      </w:r>
      <w:r w:rsidR="004A163A" w:rsidRPr="004A163A">
        <w:rPr>
          <w:rFonts w:ascii="Arial" w:hAnsi="Arial"/>
          <w:sz w:val="24"/>
          <w:szCs w:val="24"/>
        </w:rPr>
        <w:t xml:space="preserve"> </w:t>
      </w:r>
      <w:r w:rsidRPr="004A163A">
        <w:rPr>
          <w:rFonts w:ascii="Arial" w:hAnsi="Arial"/>
          <w:sz w:val="24"/>
          <w:szCs w:val="24"/>
        </w:rPr>
        <w:t>process initiated when a donor, who has given previous donations, test</w:t>
      </w:r>
      <w:r w:rsidR="004A163A">
        <w:rPr>
          <w:rFonts w:ascii="Arial" w:hAnsi="Arial"/>
          <w:sz w:val="24"/>
          <w:szCs w:val="24"/>
        </w:rPr>
        <w:t>s</w:t>
      </w:r>
      <w:r w:rsidRPr="004A163A">
        <w:rPr>
          <w:rFonts w:ascii="Arial" w:hAnsi="Arial"/>
          <w:sz w:val="24"/>
          <w:szCs w:val="24"/>
        </w:rPr>
        <w:t xml:space="preserve"> positive for a TTD.</w:t>
      </w:r>
      <w:r w:rsidR="004A163A">
        <w:rPr>
          <w:rFonts w:ascii="Arial" w:hAnsi="Arial"/>
          <w:sz w:val="24"/>
          <w:szCs w:val="24"/>
          <w:vertAlign w:val="superscript"/>
        </w:rPr>
        <w:t>9.1</w:t>
      </w:r>
    </w:p>
    <w:p w:rsidR="00D86621" w:rsidRPr="004A163A" w:rsidRDefault="00D86621" w:rsidP="00D86621">
      <w:pPr>
        <w:pStyle w:val="Header"/>
        <w:ind w:left="709"/>
        <w:rPr>
          <w:rFonts w:ascii="Arial" w:hAnsi="Arial"/>
          <w:sz w:val="24"/>
          <w:szCs w:val="24"/>
        </w:rPr>
      </w:pPr>
    </w:p>
    <w:p w:rsidR="00D86621" w:rsidRPr="004A163A" w:rsidRDefault="00D86621" w:rsidP="00D86621">
      <w:pPr>
        <w:pStyle w:val="Header"/>
        <w:ind w:left="709"/>
        <w:rPr>
          <w:rFonts w:ascii="Arial" w:hAnsi="Arial"/>
          <w:sz w:val="24"/>
          <w:szCs w:val="24"/>
        </w:rPr>
      </w:pPr>
      <w:r w:rsidRPr="004A163A">
        <w:rPr>
          <w:rFonts w:ascii="Arial" w:hAnsi="Arial"/>
          <w:sz w:val="24"/>
          <w:szCs w:val="24"/>
        </w:rPr>
        <w:t>Both situations require immediate action by the Transfusion Medicine Laboratory (TML).</w:t>
      </w:r>
    </w:p>
    <w:p w:rsidR="00D86621" w:rsidRPr="004A163A" w:rsidRDefault="00D86621" w:rsidP="00D86621">
      <w:pPr>
        <w:pStyle w:val="Header"/>
        <w:ind w:left="709"/>
        <w:rPr>
          <w:rFonts w:ascii="Arial" w:hAnsi="Arial"/>
          <w:sz w:val="24"/>
          <w:szCs w:val="24"/>
        </w:rPr>
      </w:pPr>
    </w:p>
    <w:p w:rsidR="002A6041" w:rsidRPr="004A163A" w:rsidRDefault="00D86621" w:rsidP="00D86621">
      <w:pPr>
        <w:pStyle w:val="Header"/>
        <w:tabs>
          <w:tab w:val="clear" w:pos="4320"/>
          <w:tab w:val="clear" w:pos="8640"/>
        </w:tabs>
        <w:ind w:left="709"/>
        <w:rPr>
          <w:rFonts w:ascii="Arial" w:hAnsi="Arial"/>
          <w:sz w:val="24"/>
          <w:szCs w:val="24"/>
        </w:rPr>
      </w:pPr>
      <w:r w:rsidRPr="004A163A">
        <w:rPr>
          <w:rFonts w:ascii="Arial" w:hAnsi="Arial"/>
          <w:sz w:val="24"/>
          <w:szCs w:val="24"/>
        </w:rPr>
        <w:t>On occasion there may also be requests from patients, patient's guardian or physicians, for verification of blood transfusion.</w:t>
      </w:r>
    </w:p>
    <w:p w:rsidR="002A6041" w:rsidRDefault="002A6041">
      <w:pPr>
        <w:ind w:left="720"/>
        <w:rPr>
          <w:rFonts w:ascii="Arial" w:hAnsi="Arial"/>
        </w:rPr>
      </w:pPr>
    </w:p>
    <w:p w:rsidR="002A6041" w:rsidRDefault="002A6041" w:rsidP="00694DD5">
      <w:pPr>
        <w:numPr>
          <w:ilvl w:val="0"/>
          <w:numId w:val="1"/>
        </w:numPr>
        <w:tabs>
          <w:tab w:val="clear" w:pos="990"/>
        </w:tabs>
        <w:spacing w:after="240"/>
        <w:ind w:left="720"/>
        <w:rPr>
          <w:rFonts w:ascii="Arial" w:hAnsi="Arial"/>
          <w:b/>
          <w:sz w:val="28"/>
        </w:rPr>
      </w:pPr>
      <w:r>
        <w:rPr>
          <w:rFonts w:ascii="Arial" w:hAnsi="Arial"/>
          <w:b/>
          <w:sz w:val="28"/>
        </w:rPr>
        <w:t>Scope and Related Policies</w:t>
      </w:r>
    </w:p>
    <w:p w:rsidR="00D86621" w:rsidRPr="00D86621" w:rsidRDefault="00D86621" w:rsidP="00694DD5">
      <w:pPr>
        <w:numPr>
          <w:ilvl w:val="1"/>
          <w:numId w:val="1"/>
        </w:numPr>
        <w:tabs>
          <w:tab w:val="clear" w:pos="1571"/>
        </w:tabs>
        <w:ind w:left="1440"/>
        <w:rPr>
          <w:rFonts w:ascii="Arial" w:hAnsi="Arial"/>
          <w:sz w:val="24"/>
        </w:rPr>
      </w:pPr>
      <w:r>
        <w:rPr>
          <w:rFonts w:ascii="Arial" w:hAnsi="Arial"/>
          <w:sz w:val="24"/>
        </w:rPr>
        <w:t xml:space="preserve">To </w:t>
      </w:r>
      <w:r w:rsidRPr="00D86621">
        <w:rPr>
          <w:rFonts w:ascii="Arial" w:hAnsi="Arial"/>
          <w:sz w:val="24"/>
        </w:rPr>
        <w:t>ensure that any patient, guardian or physician request for a patient's blood transfusion history is actioned in a timely, accurate and complete manner.</w:t>
      </w:r>
    </w:p>
    <w:p w:rsidR="00D86621" w:rsidRPr="00D86621" w:rsidRDefault="00D86621" w:rsidP="00694DD5">
      <w:pPr>
        <w:ind w:left="1440"/>
        <w:rPr>
          <w:rFonts w:ascii="Arial" w:hAnsi="Arial"/>
          <w:sz w:val="24"/>
        </w:rPr>
      </w:pPr>
    </w:p>
    <w:p w:rsidR="00D86621" w:rsidRPr="00D86621" w:rsidRDefault="00D86621" w:rsidP="00694DD5">
      <w:pPr>
        <w:numPr>
          <w:ilvl w:val="1"/>
          <w:numId w:val="1"/>
        </w:numPr>
        <w:ind w:left="1440"/>
        <w:rPr>
          <w:rFonts w:ascii="Arial" w:hAnsi="Arial"/>
          <w:sz w:val="24"/>
        </w:rPr>
      </w:pPr>
      <w:r w:rsidRPr="00D86621">
        <w:rPr>
          <w:rFonts w:ascii="Arial" w:hAnsi="Arial"/>
          <w:sz w:val="24"/>
        </w:rPr>
        <w:t xml:space="preserve">To ensure that </w:t>
      </w:r>
      <w:r w:rsidR="00694DD5">
        <w:rPr>
          <w:rFonts w:ascii="Arial" w:hAnsi="Arial"/>
          <w:sz w:val="24"/>
        </w:rPr>
        <w:t>l</w:t>
      </w:r>
      <w:r>
        <w:rPr>
          <w:rFonts w:ascii="Arial" w:hAnsi="Arial"/>
          <w:sz w:val="24"/>
        </w:rPr>
        <w:t>ookback/</w:t>
      </w:r>
      <w:r w:rsidR="00694DD5">
        <w:rPr>
          <w:rFonts w:ascii="Arial" w:hAnsi="Arial"/>
          <w:sz w:val="24"/>
        </w:rPr>
        <w:t xml:space="preserve"> t</w:t>
      </w:r>
      <w:r>
        <w:rPr>
          <w:rFonts w:ascii="Arial" w:hAnsi="Arial"/>
          <w:sz w:val="24"/>
        </w:rPr>
        <w:t>raceback</w:t>
      </w:r>
      <w:r w:rsidRPr="00D86621">
        <w:rPr>
          <w:rFonts w:ascii="Arial" w:hAnsi="Arial"/>
          <w:sz w:val="24"/>
        </w:rPr>
        <w:t xml:space="preserve"> requests from the manufacturer are dealt with in a timely manner while maintaining patient confidentiality.</w:t>
      </w:r>
    </w:p>
    <w:p w:rsidR="00D86621" w:rsidRPr="00D86621" w:rsidRDefault="00D86621" w:rsidP="00694DD5">
      <w:pPr>
        <w:ind w:left="1440"/>
        <w:rPr>
          <w:rFonts w:ascii="Arial" w:hAnsi="Arial"/>
          <w:sz w:val="24"/>
        </w:rPr>
      </w:pPr>
    </w:p>
    <w:p w:rsidR="00D86621" w:rsidRPr="00D86621" w:rsidRDefault="00D86621" w:rsidP="00694DD5">
      <w:pPr>
        <w:numPr>
          <w:ilvl w:val="1"/>
          <w:numId w:val="1"/>
        </w:numPr>
        <w:ind w:left="1440"/>
        <w:rPr>
          <w:rFonts w:ascii="Arial" w:hAnsi="Arial"/>
          <w:sz w:val="24"/>
        </w:rPr>
      </w:pPr>
      <w:r w:rsidRPr="00D86621">
        <w:rPr>
          <w:rFonts w:ascii="Arial" w:hAnsi="Arial"/>
          <w:sz w:val="24"/>
        </w:rPr>
        <w:t xml:space="preserve">Traceback - the manufacturer provides the hospital with a patient's name and birthdate (and possibly health card number). </w:t>
      </w:r>
      <w:r w:rsidR="00694DD5">
        <w:rPr>
          <w:rFonts w:ascii="Arial" w:hAnsi="Arial"/>
          <w:sz w:val="24"/>
        </w:rPr>
        <w:t xml:space="preserve">The hospital, </w:t>
      </w:r>
      <w:r w:rsidRPr="00D86621">
        <w:rPr>
          <w:rFonts w:ascii="Arial" w:hAnsi="Arial"/>
          <w:sz w:val="24"/>
        </w:rPr>
        <w:t xml:space="preserve">whether it </w:t>
      </w:r>
      <w:proofErr w:type="gramStart"/>
      <w:r w:rsidR="00694DD5">
        <w:rPr>
          <w:rFonts w:ascii="Arial" w:hAnsi="Arial"/>
          <w:sz w:val="24"/>
        </w:rPr>
        <w:t>be</w:t>
      </w:r>
      <w:proofErr w:type="gramEnd"/>
      <w:r w:rsidR="00694DD5">
        <w:rPr>
          <w:rFonts w:ascii="Arial" w:hAnsi="Arial"/>
          <w:sz w:val="24"/>
        </w:rPr>
        <w:t xml:space="preserve"> the Health Records, T</w:t>
      </w:r>
      <w:r w:rsidRPr="00D86621">
        <w:rPr>
          <w:rFonts w:ascii="Arial" w:hAnsi="Arial"/>
          <w:sz w:val="24"/>
        </w:rPr>
        <w:t>ransfusion department or both</w:t>
      </w:r>
      <w:r w:rsidR="00694DD5">
        <w:rPr>
          <w:rFonts w:ascii="Arial" w:hAnsi="Arial"/>
          <w:sz w:val="24"/>
        </w:rPr>
        <w:t>,</w:t>
      </w:r>
      <w:r w:rsidRPr="00D86621">
        <w:rPr>
          <w:rFonts w:ascii="Arial" w:hAnsi="Arial"/>
          <w:sz w:val="24"/>
        </w:rPr>
        <w:t xml:space="preserve"> must search their records for evidence of any transfusion. If records of transfusion are found a list of units transfused [actual donor unit numbers, product(s), (including fractionated products) and date transfused] must be prepared and sent back to the manufacturer.  If records of transfusion are not found this must also be communicated to the manufacturer preferably by letter.</w:t>
      </w:r>
    </w:p>
    <w:p w:rsidR="00D86621" w:rsidRPr="00D86621" w:rsidRDefault="00D86621" w:rsidP="00694DD5">
      <w:pPr>
        <w:ind w:left="1440"/>
        <w:rPr>
          <w:rFonts w:ascii="Arial" w:hAnsi="Arial"/>
          <w:sz w:val="24"/>
        </w:rPr>
      </w:pPr>
    </w:p>
    <w:p w:rsidR="00D86621" w:rsidRPr="00D86621" w:rsidRDefault="00D86621" w:rsidP="00694DD5">
      <w:pPr>
        <w:numPr>
          <w:ilvl w:val="1"/>
          <w:numId w:val="1"/>
        </w:numPr>
        <w:ind w:left="1440"/>
        <w:rPr>
          <w:rFonts w:ascii="Arial" w:hAnsi="Arial"/>
          <w:sz w:val="24"/>
        </w:rPr>
      </w:pPr>
      <w:r w:rsidRPr="00D86621">
        <w:rPr>
          <w:rFonts w:ascii="Arial" w:hAnsi="Arial"/>
          <w:sz w:val="24"/>
        </w:rPr>
        <w:t xml:space="preserve">Lookback - the manufacturer provides the hospital with a donor unit number/product that was issued to the hospital. The hospital transfusion lab must search their transfusion records to see which patient the unit was transfused to. Letters are sent to the recipient's last known address to recommend that they get tested for </w:t>
      </w:r>
      <w:r w:rsidR="004A163A">
        <w:rPr>
          <w:rFonts w:ascii="Arial" w:hAnsi="Arial"/>
          <w:sz w:val="24"/>
        </w:rPr>
        <w:t xml:space="preserve">the </w:t>
      </w:r>
      <w:r w:rsidRPr="00D86621">
        <w:rPr>
          <w:rFonts w:ascii="Arial" w:hAnsi="Arial"/>
          <w:sz w:val="24"/>
        </w:rPr>
        <w:t>marker implicated in the lookback. The manufacturer is advised of this and any correspondence re</w:t>
      </w:r>
      <w:r w:rsidR="00694DD5">
        <w:rPr>
          <w:rFonts w:ascii="Arial" w:hAnsi="Arial"/>
          <w:sz w:val="24"/>
        </w:rPr>
        <w:t>ceived from the recipient (i.e.</w:t>
      </w:r>
      <w:r w:rsidRPr="00D86621">
        <w:rPr>
          <w:rFonts w:ascii="Arial" w:hAnsi="Arial"/>
          <w:sz w:val="24"/>
        </w:rPr>
        <w:t xml:space="preserve"> test results) is copied to the manufacturer.</w:t>
      </w:r>
    </w:p>
    <w:p w:rsidR="00D86621" w:rsidRPr="00D86621" w:rsidRDefault="00D86621" w:rsidP="00694DD5">
      <w:pPr>
        <w:ind w:left="1440"/>
        <w:rPr>
          <w:rFonts w:ascii="Arial" w:hAnsi="Arial"/>
          <w:sz w:val="24"/>
        </w:rPr>
      </w:pPr>
    </w:p>
    <w:p w:rsidR="00D86621" w:rsidRPr="00D86621" w:rsidRDefault="00D86621" w:rsidP="00694DD5">
      <w:pPr>
        <w:numPr>
          <w:ilvl w:val="1"/>
          <w:numId w:val="1"/>
        </w:numPr>
        <w:ind w:left="1440"/>
        <w:rPr>
          <w:rFonts w:ascii="Arial" w:hAnsi="Arial"/>
          <w:sz w:val="24"/>
        </w:rPr>
      </w:pPr>
      <w:r w:rsidRPr="00D86621">
        <w:rPr>
          <w:rFonts w:ascii="Arial" w:hAnsi="Arial"/>
          <w:sz w:val="24"/>
        </w:rPr>
        <w:t>Report of Transfusion Related Infection - this may be initiated many ways but it usually comes from a physician on behalf of a patient who is now testing positive fo</w:t>
      </w:r>
      <w:r>
        <w:rPr>
          <w:rFonts w:ascii="Arial" w:hAnsi="Arial"/>
          <w:sz w:val="24"/>
        </w:rPr>
        <w:t>r a T</w:t>
      </w:r>
      <w:r w:rsidR="004A163A">
        <w:rPr>
          <w:rFonts w:ascii="Arial" w:hAnsi="Arial"/>
          <w:sz w:val="24"/>
        </w:rPr>
        <w:t>T</w:t>
      </w:r>
      <w:r>
        <w:rPr>
          <w:rFonts w:ascii="Arial" w:hAnsi="Arial"/>
          <w:sz w:val="24"/>
        </w:rPr>
        <w:t xml:space="preserve">D marker. </w:t>
      </w:r>
      <w:proofErr w:type="gramStart"/>
      <w:r>
        <w:rPr>
          <w:rFonts w:ascii="Arial" w:hAnsi="Arial"/>
          <w:sz w:val="24"/>
        </w:rPr>
        <w:t>Proceed</w:t>
      </w:r>
      <w:proofErr w:type="gramEnd"/>
      <w:r>
        <w:rPr>
          <w:rFonts w:ascii="Arial" w:hAnsi="Arial"/>
          <w:sz w:val="24"/>
        </w:rPr>
        <w:t xml:space="preserve"> as per </w:t>
      </w:r>
      <w:r w:rsidRPr="00D86621">
        <w:rPr>
          <w:rFonts w:ascii="Arial" w:hAnsi="Arial"/>
          <w:sz w:val="24"/>
        </w:rPr>
        <w:t xml:space="preserve">traceback </w:t>
      </w:r>
      <w:r>
        <w:rPr>
          <w:rFonts w:ascii="Arial" w:hAnsi="Arial"/>
          <w:sz w:val="24"/>
        </w:rPr>
        <w:t xml:space="preserve">protocol </w:t>
      </w:r>
      <w:r w:rsidRPr="00D86621">
        <w:rPr>
          <w:rFonts w:ascii="Arial" w:hAnsi="Arial"/>
          <w:sz w:val="24"/>
        </w:rPr>
        <w:t xml:space="preserve">with respect to searching patient transfusion records and complete a CBS Report of Transfusion Related Infection form and forward this form to CBS. The manufacturer </w:t>
      </w:r>
      <w:r>
        <w:rPr>
          <w:rFonts w:ascii="Arial" w:hAnsi="Arial"/>
          <w:sz w:val="24"/>
        </w:rPr>
        <w:t>will</w:t>
      </w:r>
      <w:r w:rsidRPr="00D86621">
        <w:rPr>
          <w:rFonts w:ascii="Arial" w:hAnsi="Arial"/>
          <w:sz w:val="24"/>
        </w:rPr>
        <w:t xml:space="preserve"> </w:t>
      </w:r>
      <w:r>
        <w:rPr>
          <w:rFonts w:ascii="Arial" w:hAnsi="Arial"/>
          <w:sz w:val="24"/>
        </w:rPr>
        <w:t>continue investigating with the</w:t>
      </w:r>
      <w:r w:rsidRPr="00D86621">
        <w:rPr>
          <w:rFonts w:ascii="Arial" w:hAnsi="Arial"/>
          <w:sz w:val="24"/>
        </w:rPr>
        <w:t xml:space="preserve"> traceback process.</w:t>
      </w:r>
    </w:p>
    <w:p w:rsidR="00D86621" w:rsidRPr="00D86621" w:rsidRDefault="00D86621" w:rsidP="00694DD5">
      <w:pPr>
        <w:ind w:left="1440"/>
        <w:rPr>
          <w:rFonts w:ascii="Arial" w:hAnsi="Arial"/>
          <w:sz w:val="24"/>
        </w:rPr>
      </w:pPr>
    </w:p>
    <w:p w:rsidR="00D86621" w:rsidRPr="00D86621" w:rsidRDefault="00D86621" w:rsidP="00694DD5">
      <w:pPr>
        <w:numPr>
          <w:ilvl w:val="1"/>
          <w:numId w:val="1"/>
        </w:numPr>
        <w:ind w:left="1440"/>
        <w:rPr>
          <w:rFonts w:ascii="Arial" w:hAnsi="Arial"/>
          <w:sz w:val="24"/>
        </w:rPr>
      </w:pPr>
      <w:r w:rsidRPr="00D86621">
        <w:rPr>
          <w:rFonts w:ascii="Arial" w:hAnsi="Arial"/>
          <w:sz w:val="24"/>
        </w:rPr>
        <w:t>For patient, guardian or physician request for verification of blood transfusion</w:t>
      </w:r>
      <w:r w:rsidR="00694DD5">
        <w:rPr>
          <w:rFonts w:ascii="Arial" w:hAnsi="Arial"/>
          <w:sz w:val="24"/>
        </w:rPr>
        <w:t>,</w:t>
      </w:r>
      <w:r w:rsidRPr="00D86621">
        <w:rPr>
          <w:rFonts w:ascii="Arial" w:hAnsi="Arial"/>
          <w:sz w:val="24"/>
        </w:rPr>
        <w:t xml:space="preserve"> follow the procedure 6.1 - 6.10.</w:t>
      </w:r>
    </w:p>
    <w:p w:rsidR="002A6041" w:rsidRDefault="002A6041">
      <w:pPr>
        <w:ind w:left="720"/>
        <w:rPr>
          <w:rFonts w:ascii="Arial" w:hAnsi="Arial"/>
          <w:sz w:val="18"/>
        </w:rPr>
      </w:pPr>
    </w:p>
    <w:p w:rsidR="002A6041" w:rsidRDefault="002A6041" w:rsidP="00694DD5">
      <w:pPr>
        <w:numPr>
          <w:ilvl w:val="0"/>
          <w:numId w:val="1"/>
        </w:numPr>
        <w:tabs>
          <w:tab w:val="clear" w:pos="990"/>
        </w:tabs>
        <w:ind w:left="720"/>
        <w:rPr>
          <w:rFonts w:ascii="Arial" w:hAnsi="Arial"/>
          <w:b/>
          <w:sz w:val="28"/>
        </w:rPr>
      </w:pPr>
      <w:r>
        <w:rPr>
          <w:rFonts w:ascii="Arial" w:hAnsi="Arial"/>
          <w:b/>
          <w:sz w:val="28"/>
        </w:rPr>
        <w:t>Specimens</w:t>
      </w:r>
      <w:r w:rsidR="00D86621">
        <w:rPr>
          <w:rFonts w:ascii="Arial" w:hAnsi="Arial"/>
          <w:b/>
          <w:sz w:val="28"/>
        </w:rPr>
        <w:t xml:space="preserve"> – N/A</w:t>
      </w:r>
    </w:p>
    <w:p w:rsidR="002A6041" w:rsidRDefault="002A6041" w:rsidP="00694DD5">
      <w:pPr>
        <w:ind w:left="720"/>
        <w:rPr>
          <w:rFonts w:ascii="Arial" w:hAnsi="Arial"/>
          <w:sz w:val="18"/>
        </w:rPr>
      </w:pPr>
    </w:p>
    <w:p w:rsidR="002A6041" w:rsidRDefault="002A6041" w:rsidP="00694DD5">
      <w:pPr>
        <w:numPr>
          <w:ilvl w:val="0"/>
          <w:numId w:val="1"/>
        </w:numPr>
        <w:tabs>
          <w:tab w:val="clear" w:pos="990"/>
        </w:tabs>
        <w:ind w:left="720"/>
        <w:rPr>
          <w:rFonts w:ascii="Arial" w:hAnsi="Arial"/>
          <w:b/>
          <w:sz w:val="28"/>
        </w:rPr>
      </w:pPr>
      <w:r>
        <w:rPr>
          <w:rFonts w:ascii="Arial" w:hAnsi="Arial"/>
          <w:b/>
          <w:sz w:val="28"/>
        </w:rPr>
        <w:t>Materials</w:t>
      </w:r>
    </w:p>
    <w:p w:rsidR="002A6041" w:rsidRDefault="002A6041">
      <w:pPr>
        <w:pStyle w:val="Header"/>
        <w:tabs>
          <w:tab w:val="clear" w:pos="4320"/>
          <w:tab w:val="clear" w:pos="8640"/>
        </w:tabs>
        <w:rPr>
          <w:rFonts w:ascii="Arial" w:hAnsi="Arial"/>
          <w:sz w:val="18"/>
        </w:rPr>
      </w:pPr>
    </w:p>
    <w:p w:rsidR="00D86621" w:rsidRDefault="002A6041" w:rsidP="00D86621">
      <w:pPr>
        <w:ind w:left="720"/>
        <w:rPr>
          <w:rFonts w:ascii="Arial" w:hAnsi="Arial"/>
          <w:sz w:val="24"/>
        </w:rPr>
      </w:pPr>
      <w:r>
        <w:rPr>
          <w:rFonts w:ascii="Arial" w:hAnsi="Arial"/>
          <w:b/>
          <w:sz w:val="24"/>
        </w:rPr>
        <w:t>Supplies:</w:t>
      </w:r>
      <w:r>
        <w:rPr>
          <w:rFonts w:ascii="Arial" w:hAnsi="Arial"/>
          <w:sz w:val="24"/>
        </w:rPr>
        <w:tab/>
      </w:r>
      <w:r w:rsidR="00694DD5">
        <w:rPr>
          <w:rFonts w:ascii="Arial" w:hAnsi="Arial"/>
          <w:sz w:val="24"/>
        </w:rPr>
        <w:tab/>
      </w:r>
      <w:r w:rsidR="00D86621">
        <w:rPr>
          <w:rFonts w:ascii="Arial" w:hAnsi="Arial"/>
          <w:sz w:val="24"/>
        </w:rPr>
        <w:t>Patient Transfusion Record</w:t>
      </w:r>
    </w:p>
    <w:p w:rsidR="00D86621" w:rsidRDefault="00002350" w:rsidP="00002350">
      <w:pPr>
        <w:ind w:left="2880"/>
        <w:rPr>
          <w:rFonts w:ascii="Arial" w:hAnsi="Arial"/>
          <w:sz w:val="24"/>
        </w:rPr>
      </w:pPr>
      <w:r>
        <w:rPr>
          <w:rFonts w:ascii="Arial" w:hAnsi="Arial"/>
          <w:sz w:val="24"/>
        </w:rPr>
        <w:t xml:space="preserve">CBS Forms: Access Transmissible Disease Notification (TDN) form from the CBS website </w:t>
      </w:r>
      <w:hyperlink r:id="rId8" w:history="1">
        <w:r w:rsidRPr="0077504B">
          <w:rPr>
            <w:rStyle w:val="Hyperlink"/>
            <w:rFonts w:ascii="Arial" w:hAnsi="Arial"/>
            <w:sz w:val="24"/>
          </w:rPr>
          <w:t>http://www.transfusionmedicine.ca/sites/transfusionmedicine/files/articles/TDN_Notification_form_Oct2014.pdf</w:t>
        </w:r>
      </w:hyperlink>
      <w:r>
        <w:rPr>
          <w:rFonts w:ascii="Arial" w:hAnsi="Arial"/>
          <w:sz w:val="24"/>
        </w:rPr>
        <w:t xml:space="preserve">  </w:t>
      </w:r>
    </w:p>
    <w:p w:rsidR="00D86621" w:rsidRDefault="004A163A" w:rsidP="003A13D9">
      <w:pPr>
        <w:ind w:left="2880"/>
        <w:rPr>
          <w:rFonts w:ascii="Arial" w:hAnsi="Arial"/>
          <w:sz w:val="24"/>
        </w:rPr>
      </w:pPr>
      <w:r>
        <w:rPr>
          <w:rFonts w:ascii="Arial" w:hAnsi="Arial"/>
          <w:sz w:val="24"/>
        </w:rPr>
        <w:t xml:space="preserve">Transfusion Medicine </w:t>
      </w:r>
      <w:r w:rsidR="00D86621">
        <w:rPr>
          <w:rFonts w:ascii="Arial" w:hAnsi="Arial"/>
          <w:sz w:val="24"/>
        </w:rPr>
        <w:t xml:space="preserve">Medical </w:t>
      </w:r>
      <w:r>
        <w:rPr>
          <w:rFonts w:ascii="Arial" w:hAnsi="Arial"/>
          <w:sz w:val="24"/>
        </w:rPr>
        <w:t>Director</w:t>
      </w:r>
      <w:r w:rsidR="00694DD5">
        <w:rPr>
          <w:rFonts w:ascii="Arial" w:hAnsi="Arial"/>
          <w:sz w:val="24"/>
        </w:rPr>
        <w:t xml:space="preserve"> </w:t>
      </w:r>
      <w:r w:rsidR="00D86621">
        <w:rPr>
          <w:rFonts w:ascii="Arial" w:hAnsi="Arial"/>
          <w:sz w:val="24"/>
        </w:rPr>
        <w:t>Consultation Protocol (QCA.010)</w:t>
      </w:r>
    </w:p>
    <w:p w:rsidR="002A6041" w:rsidRPr="00866AA7" w:rsidRDefault="002A6041" w:rsidP="00866AA7">
      <w:pPr>
        <w:ind w:firstLine="720"/>
        <w:rPr>
          <w:rFonts w:ascii="Arial" w:hAnsi="Arial"/>
          <w:sz w:val="24"/>
        </w:rPr>
      </w:pPr>
      <w:r>
        <w:rPr>
          <w:rFonts w:ascii="Arial" w:hAnsi="Arial"/>
          <w:sz w:val="24"/>
        </w:rPr>
        <w:tab/>
      </w:r>
    </w:p>
    <w:p w:rsidR="002A6041" w:rsidRDefault="002A6041" w:rsidP="00694DD5">
      <w:pPr>
        <w:numPr>
          <w:ilvl w:val="0"/>
          <w:numId w:val="1"/>
        </w:numPr>
        <w:tabs>
          <w:tab w:val="clear" w:pos="990"/>
        </w:tabs>
        <w:ind w:left="720"/>
        <w:rPr>
          <w:rFonts w:ascii="Arial" w:hAnsi="Arial"/>
          <w:b/>
          <w:sz w:val="28"/>
        </w:rPr>
      </w:pPr>
      <w:r>
        <w:rPr>
          <w:rFonts w:ascii="Arial" w:hAnsi="Arial"/>
          <w:b/>
          <w:sz w:val="28"/>
        </w:rPr>
        <w:t xml:space="preserve">Quality Control – </w:t>
      </w:r>
      <w:r w:rsidR="00D86621">
        <w:rPr>
          <w:rFonts w:ascii="Arial" w:hAnsi="Arial"/>
          <w:b/>
          <w:sz w:val="28"/>
        </w:rPr>
        <w:t>N/A</w:t>
      </w:r>
    </w:p>
    <w:p w:rsidR="002A6041" w:rsidRDefault="002A6041" w:rsidP="00694DD5">
      <w:pPr>
        <w:ind w:left="720"/>
        <w:rPr>
          <w:rFonts w:ascii="Arial" w:hAnsi="Arial"/>
          <w:sz w:val="24"/>
        </w:rPr>
      </w:pPr>
    </w:p>
    <w:p w:rsidR="002A6041" w:rsidRDefault="002A6041" w:rsidP="00694DD5">
      <w:pPr>
        <w:numPr>
          <w:ilvl w:val="0"/>
          <w:numId w:val="1"/>
        </w:numPr>
        <w:tabs>
          <w:tab w:val="clear" w:pos="990"/>
        </w:tabs>
        <w:ind w:left="720"/>
        <w:rPr>
          <w:rFonts w:ascii="Arial" w:hAnsi="Arial"/>
          <w:b/>
          <w:sz w:val="28"/>
        </w:rPr>
      </w:pPr>
      <w:r>
        <w:rPr>
          <w:rFonts w:ascii="Arial" w:hAnsi="Arial"/>
          <w:b/>
          <w:sz w:val="28"/>
        </w:rPr>
        <w:t>Procedures</w:t>
      </w:r>
    </w:p>
    <w:p w:rsidR="00694DD5" w:rsidRDefault="00694DD5" w:rsidP="00694DD5">
      <w:pPr>
        <w:pStyle w:val="ListParagraph"/>
        <w:rPr>
          <w:rFonts w:ascii="Arial" w:hAnsi="Arial"/>
          <w:b/>
          <w:sz w:val="28"/>
        </w:rPr>
      </w:pPr>
    </w:p>
    <w:tbl>
      <w:tblPr>
        <w:tblStyle w:val="TableGrid"/>
        <w:tblW w:w="8856" w:type="dxa"/>
        <w:jc w:val="center"/>
        <w:tblLook w:val="04A0" w:firstRow="1" w:lastRow="0" w:firstColumn="1" w:lastColumn="0" w:noHBand="0" w:noVBand="1"/>
      </w:tblPr>
      <w:tblGrid>
        <w:gridCol w:w="2718"/>
        <w:gridCol w:w="6138"/>
      </w:tblGrid>
      <w:tr w:rsidR="00694DD5" w:rsidTr="005F6B50">
        <w:trPr>
          <w:trHeight w:val="779"/>
          <w:jc w:val="center"/>
        </w:trPr>
        <w:tc>
          <w:tcPr>
            <w:tcW w:w="2718" w:type="dxa"/>
            <w:vMerge w:val="restart"/>
            <w:shd w:val="clear" w:color="auto" w:fill="auto"/>
          </w:tcPr>
          <w:p w:rsidR="00694DD5" w:rsidRDefault="00694DD5" w:rsidP="00694DD5">
            <w:pPr>
              <w:numPr>
                <w:ilvl w:val="0"/>
                <w:numId w:val="3"/>
              </w:numPr>
              <w:ind w:left="630" w:hanging="654"/>
              <w:rPr>
                <w:rFonts w:ascii="Arial" w:hAnsi="Arial"/>
                <w:sz w:val="24"/>
              </w:rPr>
            </w:pPr>
            <w:r w:rsidRPr="00D86621">
              <w:rPr>
                <w:rFonts w:ascii="Arial" w:hAnsi="Arial"/>
                <w:sz w:val="24"/>
              </w:rPr>
              <w:t xml:space="preserve">Requests from patients, patient's guardian or physicians, for </w:t>
            </w:r>
            <w:r w:rsidRPr="00D86621">
              <w:rPr>
                <w:rFonts w:ascii="Arial" w:hAnsi="Arial"/>
                <w:sz w:val="24"/>
              </w:rPr>
              <w:lastRenderedPageBreak/>
              <w:t>verification of blood transfusion:</w:t>
            </w:r>
          </w:p>
        </w:tc>
        <w:tc>
          <w:tcPr>
            <w:tcW w:w="6138" w:type="dxa"/>
          </w:tcPr>
          <w:p w:rsidR="00694DD5" w:rsidRDefault="00694DD5" w:rsidP="003467CE">
            <w:pPr>
              <w:numPr>
                <w:ilvl w:val="0"/>
                <w:numId w:val="5"/>
              </w:numPr>
              <w:ind w:left="675" w:hanging="675"/>
              <w:rPr>
                <w:rFonts w:ascii="Arial" w:hAnsi="Arial"/>
                <w:sz w:val="24"/>
              </w:rPr>
            </w:pPr>
            <w:r w:rsidRPr="00D86621">
              <w:rPr>
                <w:rFonts w:ascii="Arial" w:hAnsi="Arial"/>
                <w:sz w:val="24"/>
                <w:lang w:val="en-GB"/>
              </w:rPr>
              <w:lastRenderedPageBreak/>
              <w:t>Verbal requests or phone calls from patients, patient's guardian or physicians, for verification of blood transfusion, will be directed to the Health Records Department.</w:t>
            </w:r>
          </w:p>
        </w:tc>
      </w:tr>
      <w:tr w:rsidR="00694DD5" w:rsidTr="005F6B50">
        <w:trPr>
          <w:trHeight w:val="1965"/>
          <w:jc w:val="center"/>
        </w:trPr>
        <w:tc>
          <w:tcPr>
            <w:tcW w:w="2718" w:type="dxa"/>
            <w:vMerge/>
            <w:shd w:val="clear" w:color="auto" w:fill="auto"/>
          </w:tcPr>
          <w:p w:rsidR="00694DD5" w:rsidRPr="00D86621" w:rsidRDefault="00694DD5" w:rsidP="00694DD5">
            <w:pPr>
              <w:numPr>
                <w:ilvl w:val="0"/>
                <w:numId w:val="3"/>
              </w:numPr>
              <w:ind w:left="630" w:hanging="654"/>
              <w:rPr>
                <w:rFonts w:ascii="Arial" w:hAnsi="Arial"/>
                <w:sz w:val="24"/>
              </w:rPr>
            </w:pPr>
          </w:p>
        </w:tc>
        <w:tc>
          <w:tcPr>
            <w:tcW w:w="6138" w:type="dxa"/>
          </w:tcPr>
          <w:p w:rsidR="00694DD5" w:rsidRPr="00D86621" w:rsidRDefault="00694DD5" w:rsidP="003467CE">
            <w:pPr>
              <w:numPr>
                <w:ilvl w:val="0"/>
                <w:numId w:val="5"/>
              </w:numPr>
              <w:tabs>
                <w:tab w:val="left" w:pos="720"/>
                <w:tab w:val="num" w:pos="1350"/>
              </w:tabs>
              <w:ind w:left="675" w:hanging="675"/>
              <w:rPr>
                <w:rFonts w:ascii="Arial" w:hAnsi="Arial"/>
                <w:sz w:val="24"/>
                <w:lang w:val="en-GB"/>
              </w:rPr>
            </w:pPr>
            <w:r w:rsidRPr="00D86621">
              <w:rPr>
                <w:rFonts w:ascii="Arial" w:hAnsi="Arial"/>
                <w:sz w:val="24"/>
                <w:lang w:val="en-GB"/>
              </w:rPr>
              <w:t>Requests from patients/physicians/guardians must be sent in writing to Health Records, and include the following:</w:t>
            </w:r>
          </w:p>
          <w:p w:rsidR="00694DD5" w:rsidRPr="00D86621" w:rsidRDefault="00694DD5" w:rsidP="003467CE">
            <w:pPr>
              <w:ind w:left="675"/>
              <w:rPr>
                <w:rFonts w:ascii="Arial" w:hAnsi="Arial"/>
                <w:sz w:val="24"/>
                <w:lang w:val="en-GB"/>
              </w:rPr>
            </w:pPr>
          </w:p>
          <w:p w:rsidR="00694DD5" w:rsidRPr="00D86621" w:rsidRDefault="00694DD5" w:rsidP="005F6B50">
            <w:pPr>
              <w:pStyle w:val="ListParagraph"/>
              <w:numPr>
                <w:ilvl w:val="0"/>
                <w:numId w:val="16"/>
              </w:numPr>
              <w:ind w:left="1062" w:right="57"/>
              <w:rPr>
                <w:rFonts w:ascii="Arial" w:hAnsi="Arial"/>
                <w:sz w:val="24"/>
                <w:lang w:val="en-GB"/>
              </w:rPr>
            </w:pPr>
            <w:r w:rsidRPr="00D86621">
              <w:rPr>
                <w:rFonts w:ascii="Arial" w:hAnsi="Arial"/>
                <w:sz w:val="24"/>
                <w:lang w:val="en-GB"/>
              </w:rPr>
              <w:t>patient name</w:t>
            </w:r>
          </w:p>
          <w:p w:rsidR="00694DD5" w:rsidRPr="00D86621" w:rsidRDefault="00694DD5" w:rsidP="005F6B50">
            <w:pPr>
              <w:ind w:left="1062" w:right="57"/>
              <w:rPr>
                <w:rFonts w:ascii="Arial" w:hAnsi="Arial"/>
                <w:sz w:val="24"/>
                <w:lang w:val="en-GB"/>
              </w:rPr>
            </w:pPr>
          </w:p>
          <w:p w:rsidR="00694DD5" w:rsidRPr="00D86621" w:rsidRDefault="00694DD5" w:rsidP="005F6B50">
            <w:pPr>
              <w:pStyle w:val="ListParagraph"/>
              <w:numPr>
                <w:ilvl w:val="0"/>
                <w:numId w:val="16"/>
              </w:numPr>
              <w:ind w:left="1062" w:right="57"/>
              <w:rPr>
                <w:rFonts w:ascii="Arial" w:hAnsi="Arial"/>
                <w:sz w:val="24"/>
                <w:lang w:val="en-GB"/>
              </w:rPr>
            </w:pPr>
            <w:r w:rsidRPr="00D86621">
              <w:rPr>
                <w:rFonts w:ascii="Arial" w:hAnsi="Arial"/>
                <w:sz w:val="24"/>
                <w:lang w:val="en-GB"/>
              </w:rPr>
              <w:t>date of birth</w:t>
            </w:r>
          </w:p>
          <w:p w:rsidR="00694DD5" w:rsidRPr="00D86621" w:rsidRDefault="00694DD5" w:rsidP="005F6B50">
            <w:pPr>
              <w:ind w:left="1062" w:right="57"/>
              <w:rPr>
                <w:rFonts w:ascii="Arial" w:hAnsi="Arial"/>
                <w:sz w:val="24"/>
                <w:lang w:val="en-GB"/>
              </w:rPr>
            </w:pPr>
          </w:p>
          <w:p w:rsidR="00694DD5" w:rsidRPr="00D86621" w:rsidRDefault="00694DD5" w:rsidP="005F6B50">
            <w:pPr>
              <w:pStyle w:val="ListParagraph"/>
              <w:numPr>
                <w:ilvl w:val="0"/>
                <w:numId w:val="16"/>
              </w:numPr>
              <w:ind w:left="1062" w:right="57"/>
              <w:rPr>
                <w:rFonts w:ascii="Arial" w:hAnsi="Arial"/>
                <w:sz w:val="24"/>
                <w:lang w:val="en-GB"/>
              </w:rPr>
            </w:pPr>
            <w:r w:rsidRPr="00D86621">
              <w:rPr>
                <w:rFonts w:ascii="Arial" w:hAnsi="Arial"/>
                <w:sz w:val="24"/>
                <w:lang w:val="en-GB"/>
              </w:rPr>
              <w:t>dates of hospitalization</w:t>
            </w:r>
          </w:p>
          <w:p w:rsidR="00694DD5" w:rsidRPr="00D86621" w:rsidRDefault="00694DD5" w:rsidP="005F6B50">
            <w:pPr>
              <w:pStyle w:val="ListParagraph"/>
              <w:numPr>
                <w:ilvl w:val="0"/>
                <w:numId w:val="16"/>
              </w:numPr>
              <w:ind w:left="1062" w:right="57"/>
              <w:rPr>
                <w:rFonts w:ascii="Arial" w:hAnsi="Arial"/>
                <w:sz w:val="24"/>
                <w:lang w:val="en-GB"/>
              </w:rPr>
            </w:pPr>
            <w:r w:rsidRPr="00D86621">
              <w:rPr>
                <w:rFonts w:ascii="Arial" w:hAnsi="Arial"/>
                <w:sz w:val="24"/>
                <w:lang w:val="en-GB"/>
              </w:rPr>
              <w:t>address at time of hospitalization</w:t>
            </w:r>
          </w:p>
          <w:p w:rsidR="00694DD5" w:rsidRPr="00D86621" w:rsidRDefault="00694DD5" w:rsidP="005F6B50">
            <w:pPr>
              <w:ind w:left="1062" w:right="57"/>
              <w:rPr>
                <w:rFonts w:ascii="Arial" w:hAnsi="Arial"/>
                <w:sz w:val="24"/>
                <w:lang w:val="en-GB"/>
              </w:rPr>
            </w:pPr>
            <w:r w:rsidRPr="00D86621">
              <w:rPr>
                <w:rFonts w:ascii="Arial" w:hAnsi="Arial"/>
                <w:sz w:val="24"/>
                <w:lang w:val="en-GB"/>
              </w:rPr>
              <w:tab/>
            </w:r>
          </w:p>
          <w:p w:rsidR="00694DD5" w:rsidRPr="00D86621" w:rsidRDefault="00694DD5" w:rsidP="005F6B50">
            <w:pPr>
              <w:pStyle w:val="ListParagraph"/>
              <w:numPr>
                <w:ilvl w:val="0"/>
                <w:numId w:val="16"/>
              </w:numPr>
              <w:ind w:left="1062" w:right="57"/>
              <w:rPr>
                <w:rFonts w:ascii="Arial" w:hAnsi="Arial"/>
                <w:sz w:val="24"/>
                <w:lang w:val="en-GB"/>
              </w:rPr>
            </w:pPr>
            <w:r w:rsidRPr="00D86621">
              <w:rPr>
                <w:rFonts w:ascii="Arial" w:hAnsi="Arial"/>
                <w:sz w:val="24"/>
                <w:lang w:val="en-GB"/>
              </w:rPr>
              <w:t>reason for the request</w:t>
            </w:r>
          </w:p>
          <w:p w:rsidR="00694DD5" w:rsidRPr="00D86621" w:rsidRDefault="00694DD5" w:rsidP="005F6B50">
            <w:pPr>
              <w:ind w:left="1062" w:right="57"/>
              <w:rPr>
                <w:rFonts w:ascii="Arial" w:hAnsi="Arial"/>
                <w:sz w:val="24"/>
                <w:lang w:val="en-GB"/>
              </w:rPr>
            </w:pPr>
          </w:p>
          <w:p w:rsidR="00694DD5" w:rsidRPr="00D86621" w:rsidRDefault="00694DD5" w:rsidP="005F6B50">
            <w:pPr>
              <w:pStyle w:val="ListParagraph"/>
              <w:numPr>
                <w:ilvl w:val="0"/>
                <w:numId w:val="16"/>
              </w:numPr>
              <w:ind w:left="1062" w:right="57"/>
              <w:rPr>
                <w:rFonts w:ascii="Arial" w:hAnsi="Arial"/>
                <w:sz w:val="24"/>
                <w:lang w:val="en-GB"/>
              </w:rPr>
            </w:pPr>
            <w:r w:rsidRPr="00D86621">
              <w:rPr>
                <w:rFonts w:ascii="Arial" w:hAnsi="Arial"/>
                <w:sz w:val="24"/>
                <w:lang w:val="en-GB"/>
              </w:rPr>
              <w:t>signature of authorized individual</w:t>
            </w:r>
          </w:p>
          <w:p w:rsidR="00694DD5" w:rsidRPr="00D86621" w:rsidRDefault="00694DD5" w:rsidP="005F6B50">
            <w:pPr>
              <w:ind w:left="1062" w:right="57"/>
              <w:rPr>
                <w:rFonts w:ascii="Arial" w:hAnsi="Arial"/>
                <w:sz w:val="24"/>
                <w:lang w:val="en-GB"/>
              </w:rPr>
            </w:pPr>
          </w:p>
          <w:p w:rsidR="00694DD5" w:rsidRPr="00D86621" w:rsidRDefault="00694DD5" w:rsidP="005F6B50">
            <w:pPr>
              <w:pStyle w:val="ListParagraph"/>
              <w:numPr>
                <w:ilvl w:val="0"/>
                <w:numId w:val="16"/>
              </w:numPr>
              <w:ind w:left="1062" w:right="57"/>
              <w:rPr>
                <w:rFonts w:ascii="Arial" w:hAnsi="Arial"/>
                <w:sz w:val="24"/>
                <w:lang w:val="en-GB"/>
              </w:rPr>
            </w:pPr>
            <w:proofErr w:type="gramStart"/>
            <w:r w:rsidRPr="00D86621">
              <w:rPr>
                <w:rFonts w:ascii="Arial" w:hAnsi="Arial"/>
                <w:sz w:val="24"/>
                <w:lang w:val="en-GB"/>
              </w:rPr>
              <w:t>copy</w:t>
            </w:r>
            <w:proofErr w:type="gramEnd"/>
            <w:r w:rsidRPr="00D86621">
              <w:rPr>
                <w:rFonts w:ascii="Arial" w:hAnsi="Arial"/>
                <w:sz w:val="24"/>
                <w:lang w:val="en-GB"/>
              </w:rPr>
              <w:t xml:space="preserve"> of personal identification of authorized individual.</w:t>
            </w:r>
          </w:p>
          <w:p w:rsidR="00694DD5" w:rsidRPr="00D86621" w:rsidRDefault="00694DD5" w:rsidP="003467CE">
            <w:pPr>
              <w:ind w:left="675"/>
              <w:rPr>
                <w:rFonts w:ascii="Arial" w:hAnsi="Arial"/>
                <w:sz w:val="24"/>
                <w:lang w:val="en-GB"/>
              </w:rPr>
            </w:pPr>
          </w:p>
          <w:p w:rsidR="00694DD5" w:rsidRPr="00D86621" w:rsidRDefault="00694DD5" w:rsidP="003467CE">
            <w:pPr>
              <w:ind w:left="675"/>
              <w:rPr>
                <w:rFonts w:ascii="Arial" w:hAnsi="Arial"/>
                <w:sz w:val="24"/>
                <w:lang w:val="en-GB"/>
              </w:rPr>
            </w:pPr>
            <w:r w:rsidRPr="00694DD5">
              <w:rPr>
                <w:rFonts w:ascii="Arial" w:hAnsi="Arial"/>
                <w:i/>
                <w:sz w:val="24"/>
                <w:lang w:val="en-GB"/>
              </w:rPr>
              <w:t>Exception</w:t>
            </w:r>
            <w:r w:rsidRPr="00D86621">
              <w:rPr>
                <w:rFonts w:ascii="Arial" w:hAnsi="Arial"/>
                <w:sz w:val="24"/>
                <w:lang w:val="en-GB"/>
              </w:rPr>
              <w:t>: If the authorized individual is not the</w:t>
            </w:r>
            <w:r>
              <w:rPr>
                <w:rFonts w:ascii="Arial" w:hAnsi="Arial"/>
                <w:sz w:val="24"/>
                <w:lang w:val="en-GB"/>
              </w:rPr>
              <w:t xml:space="preserve"> patient, proof of executor and</w:t>
            </w:r>
            <w:r w:rsidRPr="00D86621">
              <w:rPr>
                <w:rFonts w:ascii="Arial" w:hAnsi="Arial"/>
                <w:sz w:val="24"/>
                <w:lang w:val="en-GB"/>
              </w:rPr>
              <w:t>/or proof of next of kin</w:t>
            </w:r>
            <w:r>
              <w:rPr>
                <w:rFonts w:ascii="Arial" w:hAnsi="Arial"/>
                <w:sz w:val="24"/>
                <w:lang w:val="en-GB"/>
              </w:rPr>
              <w:t xml:space="preserve"> are required. </w:t>
            </w:r>
            <w:r w:rsidRPr="00D86621">
              <w:rPr>
                <w:rFonts w:ascii="Arial" w:hAnsi="Arial"/>
                <w:sz w:val="24"/>
                <w:lang w:val="en-GB"/>
              </w:rPr>
              <w:t>These requests will be directed to the Medical Legal Correspondent.</w:t>
            </w:r>
          </w:p>
        </w:tc>
      </w:tr>
      <w:tr w:rsidR="000447C6" w:rsidTr="005F6B50">
        <w:trPr>
          <w:jc w:val="center"/>
        </w:trPr>
        <w:tc>
          <w:tcPr>
            <w:tcW w:w="2718" w:type="dxa"/>
            <w:shd w:val="clear" w:color="auto" w:fill="auto"/>
          </w:tcPr>
          <w:p w:rsidR="00B74C3D" w:rsidRDefault="00756ABA" w:rsidP="00694DD5">
            <w:pPr>
              <w:numPr>
                <w:ilvl w:val="0"/>
                <w:numId w:val="3"/>
              </w:numPr>
              <w:ind w:left="630" w:hanging="578"/>
              <w:rPr>
                <w:rFonts w:ascii="Arial" w:hAnsi="Arial"/>
                <w:sz w:val="24"/>
              </w:rPr>
            </w:pPr>
            <w:r>
              <w:rPr>
                <w:rFonts w:ascii="Arial" w:hAnsi="Arial"/>
                <w:sz w:val="24"/>
                <w:lang w:val="en-GB"/>
              </w:rPr>
              <w:lastRenderedPageBreak/>
              <w:t>Health Records r</w:t>
            </w:r>
            <w:r w:rsidRPr="00756ABA">
              <w:rPr>
                <w:rFonts w:ascii="Arial" w:hAnsi="Arial"/>
                <w:sz w:val="24"/>
                <w:lang w:val="en-GB"/>
              </w:rPr>
              <w:t>eview the request for completeness</w:t>
            </w:r>
          </w:p>
        </w:tc>
        <w:tc>
          <w:tcPr>
            <w:tcW w:w="6138" w:type="dxa"/>
          </w:tcPr>
          <w:p w:rsidR="00BA09E7" w:rsidRDefault="00866AA7" w:rsidP="003467CE">
            <w:pPr>
              <w:numPr>
                <w:ilvl w:val="0"/>
                <w:numId w:val="6"/>
              </w:numPr>
              <w:ind w:left="675" w:hanging="693"/>
              <w:rPr>
                <w:rFonts w:ascii="Arial" w:hAnsi="Arial"/>
                <w:sz w:val="24"/>
              </w:rPr>
            </w:pPr>
            <w:r>
              <w:rPr>
                <w:rFonts w:ascii="Arial" w:hAnsi="Arial"/>
                <w:sz w:val="24"/>
                <w:lang w:val="en-GB"/>
              </w:rPr>
              <w:t>Upon</w:t>
            </w:r>
            <w:r w:rsidRPr="00756ABA">
              <w:rPr>
                <w:rFonts w:ascii="Arial" w:hAnsi="Arial"/>
                <w:sz w:val="24"/>
                <w:lang w:val="en-GB"/>
              </w:rPr>
              <w:t xml:space="preserve"> </w:t>
            </w:r>
            <w:r w:rsidR="00756ABA" w:rsidRPr="00756ABA">
              <w:rPr>
                <w:rFonts w:ascii="Arial" w:hAnsi="Arial"/>
                <w:sz w:val="24"/>
                <w:lang w:val="en-GB"/>
              </w:rPr>
              <w:t>receipt of a request, the Health Records Correspondence Technician will review the request for completeness and may forward to the Transfusion Medicine service if additional information is required</w:t>
            </w:r>
          </w:p>
        </w:tc>
      </w:tr>
      <w:tr w:rsidR="00694DD5" w:rsidTr="005F6B50">
        <w:trPr>
          <w:trHeight w:val="1041"/>
          <w:jc w:val="center"/>
        </w:trPr>
        <w:tc>
          <w:tcPr>
            <w:tcW w:w="2718" w:type="dxa"/>
            <w:vMerge w:val="restart"/>
            <w:shd w:val="clear" w:color="auto" w:fill="auto"/>
          </w:tcPr>
          <w:p w:rsidR="00694DD5" w:rsidRDefault="00694DD5">
            <w:pPr>
              <w:numPr>
                <w:ilvl w:val="0"/>
                <w:numId w:val="3"/>
              </w:numPr>
              <w:ind w:hanging="578"/>
              <w:rPr>
                <w:rFonts w:ascii="Arial" w:hAnsi="Arial"/>
                <w:sz w:val="24"/>
              </w:rPr>
            </w:pPr>
            <w:r>
              <w:rPr>
                <w:rFonts w:ascii="Arial" w:hAnsi="Arial"/>
                <w:sz w:val="24"/>
              </w:rPr>
              <w:t>TML review of the records</w:t>
            </w:r>
          </w:p>
        </w:tc>
        <w:tc>
          <w:tcPr>
            <w:tcW w:w="6138" w:type="dxa"/>
          </w:tcPr>
          <w:p w:rsidR="00694DD5" w:rsidRDefault="00694DD5" w:rsidP="003467CE">
            <w:pPr>
              <w:pStyle w:val="ListParagraph"/>
              <w:numPr>
                <w:ilvl w:val="0"/>
                <w:numId w:val="8"/>
              </w:numPr>
              <w:ind w:left="675" w:hanging="675"/>
              <w:rPr>
                <w:rFonts w:ascii="Arial" w:hAnsi="Arial"/>
                <w:sz w:val="24"/>
              </w:rPr>
            </w:pPr>
            <w:r>
              <w:rPr>
                <w:rFonts w:ascii="Arial" w:hAnsi="Arial"/>
                <w:sz w:val="24"/>
              </w:rPr>
              <w:t>Upon</w:t>
            </w:r>
            <w:r w:rsidRPr="00756ABA">
              <w:rPr>
                <w:rFonts w:ascii="Arial" w:hAnsi="Arial"/>
                <w:sz w:val="24"/>
              </w:rPr>
              <w:t xml:space="preserve"> receipt of the request, the TML will access Transfusion Medicine records, determine and record on the request copy, whether blood or blood products were given. This will be returned to Health Records</w:t>
            </w:r>
          </w:p>
        </w:tc>
      </w:tr>
      <w:tr w:rsidR="00694DD5" w:rsidTr="005F6B50">
        <w:trPr>
          <w:trHeight w:val="1109"/>
          <w:jc w:val="center"/>
        </w:trPr>
        <w:tc>
          <w:tcPr>
            <w:tcW w:w="2718" w:type="dxa"/>
            <w:vMerge/>
            <w:shd w:val="clear" w:color="auto" w:fill="auto"/>
          </w:tcPr>
          <w:p w:rsidR="00694DD5" w:rsidRDefault="00694DD5">
            <w:pPr>
              <w:numPr>
                <w:ilvl w:val="0"/>
                <w:numId w:val="3"/>
              </w:numPr>
              <w:ind w:hanging="578"/>
              <w:rPr>
                <w:rFonts w:ascii="Arial" w:hAnsi="Arial"/>
                <w:sz w:val="24"/>
              </w:rPr>
            </w:pPr>
          </w:p>
        </w:tc>
        <w:tc>
          <w:tcPr>
            <w:tcW w:w="6138" w:type="dxa"/>
          </w:tcPr>
          <w:p w:rsidR="00694DD5" w:rsidRDefault="00694DD5" w:rsidP="003467CE">
            <w:pPr>
              <w:pStyle w:val="ListParagraph"/>
              <w:numPr>
                <w:ilvl w:val="0"/>
                <w:numId w:val="8"/>
              </w:numPr>
              <w:ind w:left="675" w:hanging="675"/>
              <w:rPr>
                <w:rFonts w:ascii="Arial" w:hAnsi="Arial"/>
                <w:sz w:val="24"/>
              </w:rPr>
            </w:pPr>
            <w:r w:rsidRPr="00756ABA">
              <w:rPr>
                <w:rFonts w:ascii="Arial" w:hAnsi="Arial"/>
                <w:sz w:val="24"/>
              </w:rPr>
              <w:t xml:space="preserve">The Charge Technologist or designate will review all correspondence prior to it leaving the department and being sent to Health records. TML will make 2 copies, and send the original to Health Records.  . </w:t>
            </w:r>
          </w:p>
        </w:tc>
      </w:tr>
      <w:tr w:rsidR="00694DD5" w:rsidTr="005F6B50">
        <w:trPr>
          <w:trHeight w:val="603"/>
          <w:jc w:val="center"/>
        </w:trPr>
        <w:tc>
          <w:tcPr>
            <w:tcW w:w="2718" w:type="dxa"/>
            <w:vMerge/>
            <w:shd w:val="clear" w:color="auto" w:fill="auto"/>
          </w:tcPr>
          <w:p w:rsidR="00694DD5" w:rsidRDefault="00694DD5">
            <w:pPr>
              <w:numPr>
                <w:ilvl w:val="0"/>
                <w:numId w:val="3"/>
              </w:numPr>
              <w:ind w:hanging="578"/>
              <w:rPr>
                <w:rFonts w:ascii="Arial" w:hAnsi="Arial"/>
                <w:sz w:val="24"/>
              </w:rPr>
            </w:pPr>
          </w:p>
        </w:tc>
        <w:tc>
          <w:tcPr>
            <w:tcW w:w="6138" w:type="dxa"/>
          </w:tcPr>
          <w:p w:rsidR="00694DD5" w:rsidRPr="00756ABA" w:rsidRDefault="00694DD5" w:rsidP="003467CE">
            <w:pPr>
              <w:numPr>
                <w:ilvl w:val="0"/>
                <w:numId w:val="8"/>
              </w:numPr>
              <w:ind w:left="675" w:hanging="693"/>
              <w:rPr>
                <w:rFonts w:ascii="Arial" w:hAnsi="Arial"/>
                <w:sz w:val="24"/>
              </w:rPr>
            </w:pPr>
            <w:r w:rsidRPr="009C7FBB">
              <w:rPr>
                <w:rFonts w:ascii="Arial" w:hAnsi="Arial"/>
                <w:sz w:val="24"/>
                <w:lang w:val="en-GB"/>
              </w:rPr>
              <w:t xml:space="preserve">If indicated, the TML will forward to Health records, any </w:t>
            </w:r>
            <w:r>
              <w:rPr>
                <w:rFonts w:ascii="Arial" w:hAnsi="Arial"/>
                <w:sz w:val="24"/>
                <w:lang w:val="en-GB"/>
              </w:rPr>
              <w:t xml:space="preserve"> </w:t>
            </w:r>
            <w:r>
              <w:rPr>
                <w:rFonts w:ascii="Arial" w:hAnsi="Arial"/>
                <w:sz w:val="24"/>
                <w:lang w:val="en-GB"/>
              </w:rPr>
              <w:br/>
            </w:r>
            <w:r w:rsidRPr="009C7FBB">
              <w:rPr>
                <w:rFonts w:ascii="Arial" w:hAnsi="Arial"/>
                <w:sz w:val="24"/>
                <w:lang w:val="en-GB"/>
              </w:rPr>
              <w:t>requests for which no information was found</w:t>
            </w:r>
          </w:p>
        </w:tc>
      </w:tr>
      <w:tr w:rsidR="003467CE" w:rsidTr="00002350">
        <w:trPr>
          <w:trHeight w:val="1125"/>
          <w:jc w:val="center"/>
        </w:trPr>
        <w:tc>
          <w:tcPr>
            <w:tcW w:w="2718" w:type="dxa"/>
            <w:vMerge w:val="restart"/>
            <w:shd w:val="clear" w:color="auto" w:fill="auto"/>
          </w:tcPr>
          <w:p w:rsidR="003467CE" w:rsidRPr="00BA09E7" w:rsidRDefault="003467CE" w:rsidP="00BA09E7">
            <w:pPr>
              <w:numPr>
                <w:ilvl w:val="0"/>
                <w:numId w:val="3"/>
              </w:numPr>
              <w:ind w:hanging="578"/>
              <w:rPr>
                <w:rFonts w:ascii="Arial" w:hAnsi="Arial"/>
                <w:sz w:val="24"/>
              </w:rPr>
            </w:pPr>
            <w:r>
              <w:rPr>
                <w:rFonts w:ascii="Arial" w:hAnsi="Arial"/>
                <w:sz w:val="24"/>
              </w:rPr>
              <w:t>Release of record review</w:t>
            </w:r>
          </w:p>
        </w:tc>
        <w:tc>
          <w:tcPr>
            <w:tcW w:w="6138" w:type="dxa"/>
          </w:tcPr>
          <w:p w:rsidR="003467CE" w:rsidRPr="00756ABA" w:rsidRDefault="003467CE" w:rsidP="003467CE">
            <w:pPr>
              <w:numPr>
                <w:ilvl w:val="0"/>
                <w:numId w:val="9"/>
              </w:numPr>
              <w:ind w:left="675" w:hanging="675"/>
              <w:rPr>
                <w:rFonts w:ascii="Arial" w:hAnsi="Arial"/>
                <w:sz w:val="24"/>
              </w:rPr>
            </w:pPr>
            <w:r w:rsidRPr="00756ABA">
              <w:rPr>
                <w:rFonts w:ascii="Arial" w:hAnsi="Arial"/>
                <w:sz w:val="24"/>
              </w:rPr>
              <w:t>Health Records will prepare the response as follows:</w:t>
            </w:r>
          </w:p>
          <w:p w:rsidR="003467CE" w:rsidRPr="00756ABA" w:rsidRDefault="003467CE" w:rsidP="003467CE">
            <w:pPr>
              <w:ind w:left="675" w:hanging="792"/>
              <w:rPr>
                <w:rFonts w:ascii="Arial" w:hAnsi="Arial"/>
                <w:sz w:val="24"/>
              </w:rPr>
            </w:pPr>
          </w:p>
          <w:p w:rsidR="003467CE" w:rsidRPr="00756ABA" w:rsidRDefault="003467CE" w:rsidP="00C85649">
            <w:pPr>
              <w:pStyle w:val="ListParagraph"/>
              <w:numPr>
                <w:ilvl w:val="0"/>
                <w:numId w:val="25"/>
              </w:numPr>
              <w:rPr>
                <w:rFonts w:ascii="Arial" w:hAnsi="Arial"/>
                <w:sz w:val="24"/>
              </w:rPr>
            </w:pPr>
            <w:r w:rsidRPr="00756ABA">
              <w:rPr>
                <w:rFonts w:ascii="Arial" w:hAnsi="Arial"/>
                <w:sz w:val="24"/>
              </w:rPr>
              <w:t>Form letter for the requester (patient, guardian or physician) indicating no Blood Transfusion given; or,</w:t>
            </w:r>
          </w:p>
          <w:p w:rsidR="003467CE" w:rsidRPr="00756ABA" w:rsidRDefault="003467CE" w:rsidP="003467CE">
            <w:pPr>
              <w:ind w:left="675" w:hanging="792"/>
              <w:rPr>
                <w:rFonts w:ascii="Arial" w:hAnsi="Arial"/>
                <w:sz w:val="24"/>
              </w:rPr>
            </w:pPr>
          </w:p>
          <w:p w:rsidR="003467CE" w:rsidRPr="003A51DE" w:rsidRDefault="003467CE" w:rsidP="00C85649">
            <w:pPr>
              <w:pStyle w:val="ListParagraph"/>
              <w:numPr>
                <w:ilvl w:val="0"/>
                <w:numId w:val="25"/>
              </w:numPr>
              <w:rPr>
                <w:rFonts w:ascii="Arial" w:hAnsi="Arial"/>
                <w:sz w:val="24"/>
              </w:rPr>
            </w:pPr>
            <w:r w:rsidRPr="00756ABA">
              <w:rPr>
                <w:rFonts w:ascii="Arial" w:hAnsi="Arial"/>
                <w:sz w:val="24"/>
              </w:rPr>
              <w:lastRenderedPageBreak/>
              <w:t>Form letter for the requester (patient, guardian or physician) indicating a Blood Transfusion given.</w:t>
            </w:r>
          </w:p>
        </w:tc>
      </w:tr>
      <w:tr w:rsidR="003467CE" w:rsidTr="005F6B50">
        <w:trPr>
          <w:trHeight w:val="554"/>
          <w:jc w:val="center"/>
        </w:trPr>
        <w:tc>
          <w:tcPr>
            <w:tcW w:w="2718" w:type="dxa"/>
            <w:vMerge/>
            <w:shd w:val="clear" w:color="auto" w:fill="auto"/>
          </w:tcPr>
          <w:p w:rsidR="003467CE" w:rsidRDefault="003467CE" w:rsidP="00BA09E7">
            <w:pPr>
              <w:numPr>
                <w:ilvl w:val="0"/>
                <w:numId w:val="3"/>
              </w:numPr>
              <w:ind w:hanging="578"/>
              <w:rPr>
                <w:rFonts w:ascii="Arial" w:hAnsi="Arial"/>
                <w:sz w:val="24"/>
              </w:rPr>
            </w:pPr>
          </w:p>
        </w:tc>
        <w:tc>
          <w:tcPr>
            <w:tcW w:w="6138" w:type="dxa"/>
          </w:tcPr>
          <w:p w:rsidR="003467CE" w:rsidRPr="00756ABA" w:rsidRDefault="003467CE" w:rsidP="003467CE">
            <w:pPr>
              <w:pStyle w:val="ListParagraph"/>
              <w:numPr>
                <w:ilvl w:val="0"/>
                <w:numId w:val="9"/>
              </w:numPr>
              <w:ind w:left="675" w:hanging="675"/>
              <w:rPr>
                <w:rFonts w:ascii="Arial" w:hAnsi="Arial"/>
                <w:sz w:val="24"/>
              </w:rPr>
            </w:pPr>
            <w:r w:rsidRPr="009C7FBB">
              <w:rPr>
                <w:rFonts w:ascii="Arial" w:hAnsi="Arial"/>
                <w:sz w:val="24"/>
              </w:rPr>
              <w:t>The TML and/or Health Records will maintain a copy or the request / findings and store/file in a designated location.</w:t>
            </w:r>
          </w:p>
        </w:tc>
      </w:tr>
      <w:tr w:rsidR="003467CE" w:rsidTr="005F6B50">
        <w:trPr>
          <w:trHeight w:val="170"/>
          <w:jc w:val="center"/>
        </w:trPr>
        <w:tc>
          <w:tcPr>
            <w:tcW w:w="2718" w:type="dxa"/>
            <w:vMerge/>
            <w:shd w:val="clear" w:color="auto" w:fill="auto"/>
          </w:tcPr>
          <w:p w:rsidR="003467CE" w:rsidRDefault="003467CE" w:rsidP="00BA09E7">
            <w:pPr>
              <w:numPr>
                <w:ilvl w:val="0"/>
                <w:numId w:val="3"/>
              </w:numPr>
              <w:ind w:hanging="578"/>
              <w:rPr>
                <w:rFonts w:ascii="Arial" w:hAnsi="Arial"/>
                <w:sz w:val="24"/>
              </w:rPr>
            </w:pPr>
          </w:p>
        </w:tc>
        <w:tc>
          <w:tcPr>
            <w:tcW w:w="6138" w:type="dxa"/>
          </w:tcPr>
          <w:p w:rsidR="003467CE" w:rsidRPr="009C7FBB" w:rsidRDefault="003467CE" w:rsidP="003467CE">
            <w:pPr>
              <w:pStyle w:val="ListParagraph"/>
              <w:numPr>
                <w:ilvl w:val="0"/>
                <w:numId w:val="9"/>
              </w:numPr>
              <w:ind w:left="675" w:hanging="675"/>
              <w:rPr>
                <w:rFonts w:ascii="Arial" w:hAnsi="Arial"/>
                <w:sz w:val="24"/>
              </w:rPr>
            </w:pPr>
            <w:r w:rsidRPr="009C7FBB">
              <w:rPr>
                <w:rFonts w:ascii="Arial" w:hAnsi="Arial"/>
                <w:sz w:val="24"/>
              </w:rPr>
              <w:t>Health Records will enter the transaction in the Correspondence Database System and file the copy of the response with the original request in the correspondence file.</w:t>
            </w:r>
          </w:p>
        </w:tc>
      </w:tr>
      <w:tr w:rsidR="00C85649" w:rsidTr="005F6B50">
        <w:trPr>
          <w:trHeight w:val="827"/>
          <w:jc w:val="center"/>
        </w:trPr>
        <w:tc>
          <w:tcPr>
            <w:tcW w:w="2718" w:type="dxa"/>
            <w:vMerge w:val="restart"/>
            <w:shd w:val="clear" w:color="auto" w:fill="auto"/>
          </w:tcPr>
          <w:p w:rsidR="00C85649" w:rsidRDefault="00C85649" w:rsidP="001E0BEE">
            <w:pPr>
              <w:numPr>
                <w:ilvl w:val="0"/>
                <w:numId w:val="3"/>
              </w:numPr>
              <w:ind w:hanging="578"/>
              <w:rPr>
                <w:rFonts w:ascii="Arial" w:hAnsi="Arial"/>
                <w:sz w:val="24"/>
              </w:rPr>
            </w:pPr>
            <w:r>
              <w:rPr>
                <w:rFonts w:ascii="Arial" w:hAnsi="Arial"/>
                <w:sz w:val="24"/>
              </w:rPr>
              <w:t>Lookback – Requests relating  to blood components/products</w:t>
            </w:r>
          </w:p>
        </w:tc>
        <w:tc>
          <w:tcPr>
            <w:tcW w:w="6138" w:type="dxa"/>
          </w:tcPr>
          <w:p w:rsidR="00C85649" w:rsidRPr="003A51DE" w:rsidRDefault="00C85649" w:rsidP="00C85649">
            <w:pPr>
              <w:numPr>
                <w:ilvl w:val="0"/>
                <w:numId w:val="10"/>
              </w:numPr>
              <w:ind w:left="675" w:hanging="675"/>
              <w:rPr>
                <w:rFonts w:ascii="Arial" w:hAnsi="Arial"/>
                <w:sz w:val="24"/>
              </w:rPr>
            </w:pPr>
            <w:r w:rsidRPr="003A51DE">
              <w:rPr>
                <w:rFonts w:ascii="Arial" w:hAnsi="Arial"/>
                <w:sz w:val="24"/>
              </w:rPr>
              <w:t xml:space="preserve">Confirm that the </w:t>
            </w:r>
            <w:r>
              <w:rPr>
                <w:rFonts w:ascii="Arial" w:hAnsi="Arial"/>
                <w:sz w:val="24"/>
              </w:rPr>
              <w:t>components/</w:t>
            </w:r>
            <w:r w:rsidRPr="003A51DE">
              <w:rPr>
                <w:rFonts w:ascii="Arial" w:hAnsi="Arial"/>
                <w:sz w:val="24"/>
              </w:rPr>
              <w:t>products under investigation have been received by the TML. Report back to CBS if none of the products had been received.</w:t>
            </w:r>
          </w:p>
        </w:tc>
      </w:tr>
      <w:tr w:rsidR="00C85649" w:rsidTr="005F6B50">
        <w:trPr>
          <w:trHeight w:val="846"/>
          <w:jc w:val="center"/>
        </w:trPr>
        <w:tc>
          <w:tcPr>
            <w:tcW w:w="2718" w:type="dxa"/>
            <w:vMerge/>
            <w:shd w:val="clear" w:color="auto" w:fill="auto"/>
          </w:tcPr>
          <w:p w:rsidR="00C85649" w:rsidRDefault="00C85649" w:rsidP="001E0BEE">
            <w:pPr>
              <w:numPr>
                <w:ilvl w:val="0"/>
                <w:numId w:val="3"/>
              </w:numPr>
              <w:ind w:hanging="578"/>
              <w:rPr>
                <w:rFonts w:ascii="Arial" w:hAnsi="Arial"/>
                <w:sz w:val="24"/>
              </w:rPr>
            </w:pPr>
          </w:p>
        </w:tc>
        <w:tc>
          <w:tcPr>
            <w:tcW w:w="6138" w:type="dxa"/>
          </w:tcPr>
          <w:p w:rsidR="00C85649" w:rsidRPr="003A51DE" w:rsidRDefault="00C85649" w:rsidP="00C85649">
            <w:pPr>
              <w:numPr>
                <w:ilvl w:val="0"/>
                <w:numId w:val="10"/>
              </w:numPr>
              <w:ind w:left="675" w:hanging="675"/>
              <w:rPr>
                <w:rFonts w:ascii="Arial" w:hAnsi="Arial"/>
                <w:sz w:val="24"/>
              </w:rPr>
            </w:pPr>
            <w:r w:rsidRPr="003A51DE">
              <w:rPr>
                <w:rFonts w:ascii="Arial" w:hAnsi="Arial"/>
                <w:sz w:val="24"/>
              </w:rPr>
              <w:t xml:space="preserve">Ensure that any associated </w:t>
            </w:r>
            <w:r>
              <w:rPr>
                <w:rFonts w:ascii="Arial" w:hAnsi="Arial"/>
                <w:sz w:val="24"/>
              </w:rPr>
              <w:t>components</w:t>
            </w:r>
            <w:r w:rsidRPr="003A51DE">
              <w:rPr>
                <w:rFonts w:ascii="Arial" w:hAnsi="Arial"/>
                <w:sz w:val="24"/>
              </w:rPr>
              <w:t xml:space="preserve">/product </w:t>
            </w:r>
            <w:r>
              <w:rPr>
                <w:rFonts w:ascii="Arial" w:hAnsi="Arial"/>
                <w:sz w:val="24"/>
              </w:rPr>
              <w:t>is</w:t>
            </w:r>
            <w:r w:rsidRPr="003A51DE">
              <w:rPr>
                <w:rFonts w:ascii="Arial" w:hAnsi="Arial"/>
                <w:sz w:val="24"/>
              </w:rPr>
              <w:t xml:space="preserve"> rem</w:t>
            </w:r>
            <w:r>
              <w:rPr>
                <w:rFonts w:ascii="Arial" w:hAnsi="Arial"/>
                <w:sz w:val="24"/>
              </w:rPr>
              <w:t>oved from stock and quarantined</w:t>
            </w:r>
            <w:r w:rsidRPr="003A51DE">
              <w:rPr>
                <w:rFonts w:ascii="Arial" w:hAnsi="Arial"/>
                <w:sz w:val="24"/>
              </w:rPr>
              <w:t xml:space="preserve"> </w:t>
            </w:r>
            <w:r>
              <w:rPr>
                <w:rFonts w:ascii="Arial" w:hAnsi="Arial"/>
                <w:sz w:val="24"/>
              </w:rPr>
              <w:t>(</w:t>
            </w:r>
            <w:r w:rsidRPr="003A51DE">
              <w:rPr>
                <w:rFonts w:ascii="Arial" w:hAnsi="Arial"/>
                <w:sz w:val="24"/>
              </w:rPr>
              <w:t>e.g. FFP, Cryo</w:t>
            </w:r>
            <w:r>
              <w:rPr>
                <w:rFonts w:ascii="Arial" w:hAnsi="Arial"/>
                <w:sz w:val="24"/>
              </w:rPr>
              <w:t>)</w:t>
            </w:r>
            <w:r w:rsidRPr="003A51DE">
              <w:rPr>
                <w:rFonts w:ascii="Arial" w:hAnsi="Arial"/>
                <w:sz w:val="24"/>
              </w:rPr>
              <w:t>.</w:t>
            </w:r>
          </w:p>
        </w:tc>
      </w:tr>
      <w:tr w:rsidR="00C85649" w:rsidTr="005F6B50">
        <w:trPr>
          <w:trHeight w:val="3675"/>
          <w:jc w:val="center"/>
        </w:trPr>
        <w:tc>
          <w:tcPr>
            <w:tcW w:w="2718" w:type="dxa"/>
            <w:vMerge/>
            <w:shd w:val="clear" w:color="auto" w:fill="auto"/>
          </w:tcPr>
          <w:p w:rsidR="00C85649" w:rsidRDefault="00C85649" w:rsidP="001E0BEE">
            <w:pPr>
              <w:numPr>
                <w:ilvl w:val="0"/>
                <w:numId w:val="3"/>
              </w:numPr>
              <w:ind w:hanging="578"/>
              <w:rPr>
                <w:rFonts w:ascii="Arial" w:hAnsi="Arial"/>
                <w:sz w:val="24"/>
              </w:rPr>
            </w:pPr>
          </w:p>
        </w:tc>
        <w:tc>
          <w:tcPr>
            <w:tcW w:w="6138" w:type="dxa"/>
          </w:tcPr>
          <w:p w:rsidR="00C85649" w:rsidRDefault="00C85649" w:rsidP="00C85649">
            <w:pPr>
              <w:numPr>
                <w:ilvl w:val="0"/>
                <w:numId w:val="10"/>
              </w:numPr>
              <w:ind w:left="675" w:hanging="675"/>
              <w:rPr>
                <w:rFonts w:ascii="Arial" w:hAnsi="Arial"/>
                <w:sz w:val="24"/>
              </w:rPr>
            </w:pPr>
            <w:r w:rsidRPr="003A51DE">
              <w:rPr>
                <w:rFonts w:ascii="Arial" w:hAnsi="Arial"/>
                <w:sz w:val="24"/>
              </w:rPr>
              <w:t>Retrieve any associated products that have been issued to nursing</w:t>
            </w:r>
            <w:r>
              <w:rPr>
                <w:rFonts w:ascii="Arial" w:hAnsi="Arial"/>
                <w:sz w:val="24"/>
              </w:rPr>
              <w:t xml:space="preserve"> units for stock and/</w:t>
            </w:r>
            <w:r w:rsidRPr="003A51DE">
              <w:rPr>
                <w:rFonts w:ascii="Arial" w:hAnsi="Arial"/>
                <w:sz w:val="24"/>
              </w:rPr>
              <w:t>or O.R. fridge.</w:t>
            </w:r>
          </w:p>
          <w:p w:rsidR="00C85649" w:rsidRPr="005F6B50" w:rsidRDefault="00C85649" w:rsidP="00C85649">
            <w:pPr>
              <w:rPr>
                <w:rFonts w:ascii="Arial" w:hAnsi="Arial"/>
                <w:sz w:val="12"/>
              </w:rPr>
            </w:pPr>
          </w:p>
          <w:tbl>
            <w:tblPr>
              <w:tblStyle w:val="TableGrid"/>
              <w:tblW w:w="0" w:type="auto"/>
              <w:jc w:val="center"/>
              <w:tblInd w:w="157" w:type="dxa"/>
              <w:tblLook w:val="04A0" w:firstRow="1" w:lastRow="0" w:firstColumn="1" w:lastColumn="0" w:noHBand="0" w:noVBand="1"/>
            </w:tblPr>
            <w:tblGrid>
              <w:gridCol w:w="2880"/>
              <w:gridCol w:w="2875"/>
            </w:tblGrid>
            <w:tr w:rsidR="00C85649" w:rsidTr="005F6B50">
              <w:trPr>
                <w:jc w:val="center"/>
              </w:trPr>
              <w:tc>
                <w:tcPr>
                  <w:tcW w:w="2880" w:type="dxa"/>
                  <w:shd w:val="clear" w:color="auto" w:fill="F2F2F2" w:themeFill="background1" w:themeFillShade="F2"/>
                </w:tcPr>
                <w:p w:rsidR="00C85649" w:rsidRPr="005F6B50" w:rsidRDefault="00C85649" w:rsidP="005F6B50">
                  <w:pPr>
                    <w:jc w:val="both"/>
                    <w:rPr>
                      <w:rFonts w:ascii="Arial" w:hAnsi="Arial"/>
                      <w:b/>
                      <w:i/>
                      <w:sz w:val="24"/>
                    </w:rPr>
                  </w:pPr>
                  <w:r w:rsidRPr="005F6B50">
                    <w:rPr>
                      <w:rFonts w:ascii="Arial" w:hAnsi="Arial"/>
                      <w:b/>
                      <w:i/>
                      <w:sz w:val="24"/>
                    </w:rPr>
                    <w:t xml:space="preserve">If </w:t>
                  </w:r>
                </w:p>
              </w:tc>
              <w:tc>
                <w:tcPr>
                  <w:tcW w:w="2875" w:type="dxa"/>
                  <w:shd w:val="clear" w:color="auto" w:fill="F2F2F2" w:themeFill="background1" w:themeFillShade="F2"/>
                </w:tcPr>
                <w:p w:rsidR="00C85649" w:rsidRPr="005F6B50" w:rsidRDefault="00C85649" w:rsidP="005F6B50">
                  <w:pPr>
                    <w:jc w:val="both"/>
                    <w:rPr>
                      <w:rFonts w:ascii="Arial" w:hAnsi="Arial"/>
                      <w:b/>
                      <w:i/>
                      <w:sz w:val="24"/>
                    </w:rPr>
                  </w:pPr>
                  <w:r w:rsidRPr="005F6B50">
                    <w:rPr>
                      <w:rFonts w:ascii="Arial" w:hAnsi="Arial"/>
                      <w:b/>
                      <w:i/>
                      <w:sz w:val="24"/>
                    </w:rPr>
                    <w:t>Then:</w:t>
                  </w:r>
                </w:p>
              </w:tc>
            </w:tr>
            <w:tr w:rsidR="00C85649" w:rsidTr="005F6B50">
              <w:trPr>
                <w:jc w:val="center"/>
              </w:trPr>
              <w:tc>
                <w:tcPr>
                  <w:tcW w:w="2880" w:type="dxa"/>
                </w:tcPr>
                <w:p w:rsidR="00C85649" w:rsidRDefault="00C85649" w:rsidP="00C85649">
                  <w:pPr>
                    <w:rPr>
                      <w:rFonts w:ascii="Arial" w:hAnsi="Arial"/>
                      <w:sz w:val="24"/>
                    </w:rPr>
                  </w:pPr>
                  <w:r w:rsidRPr="003A51DE">
                    <w:rPr>
                      <w:rFonts w:ascii="Arial" w:hAnsi="Arial"/>
                      <w:sz w:val="24"/>
                    </w:rPr>
                    <w:t>the suspect products have been received into inventory</w:t>
                  </w:r>
                </w:p>
              </w:tc>
              <w:tc>
                <w:tcPr>
                  <w:tcW w:w="2875" w:type="dxa"/>
                </w:tcPr>
                <w:p w:rsidR="00C85649" w:rsidRDefault="00C85649" w:rsidP="00C85649">
                  <w:pPr>
                    <w:rPr>
                      <w:rFonts w:ascii="Arial" w:hAnsi="Arial"/>
                      <w:sz w:val="24"/>
                    </w:rPr>
                  </w:pPr>
                  <w:r w:rsidRPr="003A51DE">
                    <w:rPr>
                      <w:rFonts w:ascii="Arial" w:hAnsi="Arial"/>
                      <w:sz w:val="24"/>
                    </w:rPr>
                    <w:t>identify the final disposition status</w:t>
                  </w:r>
                </w:p>
              </w:tc>
            </w:tr>
            <w:tr w:rsidR="00C85649" w:rsidTr="005F6B50">
              <w:trPr>
                <w:jc w:val="center"/>
              </w:trPr>
              <w:tc>
                <w:tcPr>
                  <w:tcW w:w="2880" w:type="dxa"/>
                </w:tcPr>
                <w:p w:rsidR="00C85649" w:rsidRDefault="00C85649" w:rsidP="00C85649">
                  <w:pPr>
                    <w:rPr>
                      <w:rFonts w:ascii="Arial" w:hAnsi="Arial"/>
                      <w:sz w:val="24"/>
                    </w:rPr>
                  </w:pPr>
                  <w:r w:rsidRPr="003A51DE">
                    <w:rPr>
                      <w:rFonts w:ascii="Arial" w:hAnsi="Arial"/>
                      <w:sz w:val="24"/>
                    </w:rPr>
                    <w:t>products have been shipped to another facility</w:t>
                  </w:r>
                </w:p>
              </w:tc>
              <w:tc>
                <w:tcPr>
                  <w:tcW w:w="2875" w:type="dxa"/>
                </w:tcPr>
                <w:p w:rsidR="00C85649" w:rsidRDefault="00C85649" w:rsidP="00C85649">
                  <w:pPr>
                    <w:rPr>
                      <w:rFonts w:ascii="Arial" w:hAnsi="Arial"/>
                      <w:sz w:val="24"/>
                    </w:rPr>
                  </w:pPr>
                  <w:r w:rsidRPr="003A51DE">
                    <w:rPr>
                      <w:rFonts w:ascii="Arial" w:hAnsi="Arial"/>
                      <w:sz w:val="24"/>
                    </w:rPr>
                    <w:t>advise the CBS of the final destination of the products</w:t>
                  </w:r>
                </w:p>
              </w:tc>
            </w:tr>
            <w:tr w:rsidR="00C85649" w:rsidTr="005F6B50">
              <w:trPr>
                <w:jc w:val="center"/>
              </w:trPr>
              <w:tc>
                <w:tcPr>
                  <w:tcW w:w="2880" w:type="dxa"/>
                </w:tcPr>
                <w:p w:rsidR="00C85649" w:rsidRPr="003A51DE" w:rsidRDefault="00C85649" w:rsidP="00C85649">
                  <w:pPr>
                    <w:rPr>
                      <w:rFonts w:ascii="Arial" w:hAnsi="Arial"/>
                      <w:sz w:val="24"/>
                    </w:rPr>
                  </w:pPr>
                  <w:r w:rsidRPr="003A51DE">
                    <w:rPr>
                      <w:rFonts w:ascii="Arial" w:hAnsi="Arial"/>
                      <w:sz w:val="24"/>
                    </w:rPr>
                    <w:t>the products have been transfused</w:t>
                  </w:r>
                </w:p>
              </w:tc>
              <w:tc>
                <w:tcPr>
                  <w:tcW w:w="2875" w:type="dxa"/>
                </w:tcPr>
                <w:p w:rsidR="00C85649" w:rsidRPr="003A51DE" w:rsidRDefault="00C85649" w:rsidP="00002350">
                  <w:pPr>
                    <w:rPr>
                      <w:rFonts w:ascii="Arial" w:hAnsi="Arial"/>
                      <w:sz w:val="24"/>
                    </w:rPr>
                  </w:pPr>
                  <w:r w:rsidRPr="003A51DE">
                    <w:rPr>
                      <w:rFonts w:ascii="Arial" w:hAnsi="Arial"/>
                      <w:sz w:val="24"/>
                    </w:rPr>
                    <w:t xml:space="preserve">identify patients </w:t>
                  </w:r>
                  <w:r w:rsidR="00002350">
                    <w:rPr>
                      <w:rFonts w:ascii="Arial" w:hAnsi="Arial"/>
                      <w:sz w:val="24"/>
                    </w:rPr>
                    <w:t xml:space="preserve">who </w:t>
                  </w:r>
                  <w:r w:rsidRPr="003A51DE">
                    <w:rPr>
                      <w:rFonts w:ascii="Arial" w:hAnsi="Arial"/>
                      <w:sz w:val="24"/>
                    </w:rPr>
                    <w:t>receiv</w:t>
                  </w:r>
                  <w:r w:rsidR="00002350">
                    <w:rPr>
                      <w:rFonts w:ascii="Arial" w:hAnsi="Arial"/>
                      <w:sz w:val="24"/>
                    </w:rPr>
                    <w:t>ed</w:t>
                  </w:r>
                  <w:r w:rsidRPr="003A51DE">
                    <w:rPr>
                      <w:rFonts w:ascii="Arial" w:hAnsi="Arial"/>
                      <w:sz w:val="24"/>
                    </w:rPr>
                    <w:t xml:space="preserve"> the products</w:t>
                  </w:r>
                </w:p>
              </w:tc>
            </w:tr>
          </w:tbl>
          <w:p w:rsidR="00C85649" w:rsidRPr="003A51DE" w:rsidRDefault="00C85649" w:rsidP="00C85649">
            <w:pPr>
              <w:rPr>
                <w:rFonts w:ascii="Arial" w:hAnsi="Arial"/>
                <w:sz w:val="24"/>
              </w:rPr>
            </w:pPr>
          </w:p>
        </w:tc>
      </w:tr>
      <w:tr w:rsidR="00C85649" w:rsidTr="005F6B50">
        <w:trPr>
          <w:trHeight w:val="1074"/>
          <w:jc w:val="center"/>
        </w:trPr>
        <w:tc>
          <w:tcPr>
            <w:tcW w:w="2718" w:type="dxa"/>
            <w:vMerge/>
            <w:shd w:val="clear" w:color="auto" w:fill="auto"/>
          </w:tcPr>
          <w:p w:rsidR="00C85649" w:rsidRDefault="00C85649" w:rsidP="001E0BEE">
            <w:pPr>
              <w:numPr>
                <w:ilvl w:val="0"/>
                <w:numId w:val="3"/>
              </w:numPr>
              <w:ind w:hanging="578"/>
              <w:rPr>
                <w:rFonts w:ascii="Arial" w:hAnsi="Arial"/>
                <w:sz w:val="24"/>
              </w:rPr>
            </w:pPr>
          </w:p>
        </w:tc>
        <w:tc>
          <w:tcPr>
            <w:tcW w:w="6138" w:type="dxa"/>
          </w:tcPr>
          <w:p w:rsidR="00C85649" w:rsidRPr="003A51DE" w:rsidRDefault="00C85649" w:rsidP="00C85649">
            <w:pPr>
              <w:numPr>
                <w:ilvl w:val="0"/>
                <w:numId w:val="10"/>
              </w:numPr>
              <w:ind w:left="675" w:hanging="675"/>
              <w:rPr>
                <w:rFonts w:ascii="Arial" w:hAnsi="Arial"/>
                <w:sz w:val="24"/>
              </w:rPr>
            </w:pPr>
            <w:r w:rsidRPr="003A51DE">
              <w:rPr>
                <w:rFonts w:ascii="Arial" w:hAnsi="Arial"/>
                <w:sz w:val="24"/>
              </w:rPr>
              <w:t xml:space="preserve">Forward information to the </w:t>
            </w:r>
            <w:r>
              <w:rPr>
                <w:rFonts w:ascii="Arial" w:hAnsi="Arial"/>
                <w:sz w:val="24"/>
              </w:rPr>
              <w:t xml:space="preserve">Transfusion Medicine </w:t>
            </w:r>
            <w:r w:rsidRPr="003A51DE">
              <w:rPr>
                <w:rFonts w:ascii="Arial" w:hAnsi="Arial"/>
                <w:sz w:val="24"/>
              </w:rPr>
              <w:t xml:space="preserve">Medical </w:t>
            </w:r>
            <w:r>
              <w:rPr>
                <w:rFonts w:ascii="Arial" w:hAnsi="Arial"/>
                <w:sz w:val="24"/>
              </w:rPr>
              <w:t>Director</w:t>
            </w:r>
            <w:r w:rsidRPr="003A51DE">
              <w:rPr>
                <w:rFonts w:ascii="Arial" w:hAnsi="Arial"/>
                <w:sz w:val="24"/>
              </w:rPr>
              <w:t xml:space="preserve"> or Designate (QCA.010 – </w:t>
            </w:r>
            <w:r>
              <w:rPr>
                <w:rFonts w:ascii="Arial" w:hAnsi="Arial"/>
                <w:sz w:val="24"/>
              </w:rPr>
              <w:t xml:space="preserve">Transfusion Medicine </w:t>
            </w:r>
            <w:r w:rsidRPr="003A51DE">
              <w:rPr>
                <w:rFonts w:ascii="Arial" w:hAnsi="Arial"/>
                <w:sz w:val="24"/>
              </w:rPr>
              <w:t xml:space="preserve">Medical </w:t>
            </w:r>
            <w:r>
              <w:rPr>
                <w:rFonts w:ascii="Arial" w:hAnsi="Arial"/>
                <w:sz w:val="24"/>
              </w:rPr>
              <w:t>Director</w:t>
            </w:r>
            <w:r w:rsidRPr="003A51DE">
              <w:rPr>
                <w:rFonts w:ascii="Arial" w:hAnsi="Arial"/>
                <w:sz w:val="24"/>
              </w:rPr>
              <w:t xml:space="preserve"> Consultation Protocol) for appropriate follow up with the patient’s physician and/or patient.</w:t>
            </w:r>
          </w:p>
        </w:tc>
      </w:tr>
      <w:tr w:rsidR="00C85649" w:rsidTr="005F6B50">
        <w:trPr>
          <w:trHeight w:val="438"/>
          <w:jc w:val="center"/>
        </w:trPr>
        <w:tc>
          <w:tcPr>
            <w:tcW w:w="2718" w:type="dxa"/>
            <w:vMerge w:val="restart"/>
            <w:shd w:val="clear" w:color="auto" w:fill="auto"/>
          </w:tcPr>
          <w:p w:rsidR="00C85649" w:rsidRPr="001E0BEE" w:rsidRDefault="00C85649" w:rsidP="00C85649">
            <w:pPr>
              <w:numPr>
                <w:ilvl w:val="0"/>
                <w:numId w:val="3"/>
              </w:numPr>
              <w:ind w:left="630" w:hanging="578"/>
              <w:rPr>
                <w:rFonts w:ascii="Arial" w:hAnsi="Arial"/>
                <w:sz w:val="24"/>
              </w:rPr>
            </w:pPr>
            <w:r>
              <w:rPr>
                <w:rFonts w:ascii="Arial" w:hAnsi="Arial"/>
                <w:sz w:val="24"/>
              </w:rPr>
              <w:t>Traceback – Requests related to blood components and products that have been transfused to specific patient</w:t>
            </w:r>
          </w:p>
        </w:tc>
        <w:tc>
          <w:tcPr>
            <w:tcW w:w="6138" w:type="dxa"/>
          </w:tcPr>
          <w:p w:rsidR="00C85649" w:rsidRPr="003A51DE" w:rsidRDefault="00C85649" w:rsidP="00C85649">
            <w:pPr>
              <w:numPr>
                <w:ilvl w:val="0"/>
                <w:numId w:val="12"/>
              </w:numPr>
              <w:ind w:left="675" w:hanging="682"/>
              <w:rPr>
                <w:rFonts w:ascii="Arial" w:hAnsi="Arial"/>
                <w:sz w:val="24"/>
              </w:rPr>
            </w:pPr>
            <w:r w:rsidRPr="003A51DE">
              <w:rPr>
                <w:rFonts w:ascii="Arial" w:hAnsi="Arial"/>
                <w:sz w:val="24"/>
              </w:rPr>
              <w:t xml:space="preserve">Confirm that the patient under investigation has been transfused by the TML. </w:t>
            </w:r>
          </w:p>
        </w:tc>
      </w:tr>
      <w:tr w:rsidR="00C85649" w:rsidTr="005F6B50">
        <w:trPr>
          <w:trHeight w:val="300"/>
          <w:jc w:val="center"/>
        </w:trPr>
        <w:tc>
          <w:tcPr>
            <w:tcW w:w="2718" w:type="dxa"/>
            <w:vMerge/>
            <w:shd w:val="clear" w:color="auto" w:fill="auto"/>
          </w:tcPr>
          <w:p w:rsidR="00C85649" w:rsidRDefault="00C85649" w:rsidP="00C85649">
            <w:pPr>
              <w:numPr>
                <w:ilvl w:val="0"/>
                <w:numId w:val="3"/>
              </w:numPr>
              <w:ind w:left="630" w:hanging="578"/>
              <w:rPr>
                <w:rFonts w:ascii="Arial" w:hAnsi="Arial"/>
                <w:sz w:val="24"/>
              </w:rPr>
            </w:pPr>
          </w:p>
        </w:tc>
        <w:tc>
          <w:tcPr>
            <w:tcW w:w="6138" w:type="dxa"/>
          </w:tcPr>
          <w:p w:rsidR="00C85649" w:rsidRPr="00C85649" w:rsidRDefault="00C85649" w:rsidP="00C85649">
            <w:pPr>
              <w:numPr>
                <w:ilvl w:val="0"/>
                <w:numId w:val="12"/>
              </w:numPr>
              <w:ind w:left="675" w:hanging="682"/>
              <w:rPr>
                <w:rFonts w:ascii="Arial" w:hAnsi="Arial"/>
                <w:sz w:val="24"/>
              </w:rPr>
            </w:pPr>
            <w:r>
              <w:rPr>
                <w:rFonts w:ascii="Arial" w:hAnsi="Arial"/>
                <w:sz w:val="24"/>
              </w:rPr>
              <w:t xml:space="preserve">Report all products the patient has been transfused </w:t>
            </w:r>
          </w:p>
        </w:tc>
      </w:tr>
      <w:tr w:rsidR="00C85649" w:rsidTr="005F6B50">
        <w:trPr>
          <w:trHeight w:val="255"/>
          <w:jc w:val="center"/>
        </w:trPr>
        <w:tc>
          <w:tcPr>
            <w:tcW w:w="2718" w:type="dxa"/>
            <w:vMerge/>
            <w:shd w:val="clear" w:color="auto" w:fill="auto"/>
          </w:tcPr>
          <w:p w:rsidR="00C85649" w:rsidRDefault="00C85649" w:rsidP="00C85649">
            <w:pPr>
              <w:numPr>
                <w:ilvl w:val="0"/>
                <w:numId w:val="3"/>
              </w:numPr>
              <w:ind w:left="630" w:hanging="578"/>
              <w:rPr>
                <w:rFonts w:ascii="Arial" w:hAnsi="Arial"/>
                <w:sz w:val="24"/>
              </w:rPr>
            </w:pPr>
          </w:p>
        </w:tc>
        <w:tc>
          <w:tcPr>
            <w:tcW w:w="6138" w:type="dxa"/>
          </w:tcPr>
          <w:p w:rsidR="00C85649" w:rsidRPr="00C85649" w:rsidRDefault="00C85649" w:rsidP="00C85649">
            <w:pPr>
              <w:numPr>
                <w:ilvl w:val="0"/>
                <w:numId w:val="12"/>
              </w:numPr>
              <w:ind w:left="675" w:hanging="682"/>
              <w:rPr>
                <w:rFonts w:ascii="Arial" w:hAnsi="Arial"/>
                <w:sz w:val="24"/>
              </w:rPr>
            </w:pPr>
            <w:r w:rsidRPr="003A51DE">
              <w:rPr>
                <w:rFonts w:ascii="Arial" w:hAnsi="Arial"/>
                <w:sz w:val="24"/>
              </w:rPr>
              <w:t>If no record exists forward request to Health records</w:t>
            </w:r>
          </w:p>
        </w:tc>
      </w:tr>
      <w:tr w:rsidR="00C85649" w:rsidTr="005F6B50">
        <w:trPr>
          <w:trHeight w:val="564"/>
          <w:jc w:val="center"/>
        </w:trPr>
        <w:tc>
          <w:tcPr>
            <w:tcW w:w="2718" w:type="dxa"/>
            <w:vMerge/>
            <w:shd w:val="clear" w:color="auto" w:fill="auto"/>
          </w:tcPr>
          <w:p w:rsidR="00C85649" w:rsidRDefault="00C85649" w:rsidP="00C85649">
            <w:pPr>
              <w:numPr>
                <w:ilvl w:val="0"/>
                <w:numId w:val="3"/>
              </w:numPr>
              <w:ind w:left="630" w:hanging="578"/>
              <w:rPr>
                <w:rFonts w:ascii="Arial" w:hAnsi="Arial"/>
                <w:sz w:val="24"/>
              </w:rPr>
            </w:pPr>
          </w:p>
        </w:tc>
        <w:tc>
          <w:tcPr>
            <w:tcW w:w="6138" w:type="dxa"/>
          </w:tcPr>
          <w:p w:rsidR="00C85649" w:rsidRPr="003A51DE" w:rsidRDefault="00C85649" w:rsidP="00C85649">
            <w:pPr>
              <w:numPr>
                <w:ilvl w:val="0"/>
                <w:numId w:val="12"/>
              </w:numPr>
              <w:ind w:left="675" w:hanging="682"/>
              <w:rPr>
                <w:rFonts w:ascii="Arial" w:hAnsi="Arial"/>
                <w:sz w:val="24"/>
              </w:rPr>
            </w:pPr>
            <w:r w:rsidRPr="003A51DE">
              <w:rPr>
                <w:rFonts w:ascii="Arial" w:hAnsi="Arial"/>
                <w:sz w:val="24"/>
              </w:rPr>
              <w:t>Forward information obtained to Medical Chief/Designate for review. (QCA.010 – Medical Chief Consultation Protocol)</w:t>
            </w:r>
          </w:p>
        </w:tc>
      </w:tr>
      <w:tr w:rsidR="00C85649" w:rsidTr="005F6B50">
        <w:trPr>
          <w:trHeight w:val="750"/>
          <w:jc w:val="center"/>
        </w:trPr>
        <w:tc>
          <w:tcPr>
            <w:tcW w:w="2718" w:type="dxa"/>
            <w:vMerge/>
            <w:shd w:val="clear" w:color="auto" w:fill="auto"/>
          </w:tcPr>
          <w:p w:rsidR="00C85649" w:rsidRDefault="00C85649" w:rsidP="00C85649">
            <w:pPr>
              <w:numPr>
                <w:ilvl w:val="0"/>
                <w:numId w:val="3"/>
              </w:numPr>
              <w:ind w:left="630" w:hanging="578"/>
              <w:rPr>
                <w:rFonts w:ascii="Arial" w:hAnsi="Arial"/>
                <w:sz w:val="24"/>
              </w:rPr>
            </w:pPr>
          </w:p>
        </w:tc>
        <w:tc>
          <w:tcPr>
            <w:tcW w:w="6138" w:type="dxa"/>
          </w:tcPr>
          <w:p w:rsidR="00C85649" w:rsidRPr="003A51DE" w:rsidRDefault="00C85649" w:rsidP="00002350">
            <w:pPr>
              <w:numPr>
                <w:ilvl w:val="0"/>
                <w:numId w:val="12"/>
              </w:numPr>
              <w:ind w:left="675" w:hanging="682"/>
              <w:rPr>
                <w:rFonts w:ascii="Arial" w:hAnsi="Arial"/>
                <w:sz w:val="24"/>
              </w:rPr>
            </w:pPr>
            <w:r w:rsidRPr="003A51DE">
              <w:rPr>
                <w:rFonts w:ascii="Arial" w:hAnsi="Arial"/>
                <w:sz w:val="24"/>
              </w:rPr>
              <w:t xml:space="preserve">Complete the CBS </w:t>
            </w:r>
            <w:r w:rsidR="00002350">
              <w:rPr>
                <w:rFonts w:ascii="Arial" w:hAnsi="Arial"/>
                <w:sz w:val="24"/>
              </w:rPr>
              <w:t>Transmissible Disease Notification (TDN)</w:t>
            </w:r>
            <w:r w:rsidRPr="003A51DE">
              <w:rPr>
                <w:rFonts w:ascii="Arial" w:hAnsi="Arial"/>
                <w:sz w:val="24"/>
              </w:rPr>
              <w:t xml:space="preserve"> Form</w:t>
            </w:r>
            <w:r w:rsidR="00002350">
              <w:rPr>
                <w:rFonts w:ascii="Arial" w:hAnsi="Arial"/>
                <w:sz w:val="24"/>
              </w:rPr>
              <w:t xml:space="preserve"> using instructions provided</w:t>
            </w:r>
            <w:r w:rsidR="00002350">
              <w:rPr>
                <w:rFonts w:ascii="Arial" w:hAnsi="Arial"/>
                <w:sz w:val="24"/>
                <w:vertAlign w:val="superscript"/>
              </w:rPr>
              <w:t>2</w:t>
            </w:r>
            <w:r w:rsidRPr="003A51DE">
              <w:rPr>
                <w:rFonts w:ascii="Arial" w:hAnsi="Arial"/>
                <w:sz w:val="24"/>
              </w:rPr>
              <w:t xml:space="preserve"> and return to the CBS. Retain a copy of the form for the TML records.</w:t>
            </w:r>
          </w:p>
        </w:tc>
      </w:tr>
    </w:tbl>
    <w:p w:rsidR="003A51DE" w:rsidRDefault="003A51DE" w:rsidP="003A51DE">
      <w:pPr>
        <w:rPr>
          <w:rFonts w:ascii="Arial" w:hAnsi="Arial"/>
          <w:b/>
          <w:sz w:val="28"/>
        </w:rPr>
      </w:pPr>
    </w:p>
    <w:p w:rsidR="00C85649" w:rsidRDefault="002A6041" w:rsidP="00C85649">
      <w:pPr>
        <w:numPr>
          <w:ilvl w:val="0"/>
          <w:numId w:val="1"/>
        </w:numPr>
        <w:tabs>
          <w:tab w:val="clear" w:pos="990"/>
        </w:tabs>
        <w:spacing w:after="240"/>
        <w:ind w:left="720"/>
        <w:rPr>
          <w:rFonts w:ascii="Arial" w:hAnsi="Arial"/>
          <w:sz w:val="24"/>
        </w:rPr>
      </w:pPr>
      <w:r w:rsidRPr="00C85649">
        <w:rPr>
          <w:rFonts w:ascii="Arial" w:hAnsi="Arial"/>
          <w:b/>
          <w:sz w:val="28"/>
        </w:rPr>
        <w:t>Reporting</w:t>
      </w:r>
      <w:r w:rsidR="003A51DE" w:rsidRPr="00C85649">
        <w:rPr>
          <w:rFonts w:ascii="Arial" w:hAnsi="Arial"/>
          <w:b/>
          <w:sz w:val="28"/>
        </w:rPr>
        <w:t xml:space="preserve"> </w:t>
      </w:r>
    </w:p>
    <w:p w:rsidR="002A6041" w:rsidRPr="00C85649" w:rsidRDefault="003A51DE" w:rsidP="00C85649">
      <w:pPr>
        <w:numPr>
          <w:ilvl w:val="1"/>
          <w:numId w:val="1"/>
        </w:numPr>
        <w:tabs>
          <w:tab w:val="clear" w:pos="1571"/>
        </w:tabs>
        <w:spacing w:after="240"/>
        <w:ind w:left="1440"/>
        <w:rPr>
          <w:rFonts w:ascii="Arial" w:hAnsi="Arial"/>
          <w:sz w:val="24"/>
        </w:rPr>
      </w:pPr>
      <w:r w:rsidRPr="00C85649">
        <w:rPr>
          <w:rFonts w:ascii="Arial" w:hAnsi="Arial"/>
          <w:sz w:val="24"/>
        </w:rPr>
        <w:t>Complete all required documentation and return to CBS.</w:t>
      </w:r>
    </w:p>
    <w:p w:rsidR="003A51DE" w:rsidRPr="003A51DE" w:rsidRDefault="003A51DE" w:rsidP="00C85649">
      <w:pPr>
        <w:pStyle w:val="ListParagraph"/>
        <w:numPr>
          <w:ilvl w:val="1"/>
          <w:numId w:val="1"/>
        </w:numPr>
        <w:tabs>
          <w:tab w:val="clear" w:pos="1571"/>
        </w:tabs>
        <w:ind w:left="1440"/>
        <w:rPr>
          <w:rFonts w:ascii="Arial" w:hAnsi="Arial"/>
          <w:sz w:val="24"/>
        </w:rPr>
      </w:pPr>
      <w:r>
        <w:rPr>
          <w:rFonts w:ascii="Arial" w:hAnsi="Arial"/>
          <w:sz w:val="24"/>
        </w:rPr>
        <w:t>Completed documents should be copied and filed in patient file prior to sending to CBS</w:t>
      </w:r>
    </w:p>
    <w:p w:rsidR="002A6041" w:rsidRPr="00414E71" w:rsidRDefault="002A6041" w:rsidP="00414E71">
      <w:pPr>
        <w:ind w:left="720"/>
        <w:rPr>
          <w:rFonts w:ascii="Arial" w:hAnsi="Arial"/>
          <w:sz w:val="24"/>
        </w:rPr>
      </w:pPr>
    </w:p>
    <w:p w:rsidR="002A6041" w:rsidRPr="00866AA7" w:rsidRDefault="002A6041" w:rsidP="00C85649">
      <w:pPr>
        <w:numPr>
          <w:ilvl w:val="0"/>
          <w:numId w:val="1"/>
        </w:numPr>
        <w:tabs>
          <w:tab w:val="clear" w:pos="990"/>
        </w:tabs>
        <w:ind w:left="720"/>
        <w:rPr>
          <w:rFonts w:ascii="Arial" w:hAnsi="Arial"/>
          <w:b/>
          <w:sz w:val="28"/>
        </w:rPr>
      </w:pPr>
      <w:r>
        <w:rPr>
          <w:rFonts w:ascii="Arial" w:hAnsi="Arial"/>
          <w:b/>
          <w:sz w:val="28"/>
        </w:rPr>
        <w:t>Procedural Notes</w:t>
      </w:r>
      <w:r w:rsidR="003A51DE">
        <w:rPr>
          <w:rFonts w:ascii="Arial" w:hAnsi="Arial"/>
          <w:b/>
          <w:sz w:val="28"/>
        </w:rPr>
        <w:t xml:space="preserve"> – N/A</w:t>
      </w:r>
    </w:p>
    <w:p w:rsidR="002A6041" w:rsidRDefault="002A6041">
      <w:pPr>
        <w:spacing w:line="228" w:lineRule="auto"/>
        <w:ind w:left="720"/>
        <w:rPr>
          <w:rFonts w:ascii="Arial" w:hAnsi="Arial"/>
          <w:sz w:val="24"/>
        </w:rPr>
      </w:pPr>
    </w:p>
    <w:p w:rsidR="00C85649" w:rsidRDefault="002A6041" w:rsidP="003A13D9">
      <w:pPr>
        <w:numPr>
          <w:ilvl w:val="0"/>
          <w:numId w:val="1"/>
        </w:numPr>
        <w:tabs>
          <w:tab w:val="clear" w:pos="990"/>
        </w:tabs>
        <w:spacing w:line="228" w:lineRule="auto"/>
        <w:ind w:left="720"/>
        <w:rPr>
          <w:rFonts w:ascii="Arial" w:hAnsi="Arial"/>
          <w:b/>
          <w:sz w:val="28"/>
        </w:rPr>
      </w:pPr>
      <w:r>
        <w:rPr>
          <w:rFonts w:ascii="Arial" w:hAnsi="Arial"/>
          <w:b/>
          <w:sz w:val="28"/>
        </w:rPr>
        <w:t>References</w:t>
      </w:r>
      <w:r w:rsidR="003A51DE">
        <w:rPr>
          <w:rFonts w:ascii="Arial" w:hAnsi="Arial"/>
          <w:b/>
          <w:sz w:val="28"/>
        </w:rPr>
        <w:t xml:space="preserve"> </w:t>
      </w:r>
    </w:p>
    <w:p w:rsidR="00C85649" w:rsidRDefault="00C85649" w:rsidP="00C85649">
      <w:pPr>
        <w:pStyle w:val="ListParagraph"/>
        <w:rPr>
          <w:rFonts w:ascii="Arial" w:hAnsi="Arial"/>
          <w:sz w:val="24"/>
          <w:szCs w:val="24"/>
        </w:rPr>
      </w:pPr>
    </w:p>
    <w:p w:rsidR="002A6041" w:rsidRPr="00002350" w:rsidRDefault="004A163A" w:rsidP="00C85649">
      <w:pPr>
        <w:numPr>
          <w:ilvl w:val="1"/>
          <w:numId w:val="1"/>
        </w:numPr>
        <w:tabs>
          <w:tab w:val="clear" w:pos="1571"/>
        </w:tabs>
        <w:spacing w:line="228" w:lineRule="auto"/>
        <w:ind w:left="1440"/>
        <w:rPr>
          <w:rFonts w:ascii="Arial" w:hAnsi="Arial"/>
          <w:b/>
          <w:sz w:val="28"/>
        </w:rPr>
      </w:pPr>
      <w:r w:rsidRPr="00C85649">
        <w:rPr>
          <w:rFonts w:ascii="Arial" w:hAnsi="Arial"/>
          <w:sz w:val="24"/>
          <w:szCs w:val="24"/>
        </w:rPr>
        <w:t xml:space="preserve">Clinical Guide to Transfusion online edition </w:t>
      </w:r>
      <w:hyperlink r:id="rId9" w:history="1">
        <w:r w:rsidRPr="00C85649">
          <w:rPr>
            <w:rStyle w:val="Hyperlink"/>
            <w:rFonts w:ascii="Arial" w:hAnsi="Arial"/>
            <w:sz w:val="24"/>
            <w:szCs w:val="24"/>
          </w:rPr>
          <w:t>www.transfusionmedicine.ca</w:t>
        </w:r>
      </w:hyperlink>
      <w:r w:rsidRPr="00C85649">
        <w:rPr>
          <w:rFonts w:ascii="Arial" w:hAnsi="Arial"/>
          <w:sz w:val="24"/>
          <w:szCs w:val="24"/>
        </w:rPr>
        <w:t xml:space="preserve"> Chapter 1 (updated April 2011) : p2</w:t>
      </w:r>
    </w:p>
    <w:p w:rsidR="00770896" w:rsidRPr="00770896" w:rsidRDefault="00770896" w:rsidP="00770896">
      <w:pPr>
        <w:spacing w:line="228" w:lineRule="auto"/>
        <w:ind w:left="1440"/>
        <w:rPr>
          <w:rFonts w:ascii="Arial" w:hAnsi="Arial"/>
          <w:b/>
          <w:sz w:val="28"/>
        </w:rPr>
      </w:pPr>
    </w:p>
    <w:p w:rsidR="00002350" w:rsidRPr="00C85649" w:rsidRDefault="00002350" w:rsidP="00C85649">
      <w:pPr>
        <w:numPr>
          <w:ilvl w:val="1"/>
          <w:numId w:val="1"/>
        </w:numPr>
        <w:tabs>
          <w:tab w:val="clear" w:pos="1571"/>
        </w:tabs>
        <w:spacing w:line="228" w:lineRule="auto"/>
        <w:ind w:left="1440"/>
        <w:rPr>
          <w:rFonts w:ascii="Arial" w:hAnsi="Arial"/>
          <w:b/>
          <w:sz w:val="28"/>
        </w:rPr>
      </w:pPr>
      <w:r>
        <w:rPr>
          <w:rFonts w:ascii="Arial" w:hAnsi="Arial"/>
          <w:sz w:val="24"/>
          <w:szCs w:val="24"/>
        </w:rPr>
        <w:t xml:space="preserve">A Guide to Reporting Adverse Transfusion Events - Reporting Transfusion Transmitted Infections. </w:t>
      </w:r>
      <w:hyperlink r:id="rId10" w:history="1">
        <w:r w:rsidRPr="0077504B">
          <w:rPr>
            <w:rStyle w:val="Hyperlink"/>
            <w:rFonts w:ascii="Arial" w:hAnsi="Arial"/>
            <w:sz w:val="24"/>
            <w:szCs w:val="24"/>
          </w:rPr>
          <w:t>www.transfusionmedicine.ca</w:t>
        </w:r>
      </w:hyperlink>
      <w:r>
        <w:rPr>
          <w:rFonts w:ascii="Arial" w:hAnsi="Arial"/>
          <w:sz w:val="24"/>
          <w:szCs w:val="24"/>
        </w:rPr>
        <w:t xml:space="preserve"> </w:t>
      </w:r>
    </w:p>
    <w:p w:rsidR="00C85649" w:rsidRPr="00C85649" w:rsidRDefault="00C85649" w:rsidP="00C85649">
      <w:pPr>
        <w:spacing w:line="228" w:lineRule="auto"/>
        <w:ind w:left="1440"/>
        <w:rPr>
          <w:rFonts w:ascii="Arial" w:hAnsi="Arial"/>
          <w:b/>
          <w:sz w:val="28"/>
        </w:rPr>
      </w:pPr>
    </w:p>
    <w:p w:rsidR="00C85649" w:rsidRDefault="00C85649" w:rsidP="00C85649">
      <w:pPr>
        <w:numPr>
          <w:ilvl w:val="0"/>
          <w:numId w:val="1"/>
        </w:numPr>
        <w:tabs>
          <w:tab w:val="clear" w:pos="990"/>
        </w:tabs>
        <w:spacing w:line="228" w:lineRule="auto"/>
        <w:ind w:left="720"/>
        <w:rPr>
          <w:rFonts w:ascii="Arial" w:hAnsi="Arial"/>
          <w:b/>
          <w:sz w:val="28"/>
        </w:rPr>
      </w:pPr>
      <w:r>
        <w:rPr>
          <w:rFonts w:ascii="Arial" w:hAnsi="Arial"/>
          <w:b/>
          <w:sz w:val="28"/>
        </w:rPr>
        <w:t>Revision History</w:t>
      </w:r>
    </w:p>
    <w:p w:rsidR="00C85649" w:rsidRDefault="00C85649" w:rsidP="00C85649">
      <w:pPr>
        <w:spacing w:line="228" w:lineRule="auto"/>
        <w:rPr>
          <w:rFonts w:ascii="Arial" w:hAnsi="Arial"/>
          <w:b/>
          <w:sz w:val="28"/>
        </w:rPr>
      </w:pPr>
    </w:p>
    <w:tbl>
      <w:tblPr>
        <w:tblStyle w:val="TableGrid"/>
        <w:tblW w:w="0" w:type="auto"/>
        <w:tblLayout w:type="fixed"/>
        <w:tblLook w:val="04A0" w:firstRow="1" w:lastRow="0" w:firstColumn="1" w:lastColumn="0" w:noHBand="0" w:noVBand="1"/>
      </w:tblPr>
      <w:tblGrid>
        <w:gridCol w:w="2358"/>
        <w:gridCol w:w="6498"/>
      </w:tblGrid>
      <w:tr w:rsidR="00C85649" w:rsidTr="00770896">
        <w:tc>
          <w:tcPr>
            <w:tcW w:w="2358" w:type="dxa"/>
            <w:shd w:val="clear" w:color="auto" w:fill="F2F2F2" w:themeFill="background1" w:themeFillShade="F2"/>
          </w:tcPr>
          <w:p w:rsidR="00C85649" w:rsidRPr="00073CE3" w:rsidRDefault="00C85649" w:rsidP="00073CE3">
            <w:pPr>
              <w:spacing w:line="228" w:lineRule="auto"/>
              <w:jc w:val="center"/>
              <w:rPr>
                <w:rFonts w:ascii="Arial" w:hAnsi="Arial"/>
                <w:b/>
                <w:sz w:val="22"/>
                <w:szCs w:val="22"/>
              </w:rPr>
            </w:pPr>
            <w:r w:rsidRPr="00073CE3">
              <w:rPr>
                <w:rFonts w:ascii="Arial" w:hAnsi="Arial"/>
                <w:b/>
                <w:sz w:val="22"/>
                <w:szCs w:val="22"/>
              </w:rPr>
              <w:t>Revision Date</w:t>
            </w:r>
          </w:p>
        </w:tc>
        <w:tc>
          <w:tcPr>
            <w:tcW w:w="6498" w:type="dxa"/>
            <w:shd w:val="clear" w:color="auto" w:fill="F2F2F2" w:themeFill="background1" w:themeFillShade="F2"/>
          </w:tcPr>
          <w:p w:rsidR="00C85649" w:rsidRPr="00073CE3" w:rsidRDefault="00C85649" w:rsidP="00073CE3">
            <w:pPr>
              <w:spacing w:line="228" w:lineRule="auto"/>
              <w:jc w:val="center"/>
              <w:rPr>
                <w:rFonts w:ascii="Arial" w:hAnsi="Arial"/>
                <w:b/>
                <w:sz w:val="22"/>
                <w:szCs w:val="22"/>
              </w:rPr>
            </w:pPr>
            <w:r w:rsidRPr="00073CE3">
              <w:rPr>
                <w:rFonts w:ascii="Arial" w:hAnsi="Arial"/>
                <w:b/>
                <w:sz w:val="22"/>
                <w:szCs w:val="22"/>
              </w:rPr>
              <w:t>Summary of Revision</w:t>
            </w:r>
          </w:p>
        </w:tc>
      </w:tr>
      <w:tr w:rsidR="00C85649" w:rsidTr="00770896">
        <w:tc>
          <w:tcPr>
            <w:tcW w:w="2358" w:type="dxa"/>
          </w:tcPr>
          <w:p w:rsidR="00C85649" w:rsidRDefault="00073CE3" w:rsidP="00C85649">
            <w:pPr>
              <w:spacing w:line="228" w:lineRule="auto"/>
              <w:rPr>
                <w:rFonts w:ascii="Arial" w:hAnsi="Arial"/>
                <w:sz w:val="22"/>
                <w:szCs w:val="22"/>
              </w:rPr>
            </w:pPr>
            <w:r>
              <w:rPr>
                <w:rFonts w:ascii="Arial" w:hAnsi="Arial"/>
                <w:sz w:val="22"/>
                <w:szCs w:val="22"/>
              </w:rPr>
              <w:t>August 10, 2015</w:t>
            </w:r>
          </w:p>
        </w:tc>
        <w:tc>
          <w:tcPr>
            <w:tcW w:w="6498" w:type="dxa"/>
          </w:tcPr>
          <w:p w:rsidR="00C85649" w:rsidRDefault="00073CE3" w:rsidP="00073CE3">
            <w:pPr>
              <w:pStyle w:val="ListParagraph"/>
              <w:numPr>
                <w:ilvl w:val="0"/>
                <w:numId w:val="26"/>
              </w:numPr>
              <w:spacing w:line="228" w:lineRule="auto"/>
              <w:rPr>
                <w:rFonts w:ascii="Arial" w:hAnsi="Arial"/>
                <w:sz w:val="22"/>
                <w:szCs w:val="22"/>
              </w:rPr>
            </w:pPr>
            <w:r>
              <w:rPr>
                <w:rFonts w:ascii="Arial" w:hAnsi="Arial"/>
                <w:sz w:val="22"/>
                <w:szCs w:val="22"/>
              </w:rPr>
              <w:t>Revised name of manual</w:t>
            </w:r>
          </w:p>
          <w:p w:rsidR="00073CE3" w:rsidRDefault="00D60D81" w:rsidP="00073CE3">
            <w:pPr>
              <w:pStyle w:val="ListParagraph"/>
              <w:numPr>
                <w:ilvl w:val="0"/>
                <w:numId w:val="26"/>
              </w:numPr>
              <w:spacing w:line="228" w:lineRule="auto"/>
              <w:rPr>
                <w:rFonts w:ascii="Arial" w:hAnsi="Arial"/>
                <w:sz w:val="22"/>
                <w:szCs w:val="22"/>
              </w:rPr>
            </w:pPr>
            <w:r>
              <w:rPr>
                <w:rFonts w:ascii="Arial" w:hAnsi="Arial"/>
                <w:sz w:val="22"/>
                <w:szCs w:val="22"/>
              </w:rPr>
              <w:t>Revised section 4.0</w:t>
            </w:r>
          </w:p>
          <w:p w:rsidR="00D60D81" w:rsidRDefault="00D60D81" w:rsidP="00073CE3">
            <w:pPr>
              <w:pStyle w:val="ListParagraph"/>
              <w:numPr>
                <w:ilvl w:val="0"/>
                <w:numId w:val="26"/>
              </w:numPr>
              <w:spacing w:line="228" w:lineRule="auto"/>
              <w:rPr>
                <w:rFonts w:ascii="Arial" w:hAnsi="Arial"/>
                <w:sz w:val="22"/>
                <w:szCs w:val="22"/>
              </w:rPr>
            </w:pPr>
            <w:r>
              <w:rPr>
                <w:rFonts w:ascii="Arial" w:hAnsi="Arial"/>
                <w:sz w:val="22"/>
                <w:szCs w:val="22"/>
              </w:rPr>
              <w:t>Revised and renumbered section 6.0</w:t>
            </w:r>
          </w:p>
          <w:p w:rsidR="00D60D81" w:rsidRPr="00073CE3" w:rsidRDefault="00D60D81" w:rsidP="00073CE3">
            <w:pPr>
              <w:pStyle w:val="ListParagraph"/>
              <w:numPr>
                <w:ilvl w:val="0"/>
                <w:numId w:val="26"/>
              </w:numPr>
              <w:spacing w:line="228" w:lineRule="auto"/>
              <w:rPr>
                <w:rFonts w:ascii="Arial" w:hAnsi="Arial"/>
                <w:sz w:val="22"/>
                <w:szCs w:val="22"/>
              </w:rPr>
            </w:pPr>
            <w:r>
              <w:rPr>
                <w:rFonts w:ascii="Arial" w:hAnsi="Arial"/>
                <w:sz w:val="22"/>
                <w:szCs w:val="22"/>
              </w:rPr>
              <w:t xml:space="preserve">Updated list of references </w:t>
            </w:r>
          </w:p>
        </w:tc>
      </w:tr>
      <w:tr w:rsidR="00002350" w:rsidTr="00770896">
        <w:tc>
          <w:tcPr>
            <w:tcW w:w="2358" w:type="dxa"/>
          </w:tcPr>
          <w:p w:rsidR="00002350" w:rsidRDefault="00002350" w:rsidP="00C85649">
            <w:pPr>
              <w:spacing w:line="228" w:lineRule="auto"/>
              <w:rPr>
                <w:rFonts w:ascii="Arial" w:hAnsi="Arial"/>
                <w:sz w:val="22"/>
                <w:szCs w:val="22"/>
              </w:rPr>
            </w:pPr>
            <w:r>
              <w:rPr>
                <w:rFonts w:ascii="Arial" w:hAnsi="Arial"/>
                <w:sz w:val="22"/>
                <w:szCs w:val="22"/>
              </w:rPr>
              <w:t>April 19, 2016</w:t>
            </w:r>
          </w:p>
        </w:tc>
        <w:tc>
          <w:tcPr>
            <w:tcW w:w="6498" w:type="dxa"/>
          </w:tcPr>
          <w:p w:rsidR="00002350" w:rsidRDefault="00002350" w:rsidP="00002350">
            <w:pPr>
              <w:pStyle w:val="ListParagraph"/>
              <w:numPr>
                <w:ilvl w:val="0"/>
                <w:numId w:val="26"/>
              </w:numPr>
              <w:spacing w:line="228" w:lineRule="auto"/>
              <w:rPr>
                <w:rFonts w:ascii="Arial" w:hAnsi="Arial"/>
                <w:sz w:val="22"/>
                <w:szCs w:val="22"/>
              </w:rPr>
            </w:pPr>
            <w:r>
              <w:rPr>
                <w:rFonts w:ascii="Arial" w:hAnsi="Arial"/>
                <w:sz w:val="22"/>
                <w:szCs w:val="22"/>
              </w:rPr>
              <w:t>Removed reference to old CBS Form F040587 and replaced with link t</w:t>
            </w:r>
            <w:bookmarkStart w:id="0" w:name="_GoBack"/>
            <w:bookmarkEnd w:id="0"/>
            <w:r>
              <w:rPr>
                <w:rFonts w:ascii="Arial" w:hAnsi="Arial"/>
                <w:sz w:val="22"/>
                <w:szCs w:val="22"/>
              </w:rPr>
              <w:t>o new TDN form (</w:t>
            </w:r>
            <w:hyperlink r:id="rId11" w:history="1">
              <w:r w:rsidRPr="0077504B">
                <w:rPr>
                  <w:rStyle w:val="Hyperlink"/>
                  <w:rFonts w:ascii="Arial" w:hAnsi="Arial"/>
                  <w:sz w:val="22"/>
                  <w:szCs w:val="22"/>
                </w:rPr>
                <w:t>http://www.transfusionmedicine.ca/sites/transfusionmedicine/files/articles/TDN_Notification_form_Oct2014.pdf</w:t>
              </w:r>
            </w:hyperlink>
            <w:r>
              <w:rPr>
                <w:rFonts w:ascii="Arial" w:hAnsi="Arial"/>
                <w:sz w:val="22"/>
                <w:szCs w:val="22"/>
              </w:rPr>
              <w:t xml:space="preserve"> )</w:t>
            </w:r>
          </w:p>
        </w:tc>
      </w:tr>
    </w:tbl>
    <w:p w:rsidR="00C85649" w:rsidRPr="00C85649" w:rsidRDefault="00C85649" w:rsidP="00C85649">
      <w:pPr>
        <w:spacing w:line="228" w:lineRule="auto"/>
        <w:rPr>
          <w:rFonts w:ascii="Arial" w:hAnsi="Arial"/>
          <w:sz w:val="22"/>
          <w:szCs w:val="22"/>
        </w:rPr>
      </w:pPr>
    </w:p>
    <w:p w:rsidR="002A6041" w:rsidRDefault="002A6041">
      <w:pPr>
        <w:tabs>
          <w:tab w:val="left" w:pos="3051"/>
        </w:tabs>
        <w:rPr>
          <w:rFonts w:ascii="Arial" w:hAnsi="Arial"/>
          <w:sz w:val="24"/>
        </w:rPr>
      </w:pPr>
    </w:p>
    <w:sectPr w:rsidR="002A6041" w:rsidSect="005F6B50">
      <w:headerReference w:type="default" r:id="rId12"/>
      <w:footerReference w:type="default" r:id="rId13"/>
      <w:headerReference w:type="first" r:id="rId14"/>
      <w:footerReference w:type="first" r:id="rId15"/>
      <w:pgSz w:w="12240" w:h="15840" w:code="1"/>
      <w:pgMar w:top="1166" w:right="1800" w:bottom="662" w:left="1800" w:header="720" w:footer="28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3E4" w:rsidRDefault="00F953E4">
      <w:r>
        <w:separator/>
      </w:r>
    </w:p>
  </w:endnote>
  <w:endnote w:type="continuationSeparator" w:id="0">
    <w:p w:rsidR="00F953E4" w:rsidRDefault="00F9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tblBorders>
      <w:tblLayout w:type="fixed"/>
      <w:tblLook w:val="0000" w:firstRow="0" w:lastRow="0" w:firstColumn="0" w:lastColumn="0" w:noHBand="0" w:noVBand="0"/>
    </w:tblPr>
    <w:tblGrid>
      <w:gridCol w:w="1368"/>
      <w:gridCol w:w="5976"/>
      <w:gridCol w:w="1494"/>
    </w:tblGrid>
    <w:tr w:rsidR="00C75D7A" w:rsidTr="00721A43">
      <w:trPr>
        <w:trHeight w:val="720"/>
        <w:jc w:val="center"/>
      </w:trPr>
      <w:tc>
        <w:tcPr>
          <w:tcW w:w="1368" w:type="dxa"/>
        </w:tcPr>
        <w:p w:rsidR="00C75D7A" w:rsidRDefault="00C75D7A" w:rsidP="00721A43">
          <w:pPr>
            <w:pStyle w:val="Footer"/>
            <w:jc w:val="center"/>
            <w:rPr>
              <w:rFonts w:ascii="Verdana" w:hAnsi="Verdana"/>
              <w:sz w:val="8"/>
            </w:rPr>
          </w:pPr>
        </w:p>
        <w:p w:rsidR="00C75D7A" w:rsidRDefault="005F6B50" w:rsidP="00721A43">
          <w:pPr>
            <w:pStyle w:val="Footer"/>
            <w:jc w:val="center"/>
            <w:rPr>
              <w:rFonts w:ascii="Verdana" w:hAnsi="Verdana"/>
              <w:sz w:val="8"/>
            </w:rPr>
          </w:pPr>
          <w:r>
            <w:rPr>
              <w:rFonts w:ascii="Verdana" w:hAnsi="Verdana"/>
              <w:noProof/>
              <w:sz w:val="8"/>
              <w:lang w:val="en-CA" w:eastAsia="en-CA"/>
            </w:rPr>
            <w:drawing>
              <wp:inline distT="0" distB="0" distL="0" distR="0" wp14:anchorId="55C0B23F" wp14:editId="5C830CDA">
                <wp:extent cx="731520" cy="4591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CoN Logo Map_EN.png"/>
                        <pic:cNvPicPr/>
                      </pic:nvPicPr>
                      <pic:blipFill>
                        <a:blip r:embed="rId1">
                          <a:extLst>
                            <a:ext uri="{28A0092B-C50C-407E-A947-70E740481C1C}">
                              <a14:useLocalDpi xmlns:a14="http://schemas.microsoft.com/office/drawing/2010/main" val="0"/>
                            </a:ext>
                          </a:extLst>
                        </a:blip>
                        <a:stretch>
                          <a:fillRect/>
                        </a:stretch>
                      </pic:blipFill>
                      <pic:spPr>
                        <a:xfrm>
                          <a:off x="0" y="0"/>
                          <a:ext cx="731520" cy="459105"/>
                        </a:xfrm>
                        <a:prstGeom prst="rect">
                          <a:avLst/>
                        </a:prstGeom>
                      </pic:spPr>
                    </pic:pic>
                  </a:graphicData>
                </a:graphic>
              </wp:inline>
            </w:drawing>
          </w:r>
        </w:p>
      </w:tc>
      <w:tc>
        <w:tcPr>
          <w:tcW w:w="5976" w:type="dxa"/>
        </w:tcPr>
        <w:p w:rsidR="00C75D7A" w:rsidRDefault="00C75D7A" w:rsidP="00721A43">
          <w:pPr>
            <w:pStyle w:val="Footer"/>
            <w:jc w:val="center"/>
            <w:rPr>
              <w:rFonts w:ascii="Arial" w:hAnsi="Arial"/>
              <w:sz w:val="18"/>
            </w:rPr>
          </w:pPr>
        </w:p>
        <w:p w:rsidR="00C75D7A" w:rsidRDefault="00C75D7A" w:rsidP="00721A43">
          <w:pPr>
            <w:pStyle w:val="Footer"/>
            <w:jc w:val="center"/>
            <w:rPr>
              <w:rFonts w:ascii="Arial" w:hAnsi="Arial"/>
              <w:sz w:val="18"/>
            </w:rPr>
          </w:pPr>
          <w:r>
            <w:rPr>
              <w:rFonts w:ascii="Arial" w:hAnsi="Arial"/>
              <w:sz w:val="18"/>
            </w:rPr>
            <w:t>Ontario Regional Blood Coordinating Network</w:t>
          </w:r>
        </w:p>
        <w:p w:rsidR="00C75D7A" w:rsidRDefault="004A163A" w:rsidP="00721A43">
          <w:pPr>
            <w:pStyle w:val="Footer"/>
            <w:jc w:val="center"/>
            <w:rPr>
              <w:rFonts w:ascii="Arial" w:hAnsi="Arial"/>
              <w:sz w:val="18"/>
            </w:rPr>
          </w:pPr>
          <w:r>
            <w:rPr>
              <w:rFonts w:ascii="Arial" w:hAnsi="Arial"/>
              <w:sz w:val="18"/>
            </w:rPr>
            <w:t>Transfusion Technical Resource</w:t>
          </w:r>
          <w:r w:rsidR="00C75D7A">
            <w:rPr>
              <w:rFonts w:ascii="Arial" w:hAnsi="Arial"/>
              <w:sz w:val="18"/>
            </w:rPr>
            <w:t xml:space="preserve"> Manual</w:t>
          </w:r>
        </w:p>
        <w:p w:rsidR="00C75D7A" w:rsidRDefault="00C75D7A" w:rsidP="00721A43">
          <w:pPr>
            <w:pStyle w:val="Footer"/>
            <w:jc w:val="center"/>
            <w:rPr>
              <w:rFonts w:ascii="Arial" w:hAnsi="Arial"/>
              <w:sz w:val="18"/>
            </w:rPr>
          </w:pPr>
        </w:p>
      </w:tc>
      <w:tc>
        <w:tcPr>
          <w:tcW w:w="1494" w:type="dxa"/>
        </w:tcPr>
        <w:p w:rsidR="00C75D7A" w:rsidRDefault="00C75D7A" w:rsidP="00721A43">
          <w:pPr>
            <w:pStyle w:val="Footer"/>
            <w:jc w:val="center"/>
            <w:rPr>
              <w:rFonts w:ascii="Arial" w:hAnsi="Arial"/>
              <w:sz w:val="18"/>
            </w:rPr>
          </w:pPr>
        </w:p>
        <w:p w:rsidR="00C75D7A" w:rsidRDefault="003A51DE" w:rsidP="00721A43">
          <w:pPr>
            <w:pStyle w:val="Footer"/>
            <w:jc w:val="center"/>
            <w:rPr>
              <w:rFonts w:ascii="Arial" w:hAnsi="Arial"/>
              <w:sz w:val="18"/>
            </w:rPr>
          </w:pPr>
          <w:r>
            <w:rPr>
              <w:rFonts w:ascii="Arial" w:hAnsi="Arial"/>
              <w:sz w:val="18"/>
            </w:rPr>
            <w:t>A</w:t>
          </w:r>
          <w:r w:rsidR="004A163A">
            <w:rPr>
              <w:rFonts w:ascii="Arial" w:hAnsi="Arial"/>
              <w:sz w:val="18"/>
            </w:rPr>
            <w:t>DM</w:t>
          </w:r>
          <w:r>
            <w:rPr>
              <w:rFonts w:ascii="Arial" w:hAnsi="Arial"/>
              <w:sz w:val="18"/>
            </w:rPr>
            <w:t>.003</w:t>
          </w:r>
          <w:r w:rsidR="00C75D7A">
            <w:rPr>
              <w:rFonts w:ascii="Arial" w:hAnsi="Arial"/>
              <w:sz w:val="18"/>
            </w:rPr>
            <w:br/>
          </w:r>
        </w:p>
        <w:p w:rsidR="00C75D7A" w:rsidRDefault="00C75D7A" w:rsidP="00721A43">
          <w:pPr>
            <w:pStyle w:val="Footer"/>
            <w:jc w:val="center"/>
            <w:rPr>
              <w:rFonts w:ascii="Arial" w:hAnsi="Arial"/>
              <w:sz w:val="18"/>
            </w:rPr>
          </w:pPr>
          <w:r>
            <w:rPr>
              <w:rFonts w:ascii="Arial" w:hAnsi="Arial"/>
              <w:sz w:val="18"/>
            </w:rPr>
            <w:t xml:space="preserve">Page </w:t>
          </w:r>
          <w:r w:rsidR="000F5534">
            <w:rPr>
              <w:rFonts w:ascii="Arial" w:hAnsi="Arial"/>
              <w:sz w:val="18"/>
            </w:rPr>
            <w:fldChar w:fldCharType="begin"/>
          </w:r>
          <w:r>
            <w:rPr>
              <w:rFonts w:ascii="Arial" w:hAnsi="Arial"/>
              <w:sz w:val="18"/>
            </w:rPr>
            <w:instrText xml:space="preserve"> PAGE </w:instrText>
          </w:r>
          <w:r w:rsidR="000F5534">
            <w:rPr>
              <w:rFonts w:ascii="Arial" w:hAnsi="Arial"/>
              <w:sz w:val="18"/>
            </w:rPr>
            <w:fldChar w:fldCharType="separate"/>
          </w:r>
          <w:r w:rsidR="00770896">
            <w:rPr>
              <w:rFonts w:ascii="Arial" w:hAnsi="Arial"/>
              <w:noProof/>
              <w:sz w:val="18"/>
            </w:rPr>
            <w:t>5</w:t>
          </w:r>
          <w:r w:rsidR="000F5534">
            <w:rPr>
              <w:rFonts w:ascii="Arial" w:hAnsi="Arial"/>
              <w:sz w:val="18"/>
            </w:rPr>
            <w:fldChar w:fldCharType="end"/>
          </w:r>
          <w:r>
            <w:rPr>
              <w:rFonts w:ascii="Arial" w:hAnsi="Arial"/>
              <w:sz w:val="18"/>
            </w:rPr>
            <w:t xml:space="preserve"> of </w:t>
          </w:r>
          <w:r w:rsidR="000F5534">
            <w:rPr>
              <w:rFonts w:ascii="Arial" w:hAnsi="Arial"/>
              <w:sz w:val="18"/>
            </w:rPr>
            <w:fldChar w:fldCharType="begin"/>
          </w:r>
          <w:r>
            <w:rPr>
              <w:rFonts w:ascii="Arial" w:hAnsi="Arial"/>
              <w:sz w:val="18"/>
            </w:rPr>
            <w:instrText xml:space="preserve"> NUMPAGES </w:instrText>
          </w:r>
          <w:r w:rsidR="000F5534">
            <w:rPr>
              <w:rFonts w:ascii="Arial" w:hAnsi="Arial"/>
              <w:sz w:val="18"/>
            </w:rPr>
            <w:fldChar w:fldCharType="separate"/>
          </w:r>
          <w:r w:rsidR="00770896">
            <w:rPr>
              <w:rFonts w:ascii="Arial" w:hAnsi="Arial"/>
              <w:noProof/>
              <w:sz w:val="18"/>
            </w:rPr>
            <w:t>5</w:t>
          </w:r>
          <w:r w:rsidR="000F5534">
            <w:rPr>
              <w:rFonts w:ascii="Arial" w:hAnsi="Arial"/>
              <w:sz w:val="18"/>
            </w:rPr>
            <w:fldChar w:fldCharType="end"/>
          </w:r>
        </w:p>
      </w:tc>
    </w:tr>
  </w:tbl>
  <w:p w:rsidR="00C75D7A" w:rsidRDefault="00C75D7A" w:rsidP="00721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tblBorders>
      <w:tblLayout w:type="fixed"/>
      <w:tblLook w:val="0000" w:firstRow="0" w:lastRow="0" w:firstColumn="0" w:lastColumn="0" w:noHBand="0" w:noVBand="0"/>
    </w:tblPr>
    <w:tblGrid>
      <w:gridCol w:w="1368"/>
      <w:gridCol w:w="5976"/>
      <w:gridCol w:w="1494"/>
    </w:tblGrid>
    <w:tr w:rsidR="00C75D7A" w:rsidTr="00721A43">
      <w:trPr>
        <w:trHeight w:val="720"/>
        <w:jc w:val="center"/>
      </w:trPr>
      <w:tc>
        <w:tcPr>
          <w:tcW w:w="1368" w:type="dxa"/>
        </w:tcPr>
        <w:p w:rsidR="00C75D7A" w:rsidRDefault="005F6B50">
          <w:pPr>
            <w:pStyle w:val="Footer"/>
            <w:jc w:val="center"/>
            <w:rPr>
              <w:rFonts w:ascii="Verdana" w:hAnsi="Verdana"/>
              <w:sz w:val="8"/>
            </w:rPr>
          </w:pPr>
          <w:r>
            <w:rPr>
              <w:rFonts w:ascii="Verdana" w:hAnsi="Verdana"/>
              <w:noProof/>
              <w:sz w:val="8"/>
              <w:lang w:val="en-CA" w:eastAsia="en-CA"/>
            </w:rPr>
            <w:drawing>
              <wp:inline distT="0" distB="0" distL="0" distR="0" wp14:anchorId="113303BC" wp14:editId="6D22F69F">
                <wp:extent cx="731520" cy="4591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CoN Logo Map_EN.png"/>
                        <pic:cNvPicPr/>
                      </pic:nvPicPr>
                      <pic:blipFill>
                        <a:blip r:embed="rId1">
                          <a:extLst>
                            <a:ext uri="{28A0092B-C50C-407E-A947-70E740481C1C}">
                              <a14:useLocalDpi xmlns:a14="http://schemas.microsoft.com/office/drawing/2010/main" val="0"/>
                            </a:ext>
                          </a:extLst>
                        </a:blip>
                        <a:stretch>
                          <a:fillRect/>
                        </a:stretch>
                      </pic:blipFill>
                      <pic:spPr>
                        <a:xfrm>
                          <a:off x="0" y="0"/>
                          <a:ext cx="731520" cy="459105"/>
                        </a:xfrm>
                        <a:prstGeom prst="rect">
                          <a:avLst/>
                        </a:prstGeom>
                      </pic:spPr>
                    </pic:pic>
                  </a:graphicData>
                </a:graphic>
              </wp:inline>
            </w:drawing>
          </w:r>
        </w:p>
        <w:p w:rsidR="00C75D7A" w:rsidRDefault="00C75D7A">
          <w:pPr>
            <w:pStyle w:val="Footer"/>
            <w:jc w:val="center"/>
            <w:rPr>
              <w:rFonts w:ascii="Verdana" w:hAnsi="Verdana"/>
              <w:sz w:val="8"/>
            </w:rPr>
          </w:pPr>
        </w:p>
      </w:tc>
      <w:tc>
        <w:tcPr>
          <w:tcW w:w="5976" w:type="dxa"/>
        </w:tcPr>
        <w:p w:rsidR="00C75D7A" w:rsidRDefault="00C75D7A">
          <w:pPr>
            <w:pStyle w:val="Footer"/>
            <w:jc w:val="center"/>
            <w:rPr>
              <w:rFonts w:ascii="Arial" w:hAnsi="Arial"/>
              <w:sz w:val="18"/>
            </w:rPr>
          </w:pPr>
        </w:p>
        <w:p w:rsidR="00C75D7A" w:rsidRDefault="00C75D7A">
          <w:pPr>
            <w:pStyle w:val="Footer"/>
            <w:jc w:val="center"/>
            <w:rPr>
              <w:rFonts w:ascii="Arial" w:hAnsi="Arial"/>
              <w:sz w:val="18"/>
            </w:rPr>
          </w:pPr>
          <w:r>
            <w:rPr>
              <w:rFonts w:ascii="Arial" w:hAnsi="Arial"/>
              <w:sz w:val="18"/>
            </w:rPr>
            <w:t>Ontario Regional Blood Coordinating Network</w:t>
          </w:r>
        </w:p>
        <w:p w:rsidR="00C75D7A" w:rsidRDefault="004A163A">
          <w:pPr>
            <w:pStyle w:val="Footer"/>
            <w:jc w:val="center"/>
            <w:rPr>
              <w:rFonts w:ascii="Arial" w:hAnsi="Arial"/>
              <w:sz w:val="18"/>
            </w:rPr>
          </w:pPr>
          <w:r>
            <w:rPr>
              <w:rFonts w:ascii="Arial" w:hAnsi="Arial"/>
              <w:sz w:val="18"/>
            </w:rPr>
            <w:t>Transfusion Technical Resource</w:t>
          </w:r>
          <w:r w:rsidR="00C75D7A">
            <w:rPr>
              <w:rFonts w:ascii="Arial" w:hAnsi="Arial"/>
              <w:sz w:val="18"/>
            </w:rPr>
            <w:t xml:space="preserve"> Manual</w:t>
          </w:r>
        </w:p>
        <w:p w:rsidR="00C75D7A" w:rsidRDefault="00C75D7A">
          <w:pPr>
            <w:pStyle w:val="Footer"/>
            <w:jc w:val="center"/>
            <w:rPr>
              <w:rFonts w:ascii="Arial" w:hAnsi="Arial"/>
              <w:sz w:val="18"/>
            </w:rPr>
          </w:pPr>
        </w:p>
      </w:tc>
      <w:tc>
        <w:tcPr>
          <w:tcW w:w="1494" w:type="dxa"/>
        </w:tcPr>
        <w:p w:rsidR="00C75D7A" w:rsidRDefault="00C75D7A">
          <w:pPr>
            <w:pStyle w:val="Footer"/>
            <w:jc w:val="right"/>
            <w:rPr>
              <w:rFonts w:ascii="Arial" w:hAnsi="Arial"/>
              <w:sz w:val="18"/>
            </w:rPr>
          </w:pPr>
        </w:p>
        <w:p w:rsidR="00C75D7A" w:rsidRDefault="00D86621">
          <w:pPr>
            <w:pStyle w:val="Footer"/>
            <w:jc w:val="right"/>
            <w:rPr>
              <w:rFonts w:ascii="Arial" w:hAnsi="Arial"/>
              <w:sz w:val="18"/>
            </w:rPr>
          </w:pPr>
          <w:r>
            <w:rPr>
              <w:rFonts w:ascii="Arial" w:hAnsi="Arial"/>
              <w:sz w:val="18"/>
            </w:rPr>
            <w:t>A</w:t>
          </w:r>
          <w:r w:rsidR="004A163A">
            <w:rPr>
              <w:rFonts w:ascii="Arial" w:hAnsi="Arial"/>
              <w:sz w:val="18"/>
            </w:rPr>
            <w:t>DM</w:t>
          </w:r>
          <w:r>
            <w:rPr>
              <w:rFonts w:ascii="Arial" w:hAnsi="Arial"/>
              <w:sz w:val="18"/>
            </w:rPr>
            <w:t>.003</w:t>
          </w:r>
          <w:r w:rsidR="00C75D7A">
            <w:rPr>
              <w:rFonts w:ascii="Arial" w:hAnsi="Arial"/>
              <w:sz w:val="18"/>
            </w:rPr>
            <w:br/>
          </w:r>
        </w:p>
        <w:p w:rsidR="00C75D7A" w:rsidRDefault="00C75D7A">
          <w:pPr>
            <w:pStyle w:val="Footer"/>
            <w:jc w:val="right"/>
            <w:rPr>
              <w:rFonts w:ascii="Arial" w:hAnsi="Arial"/>
              <w:sz w:val="18"/>
            </w:rPr>
          </w:pPr>
          <w:r>
            <w:rPr>
              <w:rFonts w:ascii="Arial" w:hAnsi="Arial"/>
              <w:sz w:val="18"/>
            </w:rPr>
            <w:t xml:space="preserve">Page </w:t>
          </w:r>
          <w:r w:rsidR="000F5534">
            <w:rPr>
              <w:rFonts w:ascii="Arial" w:hAnsi="Arial"/>
              <w:sz w:val="18"/>
            </w:rPr>
            <w:fldChar w:fldCharType="begin"/>
          </w:r>
          <w:r>
            <w:rPr>
              <w:rFonts w:ascii="Arial" w:hAnsi="Arial"/>
              <w:sz w:val="18"/>
            </w:rPr>
            <w:instrText xml:space="preserve"> PAGE </w:instrText>
          </w:r>
          <w:r w:rsidR="000F5534">
            <w:rPr>
              <w:rFonts w:ascii="Arial" w:hAnsi="Arial"/>
              <w:sz w:val="18"/>
            </w:rPr>
            <w:fldChar w:fldCharType="separate"/>
          </w:r>
          <w:r w:rsidR="00770896">
            <w:rPr>
              <w:rFonts w:ascii="Arial" w:hAnsi="Arial"/>
              <w:noProof/>
              <w:sz w:val="18"/>
            </w:rPr>
            <w:t>1</w:t>
          </w:r>
          <w:r w:rsidR="000F5534">
            <w:rPr>
              <w:rFonts w:ascii="Arial" w:hAnsi="Arial"/>
              <w:sz w:val="18"/>
            </w:rPr>
            <w:fldChar w:fldCharType="end"/>
          </w:r>
          <w:r>
            <w:rPr>
              <w:rFonts w:ascii="Arial" w:hAnsi="Arial"/>
              <w:sz w:val="18"/>
            </w:rPr>
            <w:t xml:space="preserve"> of </w:t>
          </w:r>
          <w:r w:rsidR="000F5534">
            <w:rPr>
              <w:rFonts w:ascii="Arial" w:hAnsi="Arial"/>
              <w:sz w:val="18"/>
            </w:rPr>
            <w:fldChar w:fldCharType="begin"/>
          </w:r>
          <w:r>
            <w:rPr>
              <w:rFonts w:ascii="Arial" w:hAnsi="Arial"/>
              <w:sz w:val="18"/>
            </w:rPr>
            <w:instrText xml:space="preserve"> NUMPAGES </w:instrText>
          </w:r>
          <w:r w:rsidR="000F5534">
            <w:rPr>
              <w:rFonts w:ascii="Arial" w:hAnsi="Arial"/>
              <w:sz w:val="18"/>
            </w:rPr>
            <w:fldChar w:fldCharType="separate"/>
          </w:r>
          <w:r w:rsidR="00770896">
            <w:rPr>
              <w:rFonts w:ascii="Arial" w:hAnsi="Arial"/>
              <w:noProof/>
              <w:sz w:val="18"/>
            </w:rPr>
            <w:t>5</w:t>
          </w:r>
          <w:r w:rsidR="000F5534">
            <w:rPr>
              <w:rFonts w:ascii="Arial" w:hAnsi="Arial"/>
              <w:sz w:val="18"/>
            </w:rPr>
            <w:fldChar w:fldCharType="end"/>
          </w:r>
        </w:p>
      </w:tc>
    </w:tr>
  </w:tbl>
  <w:p w:rsidR="00C75D7A" w:rsidRDefault="00C75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3E4" w:rsidRDefault="00F953E4">
      <w:r>
        <w:separator/>
      </w:r>
    </w:p>
  </w:footnote>
  <w:footnote w:type="continuationSeparator" w:id="0">
    <w:p w:rsidR="00F953E4" w:rsidRDefault="00F95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7A" w:rsidRDefault="00D86621">
    <w:pPr>
      <w:pStyle w:val="Header"/>
      <w:jc w:val="center"/>
      <w:rPr>
        <w:rFonts w:ascii="Arial" w:hAnsi="Arial"/>
        <w:b/>
        <w:sz w:val="28"/>
      </w:rPr>
    </w:pPr>
    <w:r>
      <w:rPr>
        <w:rFonts w:ascii="Arial" w:hAnsi="Arial"/>
        <w:b/>
        <w:sz w:val="28"/>
      </w:rPr>
      <w:t>Lookback/Traceback Process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7A" w:rsidRDefault="003A13D9">
    <w:pPr>
      <w:pStyle w:val="Header"/>
      <w:tabs>
        <w:tab w:val="clear" w:pos="8640"/>
        <w:tab w:val="left" w:pos="5057"/>
      </w:tabs>
    </w:pPr>
    <w:r>
      <w:rPr>
        <w:noProof/>
        <w:lang w:val="en-CA" w:eastAsia="en-CA"/>
      </w:rPr>
      <w:drawing>
        <wp:inline distT="0" distB="0" distL="0" distR="0" wp14:anchorId="37E12364" wp14:editId="5317842D">
          <wp:extent cx="1161288" cy="467633"/>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CoN Logo_EN.JPG"/>
                  <pic:cNvPicPr/>
                </pic:nvPicPr>
                <pic:blipFill>
                  <a:blip r:embed="rId1">
                    <a:extLst>
                      <a:ext uri="{28A0092B-C50C-407E-A947-70E740481C1C}">
                        <a14:useLocalDpi xmlns:a14="http://schemas.microsoft.com/office/drawing/2010/main" val="0"/>
                      </a:ext>
                    </a:extLst>
                  </a:blip>
                  <a:stretch>
                    <a:fillRect/>
                  </a:stretch>
                </pic:blipFill>
                <pic:spPr>
                  <a:xfrm>
                    <a:off x="0" y="0"/>
                    <a:ext cx="1161288" cy="467633"/>
                  </a:xfrm>
                  <a:prstGeom prst="rect">
                    <a:avLst/>
                  </a:prstGeom>
                </pic:spPr>
              </pic:pic>
            </a:graphicData>
          </a:graphic>
        </wp:inline>
      </w:drawing>
    </w:r>
  </w:p>
  <w:p w:rsidR="003A13D9" w:rsidRPr="005F6B50" w:rsidRDefault="003A13D9" w:rsidP="003A13D9">
    <w:pPr>
      <w:pStyle w:val="Header"/>
      <w:tabs>
        <w:tab w:val="clear" w:pos="8640"/>
        <w:tab w:val="left" w:pos="5057"/>
      </w:tabs>
      <w:jc w:val="center"/>
      <w:rPr>
        <w:rFonts w:ascii="Arial" w:hAnsi="Arial" w:cs="Arial"/>
        <w:b/>
        <w:sz w:val="24"/>
        <w:szCs w:val="24"/>
      </w:rPr>
    </w:pPr>
    <w:r w:rsidRPr="005F6B50">
      <w:rPr>
        <w:rFonts w:ascii="Arial" w:hAnsi="Arial" w:cs="Arial"/>
        <w:b/>
        <w:sz w:val="24"/>
        <w:szCs w:val="24"/>
      </w:rPr>
      <w:t>Ontario Regional Blood Coordinating Network</w:t>
    </w:r>
  </w:p>
  <w:p w:rsidR="003A13D9" w:rsidRPr="005F6B50" w:rsidRDefault="003A13D9" w:rsidP="003A13D9">
    <w:pPr>
      <w:pStyle w:val="Header"/>
      <w:tabs>
        <w:tab w:val="clear" w:pos="8640"/>
        <w:tab w:val="left" w:pos="5057"/>
      </w:tabs>
      <w:jc w:val="center"/>
      <w:rPr>
        <w:rFonts w:ascii="Arial" w:hAnsi="Arial" w:cs="Arial"/>
        <w:b/>
        <w:sz w:val="24"/>
        <w:szCs w:val="24"/>
      </w:rPr>
    </w:pPr>
    <w:r w:rsidRPr="005F6B50">
      <w:rPr>
        <w:rFonts w:ascii="Arial" w:hAnsi="Arial" w:cs="Arial"/>
        <w:b/>
        <w:sz w:val="24"/>
        <w:szCs w:val="24"/>
      </w:rPr>
      <w:t>Transfusion Technical Resource Manual</w:t>
    </w:r>
  </w:p>
  <w:p w:rsidR="00593CB6" w:rsidRPr="00593CB6" w:rsidRDefault="00593CB6" w:rsidP="003A13D9">
    <w:pPr>
      <w:pStyle w:val="Header"/>
      <w:tabs>
        <w:tab w:val="clear" w:pos="8640"/>
        <w:tab w:val="left" w:pos="5057"/>
      </w:tabs>
      <w:jc w:val="center"/>
      <w:rPr>
        <w:rFonts w:ascii="Arial" w:hAnsi="Arial" w:cs="Arial"/>
        <w:b/>
        <w:sz w:val="22"/>
        <w:szCs w:val="24"/>
      </w:rPr>
    </w:pPr>
  </w:p>
  <w:p w:rsidR="00C75D7A" w:rsidRDefault="00D86621" w:rsidP="003A13D9">
    <w:pPr>
      <w:pStyle w:val="Header"/>
      <w:tabs>
        <w:tab w:val="left" w:pos="6617"/>
      </w:tabs>
      <w:spacing w:after="60"/>
      <w:jc w:val="center"/>
      <w:rPr>
        <w:rFonts w:ascii="Arial" w:hAnsi="Arial"/>
        <w:b/>
        <w:sz w:val="28"/>
      </w:rPr>
    </w:pPr>
    <w:r>
      <w:rPr>
        <w:rFonts w:ascii="Arial" w:hAnsi="Arial"/>
        <w:b/>
        <w:sz w:val="28"/>
      </w:rPr>
      <w:t>Lookback/ Traceback Process</w:t>
    </w:r>
  </w:p>
  <w:p w:rsidR="00C75D7A" w:rsidRDefault="003A13D9">
    <w:pPr>
      <w:pStyle w:val="Header"/>
      <w:tabs>
        <w:tab w:val="left" w:pos="6617"/>
      </w:tabs>
      <w:jc w:val="center"/>
      <w:rPr>
        <w:rFonts w:ascii="Arial" w:hAnsi="Arial" w:cs="Arial"/>
        <w:b/>
        <w:bCs/>
      </w:rPr>
    </w:pPr>
    <w:r>
      <w:rPr>
        <w:rFonts w:ascii="Arial" w:hAnsi="Arial" w:cs="Arial"/>
        <w:noProof/>
        <w:lang w:val="en-CA" w:eastAsia="en-CA"/>
      </w:rPr>
      <mc:AlternateContent>
        <mc:Choice Requires="wps">
          <w:drawing>
            <wp:anchor distT="0" distB="0" distL="114300" distR="114300" simplePos="0" relativeHeight="251657216" behindDoc="0" locked="0" layoutInCell="1" allowOverlap="1" wp14:anchorId="48368BD0" wp14:editId="6F9E7FC1">
              <wp:simplePos x="0" y="0"/>
              <wp:positionH relativeFrom="column">
                <wp:align>center</wp:align>
              </wp:positionH>
              <wp:positionV relativeFrom="paragraph">
                <wp:posOffset>33020</wp:posOffset>
              </wp:positionV>
              <wp:extent cx="5605272" cy="0"/>
              <wp:effectExtent l="0" t="0" r="1460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52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6pt" to="441.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Mw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"/>
          </w:pict>
        </mc:Fallback>
      </mc:AlternateContent>
    </w:r>
    <w:r w:rsidR="00C75D7A">
      <w:rPr>
        <w:rFonts w:ascii="Arial" w:hAnsi="Arial" w:cs="Arial"/>
        <w:b/>
        <w:bCs/>
      </w:rPr>
      <w:tab/>
    </w:r>
  </w:p>
  <w:tbl>
    <w:tblPr>
      <w:tblW w:w="0" w:type="auto"/>
      <w:jc w:val="center"/>
      <w:tblLook w:val="0000" w:firstRow="0" w:lastRow="0" w:firstColumn="0" w:lastColumn="0" w:noHBand="0" w:noVBand="0"/>
    </w:tblPr>
    <w:tblGrid>
      <w:gridCol w:w="4428"/>
      <w:gridCol w:w="4428"/>
    </w:tblGrid>
    <w:tr w:rsidR="00C75D7A" w:rsidTr="003A13D9">
      <w:trPr>
        <w:jc w:val="center"/>
      </w:trPr>
      <w:tc>
        <w:tcPr>
          <w:tcW w:w="4428" w:type="dxa"/>
        </w:tcPr>
        <w:p w:rsidR="00C75D7A" w:rsidRDefault="00C75D7A" w:rsidP="000447C6">
          <w:pPr>
            <w:pStyle w:val="Header"/>
            <w:rPr>
              <w:rFonts w:ascii="Arial" w:hAnsi="Arial" w:cs="Arial"/>
            </w:rPr>
          </w:pPr>
          <w:r>
            <w:rPr>
              <w:rFonts w:ascii="Arial" w:hAnsi="Arial" w:cs="Arial"/>
            </w:rPr>
            <w:t xml:space="preserve">Approved By:  </w:t>
          </w:r>
        </w:p>
      </w:tc>
      <w:tc>
        <w:tcPr>
          <w:tcW w:w="4428" w:type="dxa"/>
        </w:tcPr>
        <w:p w:rsidR="00C75D7A" w:rsidRDefault="00C75D7A" w:rsidP="00414E71">
          <w:pPr>
            <w:pStyle w:val="Header"/>
            <w:rPr>
              <w:rFonts w:ascii="Arial" w:hAnsi="Arial" w:cs="Arial"/>
            </w:rPr>
          </w:pPr>
          <w:r>
            <w:rPr>
              <w:rFonts w:ascii="Arial" w:hAnsi="Arial" w:cs="Arial"/>
            </w:rPr>
            <w:t xml:space="preserve">Document No: </w:t>
          </w:r>
          <w:r w:rsidR="00D86621">
            <w:rPr>
              <w:rFonts w:ascii="Arial" w:hAnsi="Arial" w:cs="Arial"/>
            </w:rPr>
            <w:t>A</w:t>
          </w:r>
          <w:r w:rsidR="004A163A">
            <w:rPr>
              <w:rFonts w:ascii="Arial" w:hAnsi="Arial" w:cs="Arial"/>
            </w:rPr>
            <w:t>DM</w:t>
          </w:r>
          <w:r w:rsidR="00D86621">
            <w:rPr>
              <w:rFonts w:ascii="Arial" w:hAnsi="Arial" w:cs="Arial"/>
            </w:rPr>
            <w:t>.003</w:t>
          </w:r>
        </w:p>
      </w:tc>
    </w:tr>
    <w:tr w:rsidR="00C75D7A" w:rsidTr="003A13D9">
      <w:trPr>
        <w:jc w:val="center"/>
      </w:trPr>
      <w:tc>
        <w:tcPr>
          <w:tcW w:w="4428" w:type="dxa"/>
        </w:tcPr>
        <w:p w:rsidR="00C75D7A" w:rsidRDefault="00C75D7A">
          <w:pPr>
            <w:pStyle w:val="Header"/>
            <w:rPr>
              <w:rFonts w:ascii="Arial" w:hAnsi="Arial" w:cs="Arial"/>
            </w:rPr>
          </w:pPr>
          <w:r>
            <w:rPr>
              <w:rFonts w:ascii="Arial" w:hAnsi="Arial" w:cs="Arial"/>
            </w:rPr>
            <w:t>Date Issued:  2004/04/05</w:t>
          </w:r>
        </w:p>
      </w:tc>
      <w:tc>
        <w:tcPr>
          <w:tcW w:w="4428" w:type="dxa"/>
        </w:tcPr>
        <w:p w:rsidR="00C75D7A" w:rsidRDefault="00C75D7A" w:rsidP="00D86621">
          <w:pPr>
            <w:pStyle w:val="Header"/>
            <w:rPr>
              <w:rFonts w:ascii="Arial" w:hAnsi="Arial" w:cs="Arial"/>
            </w:rPr>
          </w:pPr>
          <w:r>
            <w:rPr>
              <w:rFonts w:ascii="Arial" w:hAnsi="Arial" w:cs="Arial"/>
            </w:rPr>
            <w:t xml:space="preserve">Category:  </w:t>
          </w:r>
          <w:r w:rsidR="00D86621">
            <w:rPr>
              <w:rFonts w:ascii="Arial" w:hAnsi="Arial" w:cs="Arial"/>
            </w:rPr>
            <w:t>Administration</w:t>
          </w:r>
        </w:p>
      </w:tc>
    </w:tr>
    <w:tr w:rsidR="00C75D7A" w:rsidTr="003A13D9">
      <w:trPr>
        <w:jc w:val="center"/>
      </w:trPr>
      <w:tc>
        <w:tcPr>
          <w:tcW w:w="4428" w:type="dxa"/>
        </w:tcPr>
        <w:p w:rsidR="00C75D7A" w:rsidRDefault="00D86621">
          <w:pPr>
            <w:pStyle w:val="Header"/>
            <w:rPr>
              <w:rFonts w:ascii="Arial" w:hAnsi="Arial" w:cs="Arial"/>
            </w:rPr>
          </w:pPr>
          <w:r>
            <w:rPr>
              <w:rFonts w:ascii="Arial" w:hAnsi="Arial" w:cs="Arial"/>
            </w:rPr>
            <w:t>Date Revised:  20</w:t>
          </w:r>
          <w:r w:rsidR="004A163A">
            <w:rPr>
              <w:rFonts w:ascii="Arial" w:hAnsi="Arial" w:cs="Arial"/>
            </w:rPr>
            <w:t>09</w:t>
          </w:r>
          <w:r w:rsidR="00C75D7A">
            <w:rPr>
              <w:rFonts w:ascii="Arial" w:hAnsi="Arial" w:cs="Arial"/>
            </w:rPr>
            <w:t>/09/01</w:t>
          </w:r>
          <w:r w:rsidR="004A163A">
            <w:rPr>
              <w:rFonts w:ascii="Arial" w:hAnsi="Arial" w:cs="Arial"/>
            </w:rPr>
            <w:t>; 2015/08/10</w:t>
          </w:r>
          <w:r w:rsidR="00002350">
            <w:rPr>
              <w:rFonts w:ascii="Arial" w:hAnsi="Arial" w:cs="Arial"/>
            </w:rPr>
            <w:t>; 2016/04/19</w:t>
          </w:r>
        </w:p>
      </w:tc>
      <w:tc>
        <w:tcPr>
          <w:tcW w:w="4428" w:type="dxa"/>
        </w:tcPr>
        <w:p w:rsidR="00C75D7A" w:rsidRDefault="00C75D7A" w:rsidP="00414E71">
          <w:pPr>
            <w:pStyle w:val="Header"/>
            <w:rPr>
              <w:rFonts w:ascii="Arial" w:hAnsi="Arial" w:cs="Arial"/>
            </w:rPr>
          </w:pPr>
          <w:r>
            <w:rPr>
              <w:rFonts w:ascii="Arial" w:hAnsi="Arial" w:cs="Arial"/>
            </w:rPr>
            <w:t xml:space="preserve">Page </w:t>
          </w:r>
          <w:r w:rsidR="000F5534">
            <w:rPr>
              <w:rFonts w:ascii="Arial" w:hAnsi="Arial" w:cs="Arial"/>
            </w:rPr>
            <w:fldChar w:fldCharType="begin"/>
          </w:r>
          <w:r>
            <w:rPr>
              <w:rFonts w:ascii="Arial" w:hAnsi="Arial" w:cs="Arial"/>
            </w:rPr>
            <w:instrText xml:space="preserve"> PAGE </w:instrText>
          </w:r>
          <w:r w:rsidR="000F5534">
            <w:rPr>
              <w:rFonts w:ascii="Arial" w:hAnsi="Arial" w:cs="Arial"/>
            </w:rPr>
            <w:fldChar w:fldCharType="separate"/>
          </w:r>
          <w:r w:rsidR="00770896">
            <w:rPr>
              <w:rFonts w:ascii="Arial" w:hAnsi="Arial" w:cs="Arial"/>
              <w:noProof/>
            </w:rPr>
            <w:t>1</w:t>
          </w:r>
          <w:r w:rsidR="000F5534">
            <w:rPr>
              <w:rFonts w:ascii="Arial" w:hAnsi="Arial" w:cs="Arial"/>
            </w:rPr>
            <w:fldChar w:fldCharType="end"/>
          </w:r>
          <w:r>
            <w:rPr>
              <w:rFonts w:ascii="Arial" w:hAnsi="Arial" w:cs="Arial"/>
            </w:rPr>
            <w:t xml:space="preserve"> of </w:t>
          </w:r>
          <w:r w:rsidR="00866AA7">
            <w:rPr>
              <w:rFonts w:ascii="Arial" w:hAnsi="Arial" w:cs="Arial"/>
            </w:rPr>
            <w:t>5</w:t>
          </w:r>
        </w:p>
      </w:tc>
    </w:tr>
  </w:tbl>
  <w:p w:rsidR="00C75D7A" w:rsidRDefault="00866AA7">
    <w:pPr>
      <w:pStyle w:val="Header"/>
      <w:rPr>
        <w:rFonts w:ascii="Arial" w:hAnsi="Arial" w:cs="Arial"/>
      </w:rPr>
    </w:pPr>
    <w:r>
      <w:rPr>
        <w:rFonts w:ascii="Arial" w:hAnsi="Arial" w:cs="Arial"/>
        <w:noProof/>
        <w:lang w:val="en-CA" w:eastAsia="en-CA"/>
      </w:rPr>
      <mc:AlternateContent>
        <mc:Choice Requires="wps">
          <w:drawing>
            <wp:anchor distT="0" distB="0" distL="114300" distR="114300" simplePos="0" relativeHeight="251658240" behindDoc="0" locked="0" layoutInCell="1" allowOverlap="1" wp14:anchorId="6C5E1CBA" wp14:editId="7180F19F">
              <wp:simplePos x="0" y="0"/>
              <wp:positionH relativeFrom="column">
                <wp:align>center</wp:align>
              </wp:positionH>
              <wp:positionV relativeFrom="paragraph">
                <wp:posOffset>122555</wp:posOffset>
              </wp:positionV>
              <wp:extent cx="5605272" cy="0"/>
              <wp:effectExtent l="0" t="0" r="1460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52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9.65pt" to="441.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q5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"/>
          </w:pict>
        </mc:Fallback>
      </mc:AlternateContent>
    </w:r>
    <w:r w:rsidR="00C75D7A">
      <w:rPr>
        <w:rFonts w:ascii="Arial" w:hAnsi="Arial" w:cs="Arial"/>
      </w:rPr>
      <w:tab/>
    </w:r>
  </w:p>
  <w:p w:rsidR="00C75D7A" w:rsidRDefault="00C75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6EC6"/>
    <w:multiLevelType w:val="multilevel"/>
    <w:tmpl w:val="54666056"/>
    <w:lvl w:ilvl="0">
      <w:start w:val="1"/>
      <w:numFmt w:val="decimal"/>
      <w:lvlText w:val="%1.0"/>
      <w:lvlJc w:val="left"/>
      <w:pPr>
        <w:tabs>
          <w:tab w:val="num" w:pos="990"/>
        </w:tabs>
        <w:ind w:left="990" w:hanging="720"/>
      </w:pPr>
      <w:rPr>
        <w:rFonts w:hint="default"/>
        <w:b/>
        <w:sz w:val="28"/>
      </w:rPr>
    </w:lvl>
    <w:lvl w:ilvl="1">
      <w:start w:val="1"/>
      <w:numFmt w:val="decimal"/>
      <w:lvlText w:val="%1.%2"/>
      <w:lvlJc w:val="left"/>
      <w:pPr>
        <w:tabs>
          <w:tab w:val="num" w:pos="1571"/>
        </w:tabs>
        <w:ind w:left="1571" w:hanging="720"/>
      </w:pPr>
      <w:rPr>
        <w:rFonts w:hint="default"/>
        <w:b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A713F01"/>
    <w:multiLevelType w:val="hybridMultilevel"/>
    <w:tmpl w:val="9BBE606A"/>
    <w:lvl w:ilvl="0" w:tplc="33047290">
      <w:start w:val="1"/>
      <w:numFmt w:val="decimal"/>
      <w:lvlText w:val="6.1.%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36C4277"/>
    <w:multiLevelType w:val="hybridMultilevel"/>
    <w:tmpl w:val="31B8ACFE"/>
    <w:lvl w:ilvl="0" w:tplc="B43AC7D0">
      <w:start w:val="1"/>
      <w:numFmt w:val="decimal"/>
      <w:lvlText w:val="6.4.%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49F3A22"/>
    <w:multiLevelType w:val="hybridMultilevel"/>
    <w:tmpl w:val="86F04FA6"/>
    <w:lvl w:ilvl="0" w:tplc="B43AC7D0">
      <w:start w:val="1"/>
      <w:numFmt w:val="decimal"/>
      <w:lvlText w:val="6.4.%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51203C8"/>
    <w:multiLevelType w:val="hybridMultilevel"/>
    <w:tmpl w:val="ACF60160"/>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5">
    <w:nsid w:val="1EC1770B"/>
    <w:multiLevelType w:val="hybridMultilevel"/>
    <w:tmpl w:val="5A32A5AE"/>
    <w:lvl w:ilvl="0" w:tplc="0B344EA4">
      <w:start w:val="1"/>
      <w:numFmt w:val="decimal"/>
      <w:lvlText w:val="6.5.%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6">
    <w:nsid w:val="27937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8783B07"/>
    <w:multiLevelType w:val="hybridMultilevel"/>
    <w:tmpl w:val="5B367924"/>
    <w:lvl w:ilvl="0" w:tplc="9760BDEA">
      <w:start w:val="1"/>
      <w:numFmt w:val="decimal"/>
      <w:lvlText w:val="6.4.%1"/>
      <w:lvlJc w:val="left"/>
      <w:pPr>
        <w:ind w:left="93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B644C3E"/>
    <w:multiLevelType w:val="hybridMultilevel"/>
    <w:tmpl w:val="7C126064"/>
    <w:lvl w:ilvl="0" w:tplc="A36286BA">
      <w:start w:val="1"/>
      <w:numFmt w:val="decimal"/>
      <w:lvlText w:val="6.3.%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34567BF1"/>
    <w:multiLevelType w:val="multilevel"/>
    <w:tmpl w:val="1ABE313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8CC382A"/>
    <w:multiLevelType w:val="hybridMultilevel"/>
    <w:tmpl w:val="36C20A12"/>
    <w:lvl w:ilvl="0" w:tplc="C630C5B4">
      <w:start w:val="1"/>
      <w:numFmt w:val="decimal"/>
      <w:lvlText w:val="6.5.%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1">
    <w:nsid w:val="38ED2817"/>
    <w:multiLevelType w:val="hybridMultilevel"/>
    <w:tmpl w:val="614E7B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3E7957B1"/>
    <w:multiLevelType w:val="hybridMultilevel"/>
    <w:tmpl w:val="CC80D3A6"/>
    <w:lvl w:ilvl="0" w:tplc="A8986A88">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95428"/>
    <w:multiLevelType w:val="hybridMultilevel"/>
    <w:tmpl w:val="467A38DC"/>
    <w:lvl w:ilvl="0" w:tplc="91BECBFE">
      <w:start w:val="1"/>
      <w:numFmt w:val="decimal"/>
      <w:lvlText w:val="6.6.%1."/>
      <w:lvlJc w:val="left"/>
      <w:pPr>
        <w:ind w:left="13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6D0911"/>
    <w:multiLevelType w:val="hybridMultilevel"/>
    <w:tmpl w:val="7FE2A992"/>
    <w:lvl w:ilvl="0" w:tplc="B43AC7D0">
      <w:start w:val="1"/>
      <w:numFmt w:val="decimal"/>
      <w:lvlText w:val="6.4.%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476B1BA2"/>
    <w:multiLevelType w:val="hybridMultilevel"/>
    <w:tmpl w:val="9626B366"/>
    <w:lvl w:ilvl="0" w:tplc="A36286BA">
      <w:start w:val="1"/>
      <w:numFmt w:val="decimal"/>
      <w:lvlText w:val="6.3.%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48151E79"/>
    <w:multiLevelType w:val="hybridMultilevel"/>
    <w:tmpl w:val="59B83BB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EAC3BA7"/>
    <w:multiLevelType w:val="hybridMultilevel"/>
    <w:tmpl w:val="6A8AA1A0"/>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18">
    <w:nsid w:val="60B13135"/>
    <w:multiLevelType w:val="hybridMultilevel"/>
    <w:tmpl w:val="E60CD66C"/>
    <w:lvl w:ilvl="0" w:tplc="33047290">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FD7A7A"/>
    <w:multiLevelType w:val="hybridMultilevel"/>
    <w:tmpl w:val="D0642BFC"/>
    <w:lvl w:ilvl="0" w:tplc="A36286BA">
      <w:start w:val="1"/>
      <w:numFmt w:val="decimal"/>
      <w:lvlText w:val="6.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EC6902"/>
    <w:multiLevelType w:val="hybridMultilevel"/>
    <w:tmpl w:val="D34C9968"/>
    <w:lvl w:ilvl="0" w:tplc="B5EE22A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C12B31"/>
    <w:multiLevelType w:val="hybridMultilevel"/>
    <w:tmpl w:val="894802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74CE5C40"/>
    <w:multiLevelType w:val="singleLevel"/>
    <w:tmpl w:val="6B3A1032"/>
    <w:lvl w:ilvl="0">
      <w:start w:val="1"/>
      <w:numFmt w:val="bullet"/>
      <w:lvlText w:val=""/>
      <w:lvlJc w:val="left"/>
      <w:pPr>
        <w:tabs>
          <w:tab w:val="num" w:pos="360"/>
        </w:tabs>
        <w:ind w:left="360" w:hanging="360"/>
      </w:pPr>
      <w:rPr>
        <w:rFonts w:ascii="Symbol" w:hAnsi="Symbol" w:hint="default"/>
        <w:b w:val="0"/>
        <w:i w:val="0"/>
        <w:sz w:val="24"/>
      </w:rPr>
    </w:lvl>
  </w:abstractNum>
  <w:abstractNum w:abstractNumId="23">
    <w:nsid w:val="78564E20"/>
    <w:multiLevelType w:val="hybridMultilevel"/>
    <w:tmpl w:val="C5D8A22C"/>
    <w:lvl w:ilvl="0" w:tplc="7D80375A">
      <w:start w:val="1"/>
      <w:numFmt w:val="decimal"/>
      <w:lvlText w:val="6.7.%1."/>
      <w:lvlJc w:val="left"/>
      <w:pPr>
        <w:ind w:left="13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5B6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A450143"/>
    <w:multiLevelType w:val="hybridMultilevel"/>
    <w:tmpl w:val="3D229198"/>
    <w:lvl w:ilvl="0" w:tplc="16867808">
      <w:start w:val="1"/>
      <w:numFmt w:val="decimal"/>
      <w:lvlText w:val="3.7.%1"/>
      <w:lvlJc w:val="left"/>
      <w:pPr>
        <w:ind w:left="828" w:hanging="360"/>
      </w:pPr>
      <w:rPr>
        <w:rFonts w:hint="default"/>
      </w:rPr>
    </w:lvl>
    <w:lvl w:ilvl="1" w:tplc="10090019" w:tentative="1">
      <w:start w:val="1"/>
      <w:numFmt w:val="lowerLetter"/>
      <w:lvlText w:val="%2."/>
      <w:lvlJc w:val="left"/>
      <w:pPr>
        <w:ind w:left="1548" w:hanging="360"/>
      </w:pPr>
    </w:lvl>
    <w:lvl w:ilvl="2" w:tplc="1009001B" w:tentative="1">
      <w:start w:val="1"/>
      <w:numFmt w:val="lowerRoman"/>
      <w:lvlText w:val="%3."/>
      <w:lvlJc w:val="right"/>
      <w:pPr>
        <w:ind w:left="2268" w:hanging="180"/>
      </w:pPr>
    </w:lvl>
    <w:lvl w:ilvl="3" w:tplc="1009000F" w:tentative="1">
      <w:start w:val="1"/>
      <w:numFmt w:val="decimal"/>
      <w:lvlText w:val="%4."/>
      <w:lvlJc w:val="left"/>
      <w:pPr>
        <w:ind w:left="2988" w:hanging="360"/>
      </w:pPr>
    </w:lvl>
    <w:lvl w:ilvl="4" w:tplc="10090019" w:tentative="1">
      <w:start w:val="1"/>
      <w:numFmt w:val="lowerLetter"/>
      <w:lvlText w:val="%5."/>
      <w:lvlJc w:val="left"/>
      <w:pPr>
        <w:ind w:left="3708" w:hanging="360"/>
      </w:pPr>
    </w:lvl>
    <w:lvl w:ilvl="5" w:tplc="1009001B" w:tentative="1">
      <w:start w:val="1"/>
      <w:numFmt w:val="lowerRoman"/>
      <w:lvlText w:val="%6."/>
      <w:lvlJc w:val="right"/>
      <w:pPr>
        <w:ind w:left="4428" w:hanging="180"/>
      </w:pPr>
    </w:lvl>
    <w:lvl w:ilvl="6" w:tplc="1009000F" w:tentative="1">
      <w:start w:val="1"/>
      <w:numFmt w:val="decimal"/>
      <w:lvlText w:val="%7."/>
      <w:lvlJc w:val="left"/>
      <w:pPr>
        <w:ind w:left="5148" w:hanging="360"/>
      </w:pPr>
    </w:lvl>
    <w:lvl w:ilvl="7" w:tplc="10090019" w:tentative="1">
      <w:start w:val="1"/>
      <w:numFmt w:val="lowerLetter"/>
      <w:lvlText w:val="%8."/>
      <w:lvlJc w:val="left"/>
      <w:pPr>
        <w:ind w:left="5868" w:hanging="360"/>
      </w:pPr>
    </w:lvl>
    <w:lvl w:ilvl="8" w:tplc="1009001B" w:tentative="1">
      <w:start w:val="1"/>
      <w:numFmt w:val="lowerRoman"/>
      <w:lvlText w:val="%9."/>
      <w:lvlJc w:val="right"/>
      <w:pPr>
        <w:ind w:left="6588" w:hanging="180"/>
      </w:pPr>
    </w:lvl>
  </w:abstractNum>
  <w:num w:numId="1">
    <w:abstractNumId w:val="0"/>
  </w:num>
  <w:num w:numId="2">
    <w:abstractNumId w:val="22"/>
  </w:num>
  <w:num w:numId="3">
    <w:abstractNumId w:val="20"/>
  </w:num>
  <w:num w:numId="4">
    <w:abstractNumId w:val="1"/>
  </w:num>
  <w:num w:numId="5">
    <w:abstractNumId w:val="18"/>
  </w:num>
  <w:num w:numId="6">
    <w:abstractNumId w:val="12"/>
  </w:num>
  <w:num w:numId="7">
    <w:abstractNumId w:val="19"/>
  </w:num>
  <w:num w:numId="8">
    <w:abstractNumId w:val="15"/>
  </w:num>
  <w:num w:numId="9">
    <w:abstractNumId w:val="2"/>
  </w:num>
  <w:num w:numId="10">
    <w:abstractNumId w:val="10"/>
  </w:num>
  <w:num w:numId="11">
    <w:abstractNumId w:val="5"/>
  </w:num>
  <w:num w:numId="12">
    <w:abstractNumId w:val="13"/>
  </w:num>
  <w:num w:numId="13">
    <w:abstractNumId w:val="9"/>
  </w:num>
  <w:num w:numId="14">
    <w:abstractNumId w:val="24"/>
  </w:num>
  <w:num w:numId="15">
    <w:abstractNumId w:val="6"/>
  </w:num>
  <w:num w:numId="16">
    <w:abstractNumId w:val="4"/>
  </w:num>
  <w:num w:numId="17">
    <w:abstractNumId w:val="17"/>
  </w:num>
  <w:num w:numId="18">
    <w:abstractNumId w:val="8"/>
  </w:num>
  <w:num w:numId="19">
    <w:abstractNumId w:val="3"/>
  </w:num>
  <w:num w:numId="20">
    <w:abstractNumId w:val="25"/>
  </w:num>
  <w:num w:numId="21">
    <w:abstractNumId w:val="7"/>
  </w:num>
  <w:num w:numId="22">
    <w:abstractNumId w:val="14"/>
  </w:num>
  <w:num w:numId="23">
    <w:abstractNumId w:val="23"/>
  </w:num>
  <w:num w:numId="24">
    <w:abstractNumId w:val="16"/>
  </w:num>
  <w:num w:numId="25">
    <w:abstractNumId w:val="2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41"/>
    <w:rsid w:val="00002350"/>
    <w:rsid w:val="000447C6"/>
    <w:rsid w:val="00073CE3"/>
    <w:rsid w:val="0007578E"/>
    <w:rsid w:val="000C5397"/>
    <w:rsid w:val="000F5534"/>
    <w:rsid w:val="001E0BEE"/>
    <w:rsid w:val="002A6041"/>
    <w:rsid w:val="003467CE"/>
    <w:rsid w:val="003A13D9"/>
    <w:rsid w:val="003A51DE"/>
    <w:rsid w:val="00414E71"/>
    <w:rsid w:val="004A163A"/>
    <w:rsid w:val="00560D39"/>
    <w:rsid w:val="00593CB6"/>
    <w:rsid w:val="005F6B50"/>
    <w:rsid w:val="00694DD5"/>
    <w:rsid w:val="00721A43"/>
    <w:rsid w:val="00756ABA"/>
    <w:rsid w:val="00770896"/>
    <w:rsid w:val="00866AA7"/>
    <w:rsid w:val="00867D86"/>
    <w:rsid w:val="008A5CDA"/>
    <w:rsid w:val="009019F1"/>
    <w:rsid w:val="009C7FBB"/>
    <w:rsid w:val="00B201E0"/>
    <w:rsid w:val="00B74C3D"/>
    <w:rsid w:val="00BA09E7"/>
    <w:rsid w:val="00C42306"/>
    <w:rsid w:val="00C75D7A"/>
    <w:rsid w:val="00C85649"/>
    <w:rsid w:val="00D60D81"/>
    <w:rsid w:val="00D86621"/>
    <w:rsid w:val="00EF5911"/>
    <w:rsid w:val="00F9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534"/>
  </w:style>
  <w:style w:type="paragraph" w:styleId="Heading1">
    <w:name w:val="heading 1"/>
    <w:basedOn w:val="Normal"/>
    <w:next w:val="Normal"/>
    <w:qFormat/>
    <w:rsid w:val="000F5534"/>
    <w:pPr>
      <w:keepNext/>
      <w:outlineLvl w:val="0"/>
    </w:pPr>
    <w:rPr>
      <w:rFonts w:ascii="Arial" w:hAnsi="Arial"/>
      <w:b/>
      <w:sz w:val="24"/>
    </w:rPr>
  </w:style>
  <w:style w:type="paragraph" w:styleId="Heading2">
    <w:name w:val="heading 2"/>
    <w:basedOn w:val="Normal"/>
    <w:next w:val="Normal"/>
    <w:qFormat/>
    <w:rsid w:val="000F5534"/>
    <w:pPr>
      <w:keepNext/>
      <w:outlineLvl w:val="1"/>
    </w:pPr>
    <w:rPr>
      <w:rFonts w:ascii="Arial" w:hAnsi="Arial"/>
      <w:sz w:val="24"/>
    </w:rPr>
  </w:style>
  <w:style w:type="paragraph" w:styleId="Heading3">
    <w:name w:val="heading 3"/>
    <w:basedOn w:val="Normal"/>
    <w:next w:val="Normal"/>
    <w:qFormat/>
    <w:rsid w:val="000F5534"/>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5534"/>
    <w:pPr>
      <w:tabs>
        <w:tab w:val="center" w:pos="4320"/>
        <w:tab w:val="right" w:pos="8640"/>
      </w:tabs>
    </w:pPr>
  </w:style>
  <w:style w:type="paragraph" w:styleId="Footer">
    <w:name w:val="footer"/>
    <w:basedOn w:val="Normal"/>
    <w:rsid w:val="000F5534"/>
    <w:pPr>
      <w:tabs>
        <w:tab w:val="center" w:pos="4320"/>
        <w:tab w:val="right" w:pos="8640"/>
      </w:tabs>
    </w:pPr>
  </w:style>
  <w:style w:type="paragraph" w:styleId="BodyText">
    <w:name w:val="Body Text"/>
    <w:basedOn w:val="Normal"/>
    <w:rsid w:val="000F5534"/>
    <w:rPr>
      <w:rFonts w:ascii="Arial" w:hAnsi="Arial"/>
      <w:b/>
      <w:sz w:val="24"/>
    </w:rPr>
  </w:style>
  <w:style w:type="character" w:styleId="PageNumber">
    <w:name w:val="page number"/>
    <w:basedOn w:val="DefaultParagraphFont"/>
    <w:rsid w:val="000F5534"/>
  </w:style>
  <w:style w:type="paragraph" w:styleId="BalloonText">
    <w:name w:val="Balloon Text"/>
    <w:basedOn w:val="Normal"/>
    <w:link w:val="BalloonTextChar"/>
    <w:rsid w:val="000447C6"/>
    <w:rPr>
      <w:rFonts w:ascii="Tahoma" w:hAnsi="Tahoma" w:cs="Tahoma"/>
      <w:sz w:val="16"/>
      <w:szCs w:val="16"/>
    </w:rPr>
  </w:style>
  <w:style w:type="character" w:customStyle="1" w:styleId="BalloonTextChar">
    <w:name w:val="Balloon Text Char"/>
    <w:basedOn w:val="DefaultParagraphFont"/>
    <w:link w:val="BalloonText"/>
    <w:rsid w:val="000447C6"/>
    <w:rPr>
      <w:rFonts w:ascii="Tahoma" w:hAnsi="Tahoma" w:cs="Tahoma"/>
      <w:sz w:val="16"/>
      <w:szCs w:val="16"/>
    </w:rPr>
  </w:style>
  <w:style w:type="table" w:styleId="TableGrid">
    <w:name w:val="Table Grid"/>
    <w:basedOn w:val="TableNormal"/>
    <w:rsid w:val="0004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621"/>
    <w:pPr>
      <w:ind w:left="720"/>
      <w:contextualSpacing/>
    </w:pPr>
  </w:style>
  <w:style w:type="character" w:styleId="Hyperlink">
    <w:name w:val="Hyperlink"/>
    <w:basedOn w:val="DefaultParagraphFont"/>
    <w:rsid w:val="004A163A"/>
    <w:rPr>
      <w:color w:val="0000FF" w:themeColor="hyperlink"/>
      <w:u w:val="single"/>
    </w:rPr>
  </w:style>
  <w:style w:type="character" w:styleId="FollowedHyperlink">
    <w:name w:val="FollowedHyperlink"/>
    <w:basedOn w:val="DefaultParagraphFont"/>
    <w:rsid w:val="00C423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534"/>
  </w:style>
  <w:style w:type="paragraph" w:styleId="Heading1">
    <w:name w:val="heading 1"/>
    <w:basedOn w:val="Normal"/>
    <w:next w:val="Normal"/>
    <w:qFormat/>
    <w:rsid w:val="000F5534"/>
    <w:pPr>
      <w:keepNext/>
      <w:outlineLvl w:val="0"/>
    </w:pPr>
    <w:rPr>
      <w:rFonts w:ascii="Arial" w:hAnsi="Arial"/>
      <w:b/>
      <w:sz w:val="24"/>
    </w:rPr>
  </w:style>
  <w:style w:type="paragraph" w:styleId="Heading2">
    <w:name w:val="heading 2"/>
    <w:basedOn w:val="Normal"/>
    <w:next w:val="Normal"/>
    <w:qFormat/>
    <w:rsid w:val="000F5534"/>
    <w:pPr>
      <w:keepNext/>
      <w:outlineLvl w:val="1"/>
    </w:pPr>
    <w:rPr>
      <w:rFonts w:ascii="Arial" w:hAnsi="Arial"/>
      <w:sz w:val="24"/>
    </w:rPr>
  </w:style>
  <w:style w:type="paragraph" w:styleId="Heading3">
    <w:name w:val="heading 3"/>
    <w:basedOn w:val="Normal"/>
    <w:next w:val="Normal"/>
    <w:qFormat/>
    <w:rsid w:val="000F5534"/>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5534"/>
    <w:pPr>
      <w:tabs>
        <w:tab w:val="center" w:pos="4320"/>
        <w:tab w:val="right" w:pos="8640"/>
      </w:tabs>
    </w:pPr>
  </w:style>
  <w:style w:type="paragraph" w:styleId="Footer">
    <w:name w:val="footer"/>
    <w:basedOn w:val="Normal"/>
    <w:rsid w:val="000F5534"/>
    <w:pPr>
      <w:tabs>
        <w:tab w:val="center" w:pos="4320"/>
        <w:tab w:val="right" w:pos="8640"/>
      </w:tabs>
    </w:pPr>
  </w:style>
  <w:style w:type="paragraph" w:styleId="BodyText">
    <w:name w:val="Body Text"/>
    <w:basedOn w:val="Normal"/>
    <w:rsid w:val="000F5534"/>
    <w:rPr>
      <w:rFonts w:ascii="Arial" w:hAnsi="Arial"/>
      <w:b/>
      <w:sz w:val="24"/>
    </w:rPr>
  </w:style>
  <w:style w:type="character" w:styleId="PageNumber">
    <w:name w:val="page number"/>
    <w:basedOn w:val="DefaultParagraphFont"/>
    <w:rsid w:val="000F5534"/>
  </w:style>
  <w:style w:type="paragraph" w:styleId="BalloonText">
    <w:name w:val="Balloon Text"/>
    <w:basedOn w:val="Normal"/>
    <w:link w:val="BalloonTextChar"/>
    <w:rsid w:val="000447C6"/>
    <w:rPr>
      <w:rFonts w:ascii="Tahoma" w:hAnsi="Tahoma" w:cs="Tahoma"/>
      <w:sz w:val="16"/>
      <w:szCs w:val="16"/>
    </w:rPr>
  </w:style>
  <w:style w:type="character" w:customStyle="1" w:styleId="BalloonTextChar">
    <w:name w:val="Balloon Text Char"/>
    <w:basedOn w:val="DefaultParagraphFont"/>
    <w:link w:val="BalloonText"/>
    <w:rsid w:val="000447C6"/>
    <w:rPr>
      <w:rFonts w:ascii="Tahoma" w:hAnsi="Tahoma" w:cs="Tahoma"/>
      <w:sz w:val="16"/>
      <w:szCs w:val="16"/>
    </w:rPr>
  </w:style>
  <w:style w:type="table" w:styleId="TableGrid">
    <w:name w:val="Table Grid"/>
    <w:basedOn w:val="TableNormal"/>
    <w:rsid w:val="0004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621"/>
    <w:pPr>
      <w:ind w:left="720"/>
      <w:contextualSpacing/>
    </w:pPr>
  </w:style>
  <w:style w:type="character" w:styleId="Hyperlink">
    <w:name w:val="Hyperlink"/>
    <w:basedOn w:val="DefaultParagraphFont"/>
    <w:rsid w:val="004A163A"/>
    <w:rPr>
      <w:color w:val="0000FF" w:themeColor="hyperlink"/>
      <w:u w:val="single"/>
    </w:rPr>
  </w:style>
  <w:style w:type="character" w:styleId="FollowedHyperlink">
    <w:name w:val="FollowedHyperlink"/>
    <w:basedOn w:val="DefaultParagraphFont"/>
    <w:rsid w:val="00C423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fusionmedicine.ca/sites/transfusionmedicine/files/articles/TDN_Notification_form_Oct2014.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ansfusionmedicine.ca/sites/transfusionmedicine/files/articles/TDN_Notification_form_Oct2014.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ransfusionmedicine.ca" TargetMode="External"/><Relationship Id="rId4" Type="http://schemas.openxmlformats.org/officeDocument/2006/relationships/settings" Target="settings.xml"/><Relationship Id="rId9" Type="http://schemas.openxmlformats.org/officeDocument/2006/relationships/hyperlink" Target="http://www.transfusionmedicine.c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1103</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NRT.001 Prewarm Technique</vt:lpstr>
    </vt:vector>
  </TitlesOfParts>
  <Company>The Ottawa Hospital</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NRT.001 Prewarm Technique</dc:title>
  <dc:creator>Transfusion Ontario Program Office</dc:creator>
  <cp:lastModifiedBy>Greening, Emma</cp:lastModifiedBy>
  <cp:revision>3</cp:revision>
  <cp:lastPrinted>2002-05-31T15:29:00Z</cp:lastPrinted>
  <dcterms:created xsi:type="dcterms:W3CDTF">2016-04-19T13:04:00Z</dcterms:created>
  <dcterms:modified xsi:type="dcterms:W3CDTF">2016-04-19T13:15:00Z</dcterms:modified>
</cp:coreProperties>
</file>