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41" w:rsidRDefault="002A604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Principle</w:t>
      </w:r>
    </w:p>
    <w:p w:rsidR="00C026A0" w:rsidRPr="00C026A0" w:rsidRDefault="00C026A0" w:rsidP="00C026A0">
      <w:pPr>
        <w:ind w:left="720"/>
        <w:rPr>
          <w:rFonts w:ascii="Arial" w:hAnsi="Arial"/>
          <w:b/>
          <w:sz w:val="22"/>
        </w:rPr>
      </w:pPr>
    </w:p>
    <w:p w:rsidR="002A6041" w:rsidRPr="00BF1A9F" w:rsidRDefault="00DA7E78" w:rsidP="00C026A0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4"/>
          <w:szCs w:val="24"/>
          <w:vertAlign w:val="superscript"/>
        </w:rPr>
      </w:pPr>
      <w:r w:rsidRPr="00BF1A9F">
        <w:rPr>
          <w:rFonts w:ascii="Arial" w:hAnsi="Arial"/>
          <w:sz w:val="24"/>
          <w:szCs w:val="24"/>
        </w:rPr>
        <w:t>National Standards require that there be written notification of transfusion to all recipients receiving blood and/or blood components.</w:t>
      </w:r>
      <w:r w:rsidR="00BF1A9F">
        <w:rPr>
          <w:rFonts w:ascii="Arial" w:hAnsi="Arial"/>
          <w:sz w:val="24"/>
          <w:szCs w:val="24"/>
          <w:vertAlign w:val="superscript"/>
        </w:rPr>
        <w:t>9.1</w:t>
      </w:r>
    </w:p>
    <w:p w:rsidR="002A6041" w:rsidRDefault="002A6041">
      <w:pPr>
        <w:ind w:left="720"/>
        <w:rPr>
          <w:rFonts w:ascii="Arial" w:hAnsi="Arial"/>
        </w:rPr>
      </w:pPr>
    </w:p>
    <w:p w:rsidR="002A6041" w:rsidRDefault="002A604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2A6041" w:rsidRDefault="002A604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DA7E78" w:rsidRPr="00DA7E78" w:rsidRDefault="002A6041" w:rsidP="00C026A0">
      <w:pPr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DA7E78">
        <w:rPr>
          <w:rFonts w:ascii="Arial" w:hAnsi="Arial"/>
          <w:sz w:val="24"/>
        </w:rPr>
        <w:t>ll</w:t>
      </w:r>
      <w:r>
        <w:rPr>
          <w:rFonts w:ascii="Arial" w:hAnsi="Arial"/>
          <w:sz w:val="24"/>
        </w:rPr>
        <w:t xml:space="preserve"> </w:t>
      </w:r>
      <w:r w:rsidR="00DA7E78" w:rsidRPr="00DA7E78">
        <w:rPr>
          <w:rFonts w:ascii="Arial" w:hAnsi="Arial"/>
          <w:sz w:val="24"/>
        </w:rPr>
        <w:t xml:space="preserve">patients who have received a transfusion will be notified that they have received blood </w:t>
      </w:r>
      <w:r w:rsidR="00DA7E78">
        <w:rPr>
          <w:rFonts w:ascii="Arial" w:hAnsi="Arial"/>
          <w:sz w:val="24"/>
        </w:rPr>
        <w:t xml:space="preserve">components </w:t>
      </w:r>
      <w:r w:rsidR="00DA7E78" w:rsidRPr="00DA7E78">
        <w:rPr>
          <w:rFonts w:ascii="Arial" w:hAnsi="Arial"/>
          <w:sz w:val="24"/>
        </w:rPr>
        <w:t xml:space="preserve">and/or blood products. </w:t>
      </w:r>
    </w:p>
    <w:p w:rsidR="00C026A0" w:rsidRDefault="00C026A0" w:rsidP="00C026A0">
      <w:pPr>
        <w:pStyle w:val="ListParagraph"/>
        <w:ind w:left="1440"/>
        <w:rPr>
          <w:rFonts w:ascii="Arial" w:hAnsi="Arial"/>
          <w:sz w:val="24"/>
        </w:rPr>
      </w:pPr>
    </w:p>
    <w:p w:rsidR="00DA7E78" w:rsidRPr="00DA7E78" w:rsidRDefault="00DA7E78" w:rsidP="00C026A0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 w:rsidRPr="00DA7E78">
        <w:rPr>
          <w:rFonts w:ascii="Arial" w:hAnsi="Arial"/>
          <w:sz w:val="24"/>
        </w:rPr>
        <w:t>Notifications document A</w:t>
      </w:r>
      <w:r w:rsidR="00BF1A9F">
        <w:rPr>
          <w:rFonts w:ascii="Arial" w:hAnsi="Arial"/>
          <w:sz w:val="24"/>
        </w:rPr>
        <w:t>DM</w:t>
      </w:r>
      <w:r w:rsidRPr="00DA7E78">
        <w:rPr>
          <w:rFonts w:ascii="Arial" w:hAnsi="Arial"/>
          <w:sz w:val="24"/>
        </w:rPr>
        <w:t>.002F or like facsimile will be used for this purpose.</w:t>
      </w:r>
    </w:p>
    <w:p w:rsidR="00C026A0" w:rsidRDefault="00C026A0" w:rsidP="00C026A0">
      <w:pPr>
        <w:pStyle w:val="ListParagraph"/>
        <w:ind w:left="1440"/>
        <w:rPr>
          <w:rFonts w:ascii="Arial" w:hAnsi="Arial"/>
          <w:sz w:val="24"/>
        </w:rPr>
      </w:pPr>
    </w:p>
    <w:p w:rsidR="002A6041" w:rsidRPr="00DA7E78" w:rsidRDefault="00DA7E78" w:rsidP="00C026A0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 w:rsidRPr="00DA7E78">
        <w:rPr>
          <w:rFonts w:ascii="Arial" w:hAnsi="Arial"/>
          <w:sz w:val="24"/>
        </w:rPr>
        <w:t>One notification will be issued per patient per year (outpatients) or admission (inpatients), or more frequently as de</w:t>
      </w:r>
      <w:r w:rsidR="00BF1A9F">
        <w:rPr>
          <w:rFonts w:ascii="Arial" w:hAnsi="Arial"/>
          <w:sz w:val="24"/>
        </w:rPr>
        <w:t>termined by hospital policy or T</w:t>
      </w:r>
      <w:r w:rsidRPr="00DA7E78">
        <w:rPr>
          <w:rFonts w:ascii="Arial" w:hAnsi="Arial"/>
          <w:sz w:val="24"/>
        </w:rPr>
        <w:t>ransfusion Committee. See Secti</w:t>
      </w:r>
      <w:r w:rsidR="00BF1A9F">
        <w:rPr>
          <w:rFonts w:ascii="Arial" w:hAnsi="Arial"/>
          <w:sz w:val="24"/>
        </w:rPr>
        <w:t>on 8.0 Procedural Notes for</w:t>
      </w:r>
      <w:r w:rsidRPr="00DA7E78">
        <w:rPr>
          <w:rFonts w:ascii="Arial" w:hAnsi="Arial"/>
          <w:sz w:val="24"/>
        </w:rPr>
        <w:t xml:space="preserve"> potential exceptions.</w:t>
      </w:r>
    </w:p>
    <w:p w:rsidR="002A6041" w:rsidRPr="00C026A0" w:rsidRDefault="002A6041">
      <w:pPr>
        <w:ind w:left="720"/>
        <w:rPr>
          <w:rFonts w:ascii="Arial" w:hAnsi="Arial"/>
          <w:sz w:val="8"/>
        </w:rPr>
      </w:pPr>
    </w:p>
    <w:p w:rsidR="002A6041" w:rsidRDefault="002A6041">
      <w:pPr>
        <w:ind w:left="720"/>
        <w:rPr>
          <w:rFonts w:ascii="Arial" w:hAnsi="Arial"/>
          <w:sz w:val="18"/>
        </w:rPr>
      </w:pPr>
    </w:p>
    <w:p w:rsidR="002A6041" w:rsidRDefault="002A604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Specimens</w:t>
      </w:r>
      <w:r w:rsidR="00DA7E78">
        <w:rPr>
          <w:rFonts w:ascii="Arial" w:hAnsi="Arial"/>
          <w:b/>
          <w:sz w:val="28"/>
        </w:rPr>
        <w:t xml:space="preserve"> - N/A</w:t>
      </w:r>
    </w:p>
    <w:p w:rsidR="002A6041" w:rsidRPr="00C026A0" w:rsidRDefault="002A6041">
      <w:pPr>
        <w:ind w:left="720"/>
        <w:rPr>
          <w:rFonts w:ascii="Arial" w:hAnsi="Arial"/>
          <w:sz w:val="22"/>
        </w:rPr>
      </w:pPr>
    </w:p>
    <w:p w:rsidR="002A6041" w:rsidRPr="00DA7E78" w:rsidRDefault="002A6041" w:rsidP="00DA7E7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  <w:r w:rsidRPr="00DA7E78">
        <w:rPr>
          <w:rFonts w:ascii="Arial" w:hAnsi="Arial"/>
          <w:sz w:val="24"/>
        </w:rPr>
        <w:tab/>
      </w:r>
    </w:p>
    <w:p w:rsidR="00DA7E78" w:rsidRDefault="00DA7E78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:rsidR="00DA7E78" w:rsidRPr="00DA7E78" w:rsidRDefault="00DA7E78" w:rsidP="00C026A0">
      <w:pPr>
        <w:pStyle w:val="Header"/>
        <w:tabs>
          <w:tab w:val="clear" w:pos="4320"/>
          <w:tab w:val="clear" w:pos="8640"/>
        </w:tabs>
        <w:ind w:left="2127" w:hanging="1407"/>
        <w:rPr>
          <w:rFonts w:ascii="Arial" w:hAnsi="Arial"/>
          <w:sz w:val="24"/>
        </w:rPr>
      </w:pPr>
      <w:r w:rsidRPr="00DA7E78">
        <w:rPr>
          <w:rFonts w:ascii="Arial" w:hAnsi="Arial"/>
          <w:b/>
          <w:sz w:val="24"/>
        </w:rPr>
        <w:t>Supplies:</w:t>
      </w:r>
      <w:r w:rsidR="00C026A0">
        <w:rPr>
          <w:rFonts w:ascii="Arial" w:hAnsi="Arial"/>
          <w:b/>
          <w:sz w:val="24"/>
        </w:rPr>
        <w:tab/>
      </w:r>
      <w:r w:rsidRPr="00DA7E78">
        <w:rPr>
          <w:rFonts w:ascii="Arial" w:hAnsi="Arial"/>
          <w:sz w:val="24"/>
        </w:rPr>
        <w:t xml:space="preserve">Computer or manual record of </w:t>
      </w:r>
      <w:r w:rsidR="00C026A0">
        <w:rPr>
          <w:rFonts w:ascii="Arial" w:hAnsi="Arial"/>
          <w:sz w:val="24"/>
        </w:rPr>
        <w:t xml:space="preserve">transfused blood </w:t>
      </w:r>
      <w:r w:rsidR="00C026A0">
        <w:rPr>
          <w:rFonts w:ascii="Arial" w:hAnsi="Arial"/>
          <w:sz w:val="24"/>
        </w:rPr>
        <w:br/>
      </w:r>
      <w:r w:rsidRPr="00DA7E78">
        <w:rPr>
          <w:rFonts w:ascii="Arial" w:hAnsi="Arial"/>
          <w:sz w:val="24"/>
        </w:rPr>
        <w:t>component/products</w:t>
      </w:r>
    </w:p>
    <w:p w:rsidR="00DA7E78" w:rsidRPr="00C026A0" w:rsidRDefault="00DA7E78" w:rsidP="00C026A0">
      <w:pPr>
        <w:ind w:left="1407" w:firstLine="720"/>
        <w:rPr>
          <w:rFonts w:ascii="Arial" w:hAnsi="Arial"/>
          <w:sz w:val="24"/>
        </w:rPr>
      </w:pPr>
      <w:r w:rsidRPr="00C026A0">
        <w:rPr>
          <w:rFonts w:ascii="Arial" w:hAnsi="Arial"/>
          <w:sz w:val="24"/>
        </w:rPr>
        <w:t>Notification of Transfusion A</w:t>
      </w:r>
      <w:r w:rsidR="00BF1A9F" w:rsidRPr="00C026A0">
        <w:rPr>
          <w:rFonts w:ascii="Arial" w:hAnsi="Arial"/>
          <w:sz w:val="24"/>
        </w:rPr>
        <w:t>DM.002F</w:t>
      </w:r>
    </w:p>
    <w:p w:rsidR="002A6041" w:rsidRDefault="002A6041">
      <w:pPr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tab/>
      </w:r>
    </w:p>
    <w:p w:rsidR="00C026A0" w:rsidRDefault="002A6041" w:rsidP="00C026A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Quality Control – </w:t>
      </w:r>
      <w:r w:rsidR="00DA7E78">
        <w:rPr>
          <w:rFonts w:ascii="Arial" w:hAnsi="Arial"/>
          <w:b/>
          <w:sz w:val="28"/>
        </w:rPr>
        <w:t>N/A</w:t>
      </w:r>
    </w:p>
    <w:p w:rsidR="00C026A0" w:rsidRDefault="00C026A0" w:rsidP="00C026A0">
      <w:pPr>
        <w:ind w:left="720"/>
        <w:rPr>
          <w:rFonts w:ascii="Arial" w:hAnsi="Arial"/>
          <w:b/>
          <w:sz w:val="28"/>
        </w:rPr>
      </w:pPr>
    </w:p>
    <w:p w:rsidR="002A6041" w:rsidRDefault="002A6041" w:rsidP="00C026A0">
      <w:pPr>
        <w:numPr>
          <w:ilvl w:val="0"/>
          <w:numId w:val="1"/>
        </w:numPr>
        <w:rPr>
          <w:rFonts w:ascii="Arial" w:hAnsi="Arial"/>
          <w:b/>
          <w:sz w:val="28"/>
        </w:rPr>
      </w:pPr>
      <w:r w:rsidRPr="00C026A0">
        <w:rPr>
          <w:rFonts w:ascii="Arial" w:hAnsi="Arial"/>
          <w:b/>
          <w:sz w:val="28"/>
        </w:rPr>
        <w:t>Procedures</w:t>
      </w:r>
    </w:p>
    <w:p w:rsidR="00C026A0" w:rsidRPr="00C026A0" w:rsidRDefault="00C026A0" w:rsidP="00C026A0">
      <w:pPr>
        <w:rPr>
          <w:rFonts w:ascii="Arial" w:hAnsi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968"/>
      </w:tblGrid>
      <w:tr w:rsidR="00C026A0" w:rsidTr="00C026A0">
        <w:trPr>
          <w:trHeight w:val="1041"/>
        </w:trPr>
        <w:tc>
          <w:tcPr>
            <w:tcW w:w="3888" w:type="dxa"/>
            <w:vMerge w:val="restart"/>
            <w:shd w:val="clear" w:color="auto" w:fill="auto"/>
          </w:tcPr>
          <w:p w:rsidR="00C026A0" w:rsidRDefault="00C026A0" w:rsidP="00C026A0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Notify patient upon receipt of blood component/ product transfusion – In hospital</w:t>
            </w:r>
          </w:p>
        </w:tc>
        <w:tc>
          <w:tcPr>
            <w:tcW w:w="4968" w:type="dxa"/>
          </w:tcPr>
          <w:p w:rsidR="00C026A0" w:rsidRPr="00E95C83" w:rsidRDefault="00C026A0" w:rsidP="00DA7E78">
            <w:pPr>
              <w:numPr>
                <w:ilvl w:val="0"/>
                <w:numId w:val="5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notification document will accompany the first blood component/product issued to patient to the ward</w:t>
            </w:r>
          </w:p>
        </w:tc>
      </w:tr>
      <w:tr w:rsidR="00C026A0" w:rsidTr="00C026A0">
        <w:trPr>
          <w:trHeight w:val="58"/>
        </w:trPr>
        <w:tc>
          <w:tcPr>
            <w:tcW w:w="3888" w:type="dxa"/>
            <w:vMerge/>
            <w:shd w:val="clear" w:color="auto" w:fill="auto"/>
          </w:tcPr>
          <w:p w:rsidR="00C026A0" w:rsidRDefault="00C026A0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4968" w:type="dxa"/>
          </w:tcPr>
          <w:p w:rsidR="00C026A0" w:rsidRDefault="00C026A0" w:rsidP="00E95C83">
            <w:pPr>
              <w:numPr>
                <w:ilvl w:val="0"/>
                <w:numId w:val="5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Record on the patient TM file that the notification of transfusion was provided to the patient. TM file can be either an electronic or paper file</w:t>
            </w:r>
          </w:p>
        </w:tc>
      </w:tr>
      <w:tr w:rsidR="00C026A0" w:rsidTr="00C026A0">
        <w:trPr>
          <w:trHeight w:val="1917"/>
        </w:trPr>
        <w:tc>
          <w:tcPr>
            <w:tcW w:w="3888" w:type="dxa"/>
            <w:vMerge w:val="restart"/>
            <w:shd w:val="clear" w:color="auto" w:fill="auto"/>
          </w:tcPr>
          <w:p w:rsidR="00C026A0" w:rsidRDefault="00C026A0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Notify patients who have been discharged prior to receiving notification</w:t>
            </w:r>
          </w:p>
        </w:tc>
        <w:tc>
          <w:tcPr>
            <w:tcW w:w="4968" w:type="dxa"/>
          </w:tcPr>
          <w:p w:rsidR="00C026A0" w:rsidRDefault="00C026A0" w:rsidP="00BA09E7">
            <w:pPr>
              <w:numPr>
                <w:ilvl w:val="0"/>
                <w:numId w:val="6"/>
              </w:numPr>
              <w:ind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Mail out notification of transfusion to patients who have not received their document (if ward has returned notification, or indicates that the patient did not receive notification prior to discharge)</w:t>
            </w:r>
          </w:p>
        </w:tc>
      </w:tr>
      <w:tr w:rsidR="00C026A0" w:rsidTr="008760BB">
        <w:trPr>
          <w:trHeight w:val="1074"/>
        </w:trPr>
        <w:tc>
          <w:tcPr>
            <w:tcW w:w="3888" w:type="dxa"/>
            <w:vMerge/>
            <w:shd w:val="clear" w:color="auto" w:fill="auto"/>
          </w:tcPr>
          <w:p w:rsidR="00C026A0" w:rsidRDefault="00C026A0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4968" w:type="dxa"/>
          </w:tcPr>
          <w:p w:rsidR="00C026A0" w:rsidRDefault="00C026A0" w:rsidP="00BA09E7">
            <w:pPr>
              <w:numPr>
                <w:ilvl w:val="0"/>
                <w:numId w:val="6"/>
              </w:numPr>
              <w:ind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Record on the patient TM file that the notification of transfusion was provided to the patient. TM file can be either an electronic or paper file</w:t>
            </w:r>
          </w:p>
        </w:tc>
      </w:tr>
      <w:tr w:rsidR="000447C6" w:rsidTr="00C026A0">
        <w:tc>
          <w:tcPr>
            <w:tcW w:w="3888" w:type="dxa"/>
            <w:shd w:val="clear" w:color="auto" w:fill="auto"/>
          </w:tcPr>
          <w:p w:rsidR="002D0FC7" w:rsidRDefault="00E95C83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patient requires special needs  for future transfusions</w:t>
            </w:r>
          </w:p>
        </w:tc>
        <w:tc>
          <w:tcPr>
            <w:tcW w:w="4968" w:type="dxa"/>
          </w:tcPr>
          <w:p w:rsidR="002D0FC7" w:rsidRDefault="00E95C83" w:rsidP="00414E71">
            <w:pPr>
              <w:numPr>
                <w:ilvl w:val="0"/>
                <w:numId w:val="8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 to A</w:t>
            </w:r>
            <w:r w:rsidR="00BF1A9F">
              <w:rPr>
                <w:rFonts w:ascii="Arial" w:hAnsi="Arial"/>
                <w:sz w:val="24"/>
              </w:rPr>
              <w:t>DM</w:t>
            </w:r>
            <w:r>
              <w:rPr>
                <w:rFonts w:ascii="Arial" w:hAnsi="Arial"/>
                <w:sz w:val="24"/>
              </w:rPr>
              <w:t>.00</w:t>
            </w:r>
            <w:r w:rsidR="00BF1A9F">
              <w:rPr>
                <w:rFonts w:ascii="Arial" w:hAnsi="Arial"/>
                <w:sz w:val="24"/>
              </w:rPr>
              <w:t>9</w:t>
            </w:r>
          </w:p>
        </w:tc>
      </w:tr>
    </w:tbl>
    <w:p w:rsidR="002A6041" w:rsidRDefault="002A6041" w:rsidP="00414E71">
      <w:pPr>
        <w:rPr>
          <w:rFonts w:ascii="Arial" w:hAnsi="Arial"/>
          <w:sz w:val="24"/>
        </w:rPr>
      </w:pPr>
    </w:p>
    <w:p w:rsidR="002A6041" w:rsidRPr="00E95C83" w:rsidRDefault="002A6041" w:rsidP="00E95C8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</w:t>
      </w:r>
      <w:r w:rsidR="00E95C83">
        <w:rPr>
          <w:rFonts w:ascii="Arial" w:hAnsi="Arial"/>
          <w:b/>
          <w:sz w:val="28"/>
        </w:rPr>
        <w:t xml:space="preserve"> – N/A</w:t>
      </w:r>
    </w:p>
    <w:p w:rsidR="002A6041" w:rsidRPr="00414E71" w:rsidRDefault="002A6041" w:rsidP="00414E71">
      <w:pPr>
        <w:ind w:left="720"/>
        <w:rPr>
          <w:rFonts w:ascii="Arial" w:hAnsi="Arial"/>
          <w:sz w:val="24"/>
        </w:rPr>
      </w:pPr>
    </w:p>
    <w:p w:rsidR="002A6041" w:rsidRDefault="002A604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C026A0" w:rsidRDefault="00C026A0" w:rsidP="00C026A0">
      <w:pPr>
        <w:ind w:left="720"/>
        <w:rPr>
          <w:rFonts w:ascii="Arial" w:hAnsi="Arial"/>
          <w:b/>
          <w:sz w:val="28"/>
        </w:rPr>
      </w:pPr>
    </w:p>
    <w:p w:rsidR="00E95C83" w:rsidRDefault="00E95C83" w:rsidP="00C026A0">
      <w:pPr>
        <w:pStyle w:val="Heading1"/>
        <w:numPr>
          <w:ilvl w:val="1"/>
          <w:numId w:val="1"/>
        </w:numPr>
        <w:tabs>
          <w:tab w:val="clear" w:pos="1571"/>
        </w:tabs>
        <w:spacing w:line="228" w:lineRule="auto"/>
        <w:ind w:left="1440"/>
        <w:rPr>
          <w:b w:val="0"/>
        </w:rPr>
      </w:pPr>
      <w:r w:rsidRPr="00E95C83">
        <w:rPr>
          <w:b w:val="0"/>
        </w:rPr>
        <w:t>Notifications should not b</w:t>
      </w:r>
      <w:r>
        <w:rPr>
          <w:b w:val="0"/>
        </w:rPr>
        <w:t>e sent to the operating rooms.</w:t>
      </w:r>
      <w:r w:rsidR="00626E7A">
        <w:rPr>
          <w:b w:val="0"/>
        </w:rPr>
        <w:br/>
      </w:r>
    </w:p>
    <w:p w:rsidR="00E95C83" w:rsidRDefault="00E95C83" w:rsidP="00C026A0">
      <w:pPr>
        <w:pStyle w:val="Heading1"/>
        <w:numPr>
          <w:ilvl w:val="1"/>
          <w:numId w:val="1"/>
        </w:numPr>
        <w:tabs>
          <w:tab w:val="clear" w:pos="1571"/>
        </w:tabs>
        <w:spacing w:line="228" w:lineRule="auto"/>
        <w:ind w:left="1440"/>
        <w:rPr>
          <w:b w:val="0"/>
        </w:rPr>
      </w:pPr>
      <w:r w:rsidRPr="00E95C83">
        <w:rPr>
          <w:b w:val="0"/>
        </w:rPr>
        <w:t>Notifications should be sent to the Nursing unit to which the patient returned.  This also applies to ‘blood box’ issues to Emergency and Delivery.</w:t>
      </w:r>
      <w:r w:rsidR="00626E7A">
        <w:rPr>
          <w:b w:val="0"/>
        </w:rPr>
        <w:br/>
      </w:r>
    </w:p>
    <w:p w:rsidR="00E95C83" w:rsidRPr="00626E7A" w:rsidRDefault="00E95C83" w:rsidP="00C026A0">
      <w:pPr>
        <w:pStyle w:val="Heading1"/>
        <w:numPr>
          <w:ilvl w:val="1"/>
          <w:numId w:val="1"/>
        </w:numPr>
        <w:tabs>
          <w:tab w:val="clear" w:pos="1571"/>
        </w:tabs>
        <w:spacing w:line="228" w:lineRule="auto"/>
        <w:ind w:left="1440"/>
        <w:rPr>
          <w:b w:val="0"/>
        </w:rPr>
      </w:pPr>
      <w:r w:rsidRPr="00626E7A">
        <w:rPr>
          <w:b w:val="0"/>
        </w:rPr>
        <w:t xml:space="preserve">The comment on the Transfusion Record will be clearly marked to show that the notification has been sent. </w:t>
      </w:r>
      <w:r w:rsidR="00626E7A">
        <w:rPr>
          <w:b w:val="0"/>
        </w:rPr>
        <w:br/>
      </w:r>
    </w:p>
    <w:p w:rsidR="00E95C83" w:rsidRPr="00E95C83" w:rsidRDefault="00E95C83" w:rsidP="00C026A0">
      <w:pPr>
        <w:pStyle w:val="Heading1"/>
        <w:numPr>
          <w:ilvl w:val="1"/>
          <w:numId w:val="1"/>
        </w:numPr>
        <w:tabs>
          <w:tab w:val="clear" w:pos="1571"/>
        </w:tabs>
        <w:spacing w:line="228" w:lineRule="auto"/>
        <w:ind w:left="1440"/>
        <w:rPr>
          <w:b w:val="0"/>
        </w:rPr>
      </w:pPr>
      <w:r w:rsidRPr="00E95C83">
        <w:rPr>
          <w:b w:val="0"/>
        </w:rPr>
        <w:t>Out-Patients units where long term treatment</w:t>
      </w:r>
      <w:r w:rsidR="00C026A0">
        <w:rPr>
          <w:b w:val="0"/>
        </w:rPr>
        <w:t>s involve ongoing transfusions (</w:t>
      </w:r>
      <w:r w:rsidRPr="00E95C83">
        <w:rPr>
          <w:b w:val="0"/>
        </w:rPr>
        <w:t xml:space="preserve">e.g., MDCU, </w:t>
      </w:r>
      <w:r w:rsidR="00BF1A9F">
        <w:rPr>
          <w:b w:val="0"/>
        </w:rPr>
        <w:t>oncology, dialysis, sickle/thala</w:t>
      </w:r>
      <w:r w:rsidRPr="00E95C83">
        <w:rPr>
          <w:b w:val="0"/>
        </w:rPr>
        <w:t>ssemia clinics</w:t>
      </w:r>
      <w:r w:rsidR="00C026A0">
        <w:rPr>
          <w:b w:val="0"/>
        </w:rPr>
        <w:t>)</w:t>
      </w:r>
      <w:r w:rsidRPr="00E95C83">
        <w:rPr>
          <w:b w:val="0"/>
        </w:rPr>
        <w:t>:</w:t>
      </w:r>
    </w:p>
    <w:p w:rsidR="00E95C83" w:rsidRDefault="00E95C83" w:rsidP="00E95C83">
      <w:pPr>
        <w:spacing w:line="228" w:lineRule="auto"/>
      </w:pPr>
    </w:p>
    <w:p w:rsidR="002A6041" w:rsidRPr="00626E7A" w:rsidRDefault="00E95C83" w:rsidP="00C026A0">
      <w:pPr>
        <w:numPr>
          <w:ilvl w:val="2"/>
          <w:numId w:val="1"/>
        </w:numPr>
        <w:tabs>
          <w:tab w:val="clear" w:pos="2160"/>
        </w:tabs>
        <w:spacing w:line="228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One notification will be issued at a minimum of once per year.  </w:t>
      </w:r>
    </w:p>
    <w:p w:rsidR="002A6041" w:rsidRDefault="002A6041">
      <w:pPr>
        <w:spacing w:line="228" w:lineRule="auto"/>
        <w:ind w:left="720"/>
        <w:rPr>
          <w:rFonts w:ascii="Arial" w:hAnsi="Arial"/>
          <w:sz w:val="24"/>
        </w:rPr>
      </w:pPr>
    </w:p>
    <w:p w:rsidR="002A6041" w:rsidRDefault="002A6041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2A6041" w:rsidRDefault="002A6041" w:rsidP="00626E7A">
      <w:pPr>
        <w:spacing w:line="228" w:lineRule="auto"/>
        <w:ind w:left="1418" w:hanging="567"/>
        <w:rPr>
          <w:rFonts w:ascii="Arial" w:hAnsi="Arial"/>
          <w:sz w:val="24"/>
        </w:rPr>
      </w:pPr>
    </w:p>
    <w:p w:rsidR="00BF1A9F" w:rsidRDefault="00BF1A9F" w:rsidP="00C026A0">
      <w:pPr>
        <w:pStyle w:val="ListParagraph"/>
        <w:numPr>
          <w:ilvl w:val="1"/>
          <w:numId w:val="1"/>
        </w:numPr>
        <w:tabs>
          <w:tab w:val="clear" w:pos="1571"/>
        </w:tabs>
        <w:spacing w:line="228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CAN/</w:t>
      </w:r>
      <w:r w:rsidRPr="00BF1A9F">
        <w:rPr>
          <w:rFonts w:ascii="Arial" w:hAnsi="Arial"/>
          <w:sz w:val="24"/>
        </w:rPr>
        <w:t xml:space="preserve">CSA Z902-10 </w:t>
      </w:r>
      <w:r>
        <w:rPr>
          <w:rFonts w:ascii="Arial" w:hAnsi="Arial"/>
          <w:sz w:val="24"/>
        </w:rPr>
        <w:t>A National Standard of Canada. Blood and b</w:t>
      </w:r>
      <w:r w:rsidRPr="00BF1A9F">
        <w:rPr>
          <w:rFonts w:ascii="Arial" w:hAnsi="Arial"/>
          <w:sz w:val="24"/>
        </w:rPr>
        <w:t>loo</w:t>
      </w:r>
      <w:r>
        <w:rPr>
          <w:rFonts w:ascii="Arial" w:hAnsi="Arial"/>
          <w:sz w:val="24"/>
        </w:rPr>
        <w:t>d c</w:t>
      </w:r>
      <w:r w:rsidRPr="00BF1A9F">
        <w:rPr>
          <w:rFonts w:ascii="Arial" w:hAnsi="Arial"/>
          <w:sz w:val="24"/>
        </w:rPr>
        <w:t>omponen</w:t>
      </w:r>
      <w:r>
        <w:rPr>
          <w:rFonts w:ascii="Arial" w:hAnsi="Arial"/>
          <w:sz w:val="24"/>
        </w:rPr>
        <w:t xml:space="preserve">ts, Canadian Standards Association Standards Council of Canada; February </w:t>
      </w:r>
      <w:r w:rsidRPr="00BF1A9F">
        <w:rPr>
          <w:rFonts w:ascii="Arial" w:hAnsi="Arial"/>
          <w:sz w:val="24"/>
        </w:rPr>
        <w:t>2010</w:t>
      </w:r>
      <w:r>
        <w:rPr>
          <w:rFonts w:ascii="Arial" w:hAnsi="Arial"/>
          <w:sz w:val="24"/>
        </w:rPr>
        <w:t>: 11.2.2</w:t>
      </w:r>
      <w:r w:rsidRPr="00BF1A9F">
        <w:rPr>
          <w:rFonts w:ascii="Arial" w:hAnsi="Arial"/>
          <w:sz w:val="24"/>
        </w:rPr>
        <w:t xml:space="preserve"> </w:t>
      </w:r>
    </w:p>
    <w:p w:rsidR="00BF1A9F" w:rsidRPr="00BF1A9F" w:rsidRDefault="00BF1A9F" w:rsidP="00C026A0">
      <w:pPr>
        <w:pStyle w:val="ListParagraph"/>
        <w:spacing w:line="228" w:lineRule="auto"/>
        <w:ind w:left="1440"/>
        <w:rPr>
          <w:rFonts w:ascii="Arial" w:hAnsi="Arial"/>
          <w:sz w:val="24"/>
        </w:rPr>
      </w:pPr>
    </w:p>
    <w:p w:rsidR="00626E7A" w:rsidRDefault="00626E7A" w:rsidP="00C026A0">
      <w:pPr>
        <w:pStyle w:val="ListParagraph"/>
        <w:numPr>
          <w:ilvl w:val="1"/>
          <w:numId w:val="1"/>
        </w:numPr>
        <w:tabs>
          <w:tab w:val="clear" w:pos="1571"/>
        </w:tabs>
        <w:spacing w:line="228" w:lineRule="auto"/>
        <w:ind w:left="1440"/>
        <w:rPr>
          <w:rFonts w:ascii="Arial" w:hAnsi="Arial"/>
          <w:sz w:val="24"/>
        </w:rPr>
      </w:pPr>
      <w:r w:rsidRPr="00BF1A9F">
        <w:rPr>
          <w:rFonts w:ascii="Arial" w:hAnsi="Arial"/>
          <w:sz w:val="24"/>
        </w:rPr>
        <w:t xml:space="preserve">Interim Report Recommendations, Appendix H, Chapter 9: Commission of Inquiry on the Blood System in Canada, </w:t>
      </w:r>
      <w:proofErr w:type="gramStart"/>
      <w:r w:rsidRPr="00BF1A9F">
        <w:rPr>
          <w:rFonts w:ascii="Arial" w:hAnsi="Arial"/>
          <w:sz w:val="24"/>
        </w:rPr>
        <w:t>The</w:t>
      </w:r>
      <w:proofErr w:type="gramEnd"/>
      <w:r w:rsidRPr="00BF1A9F">
        <w:rPr>
          <w:rFonts w:ascii="Arial" w:hAnsi="Arial"/>
          <w:sz w:val="24"/>
        </w:rPr>
        <w:t xml:space="preserve"> Honorable </w:t>
      </w:r>
      <w:proofErr w:type="spellStart"/>
      <w:r w:rsidRPr="00BF1A9F">
        <w:rPr>
          <w:rFonts w:ascii="Arial" w:hAnsi="Arial"/>
          <w:sz w:val="24"/>
        </w:rPr>
        <w:t>Mr</w:t>
      </w:r>
      <w:proofErr w:type="spellEnd"/>
      <w:r w:rsidRPr="00BF1A9F">
        <w:rPr>
          <w:rFonts w:ascii="Arial" w:hAnsi="Arial"/>
          <w:sz w:val="24"/>
        </w:rPr>
        <w:t xml:space="preserve"> Justice Horace </w:t>
      </w:r>
      <w:proofErr w:type="spellStart"/>
      <w:r w:rsidRPr="00BF1A9F">
        <w:rPr>
          <w:rFonts w:ascii="Arial" w:hAnsi="Arial"/>
          <w:sz w:val="24"/>
        </w:rPr>
        <w:t>Krever</w:t>
      </w:r>
      <w:proofErr w:type="spellEnd"/>
      <w:r w:rsidRPr="00BF1A9F">
        <w:rPr>
          <w:rFonts w:ascii="Arial" w:hAnsi="Arial"/>
          <w:sz w:val="24"/>
        </w:rPr>
        <w:t>, 1997.</w:t>
      </w:r>
    </w:p>
    <w:p w:rsidR="008760BB" w:rsidRDefault="008760BB" w:rsidP="008760BB">
      <w:pPr>
        <w:pStyle w:val="ListParagraph"/>
        <w:spacing w:line="228" w:lineRule="auto"/>
        <w:rPr>
          <w:rFonts w:ascii="Arial" w:hAnsi="Arial"/>
          <w:b/>
          <w:sz w:val="28"/>
        </w:rPr>
      </w:pPr>
    </w:p>
    <w:p w:rsidR="00C026A0" w:rsidRDefault="00C026A0" w:rsidP="00C026A0">
      <w:pPr>
        <w:pStyle w:val="ListParagraph"/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 w:rsidRPr="00C026A0">
        <w:rPr>
          <w:rFonts w:ascii="Arial" w:hAnsi="Arial"/>
          <w:b/>
          <w:sz w:val="28"/>
        </w:rPr>
        <w:t>Revision History</w:t>
      </w:r>
    </w:p>
    <w:p w:rsidR="00C026A0" w:rsidRDefault="00C026A0" w:rsidP="00C026A0">
      <w:pPr>
        <w:spacing w:line="228" w:lineRule="auto"/>
        <w:rPr>
          <w:rFonts w:ascii="Arial" w:hAnsi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C026A0" w:rsidTr="008760BB">
        <w:tc>
          <w:tcPr>
            <w:tcW w:w="3078" w:type="dxa"/>
            <w:shd w:val="clear" w:color="auto" w:fill="F2F2F2" w:themeFill="background1" w:themeFillShade="F2"/>
          </w:tcPr>
          <w:p w:rsidR="00C026A0" w:rsidRPr="00C026A0" w:rsidRDefault="00C026A0" w:rsidP="00C026A0">
            <w:pPr>
              <w:spacing w:line="228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026A0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C026A0" w:rsidRPr="00C026A0" w:rsidRDefault="00C026A0" w:rsidP="00C026A0">
            <w:pPr>
              <w:spacing w:line="228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026A0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C026A0" w:rsidTr="008760BB">
        <w:tc>
          <w:tcPr>
            <w:tcW w:w="3078" w:type="dxa"/>
          </w:tcPr>
          <w:p w:rsidR="00C026A0" w:rsidRDefault="00C026A0" w:rsidP="00C026A0">
            <w:p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August 10, 2015</w:t>
            </w:r>
          </w:p>
        </w:tc>
        <w:tc>
          <w:tcPr>
            <w:tcW w:w="5778" w:type="dxa"/>
          </w:tcPr>
          <w:p w:rsidR="00C026A0" w:rsidRDefault="00C026A0" w:rsidP="00C026A0">
            <w:pPr>
              <w:pStyle w:val="ListParagraph"/>
              <w:numPr>
                <w:ilvl w:val="0"/>
                <w:numId w:val="15"/>
              </w:num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C026A0" w:rsidRDefault="00C026A0" w:rsidP="00C026A0">
            <w:pPr>
              <w:pStyle w:val="ListParagraph"/>
              <w:numPr>
                <w:ilvl w:val="0"/>
                <w:numId w:val="15"/>
              </w:num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sections 6.0 &amp; 8.0</w:t>
            </w:r>
          </w:p>
          <w:p w:rsidR="00C026A0" w:rsidRPr="00C026A0" w:rsidRDefault="00C026A0" w:rsidP="00C026A0">
            <w:pPr>
              <w:pStyle w:val="ListParagraph"/>
              <w:numPr>
                <w:ilvl w:val="0"/>
                <w:numId w:val="15"/>
              </w:num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Updated list of references to include most recent editions</w:t>
            </w:r>
          </w:p>
        </w:tc>
      </w:tr>
    </w:tbl>
    <w:p w:rsidR="00C026A0" w:rsidRPr="00C026A0" w:rsidRDefault="00C026A0" w:rsidP="00C026A0">
      <w:pPr>
        <w:spacing w:line="228" w:lineRule="auto"/>
        <w:rPr>
          <w:rFonts w:ascii="Arial" w:hAnsi="Arial"/>
          <w:sz w:val="22"/>
          <w:szCs w:val="22"/>
        </w:rPr>
      </w:pPr>
    </w:p>
    <w:p w:rsidR="00626E7A" w:rsidRPr="00626E7A" w:rsidRDefault="00626E7A" w:rsidP="00626E7A">
      <w:pPr>
        <w:spacing w:line="228" w:lineRule="auto"/>
        <w:ind w:left="1418" w:hanging="567"/>
        <w:rPr>
          <w:rFonts w:ascii="Arial" w:hAnsi="Arial"/>
          <w:sz w:val="24"/>
        </w:rPr>
      </w:pPr>
    </w:p>
    <w:p w:rsidR="002A6041" w:rsidRDefault="002A6041" w:rsidP="00BF1A9F">
      <w:pPr>
        <w:spacing w:line="228" w:lineRule="auto"/>
        <w:rPr>
          <w:rFonts w:ascii="Arial" w:hAnsi="Arial"/>
          <w:sz w:val="24"/>
        </w:rPr>
      </w:pPr>
    </w:p>
    <w:p w:rsidR="002A6041" w:rsidRDefault="002A6041">
      <w:pPr>
        <w:tabs>
          <w:tab w:val="left" w:pos="3051"/>
        </w:tabs>
        <w:rPr>
          <w:rFonts w:ascii="Arial" w:hAnsi="Arial"/>
          <w:sz w:val="24"/>
        </w:rPr>
      </w:pPr>
    </w:p>
    <w:sectPr w:rsidR="002A6041" w:rsidSect="00876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66" w:right="1800" w:bottom="662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4" w:rsidRDefault="00F953E4">
      <w:r>
        <w:separator/>
      </w:r>
    </w:p>
  </w:endnote>
  <w:endnote w:type="continuationSeparator" w:id="0">
    <w:p w:rsidR="00F953E4" w:rsidRDefault="00F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BB" w:rsidRDefault="00876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>
      <w:trPr>
        <w:trHeight w:val="720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8760BB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241395F3" wp14:editId="1E6C5648">
                <wp:extent cx="731520" cy="45910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BCoN Logo Map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4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75D7A" w:rsidRDefault="00BF1A9F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BF1A9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ADM.002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427519">
            <w:rPr>
              <w:rFonts w:ascii="Arial" w:hAnsi="Arial"/>
              <w:noProof/>
              <w:sz w:val="18"/>
            </w:rPr>
            <w:t>3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427519">
            <w:rPr>
              <w:rFonts w:ascii="Arial" w:hAnsi="Arial"/>
              <w:noProof/>
              <w:sz w:val="18"/>
            </w:rPr>
            <w:t>3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>
      <w:trPr>
        <w:trHeight w:val="720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427519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1DB56818" wp14:editId="53672BF2">
                <wp:extent cx="731520" cy="45910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BCoN Logo Map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4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75D7A" w:rsidRDefault="00BF1A9F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</w:t>
          </w:r>
          <w:bookmarkStart w:id="0" w:name="_GoBack"/>
          <w:bookmarkEnd w:id="0"/>
          <w:r>
            <w:rPr>
              <w:rFonts w:ascii="Arial" w:hAnsi="Arial"/>
              <w:sz w:val="18"/>
            </w:rPr>
            <w:t>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DA7E7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BF1A9F">
            <w:rPr>
              <w:rFonts w:ascii="Arial" w:hAnsi="Arial"/>
              <w:sz w:val="18"/>
            </w:rPr>
            <w:t>DM</w:t>
          </w:r>
          <w:r>
            <w:rPr>
              <w:rFonts w:ascii="Arial" w:hAnsi="Arial"/>
              <w:sz w:val="18"/>
            </w:rPr>
            <w:t>.002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427519">
            <w:rPr>
              <w:rFonts w:ascii="Arial" w:hAnsi="Arial"/>
              <w:noProof/>
              <w:sz w:val="18"/>
            </w:rPr>
            <w:t>1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427519">
            <w:rPr>
              <w:rFonts w:ascii="Arial" w:hAnsi="Arial"/>
              <w:noProof/>
              <w:sz w:val="18"/>
            </w:rPr>
            <w:t>3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4" w:rsidRDefault="00F953E4">
      <w:r>
        <w:separator/>
      </w:r>
    </w:p>
  </w:footnote>
  <w:footnote w:type="continuationSeparator" w:id="0">
    <w:p w:rsidR="00F953E4" w:rsidRDefault="00F9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BB" w:rsidRDefault="00876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E95C8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Notification to Patients of Transfusion of Blood Components and/or Blood Products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C026A0">
    <w:pPr>
      <w:pStyle w:val="Header"/>
      <w:tabs>
        <w:tab w:val="clear" w:pos="8640"/>
        <w:tab w:val="left" w:pos="5057"/>
      </w:tabs>
    </w:pPr>
    <w:r>
      <w:rPr>
        <w:noProof/>
        <w:lang w:val="en-CA" w:eastAsia="en-CA"/>
      </w:rPr>
      <w:drawing>
        <wp:inline distT="0" distB="0" distL="0" distR="0" wp14:anchorId="1AEEC432" wp14:editId="54E98569">
          <wp:extent cx="1161288" cy="467633"/>
          <wp:effectExtent l="0" t="0" r="127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 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46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0BB" w:rsidRDefault="008760BB">
    <w:pPr>
      <w:pStyle w:val="Header"/>
      <w:tabs>
        <w:tab w:val="clear" w:pos="8640"/>
        <w:tab w:val="left" w:pos="5057"/>
      </w:tabs>
    </w:pPr>
  </w:p>
  <w:p w:rsidR="00C75D7A" w:rsidRPr="008760BB" w:rsidRDefault="00C026A0" w:rsidP="00C026A0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4"/>
      </w:rPr>
    </w:pPr>
    <w:r w:rsidRPr="008760BB">
      <w:rPr>
        <w:rFonts w:ascii="Arial" w:hAnsi="Arial" w:cs="Arial"/>
        <w:b/>
        <w:bCs/>
        <w:sz w:val="24"/>
      </w:rPr>
      <w:t>Ontario Regional Blood Coordinating Network</w:t>
    </w:r>
  </w:p>
  <w:p w:rsidR="00C026A0" w:rsidRPr="008760BB" w:rsidRDefault="00C026A0" w:rsidP="00C026A0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4"/>
      </w:rPr>
    </w:pPr>
    <w:r w:rsidRPr="008760BB">
      <w:rPr>
        <w:rFonts w:ascii="Arial" w:hAnsi="Arial" w:cs="Arial"/>
        <w:b/>
        <w:bCs/>
        <w:sz w:val="24"/>
      </w:rPr>
      <w:t>Transfusion Technical Resource Manual</w:t>
    </w:r>
  </w:p>
  <w:p w:rsidR="00C75D7A" w:rsidRDefault="00C75D7A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</w:p>
  <w:p w:rsidR="00C75D7A" w:rsidRDefault="00DA7E78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Notification to Patients of Transfusion of Blood Components or </w:t>
    </w:r>
    <w:r w:rsidR="00E95C83">
      <w:rPr>
        <w:rFonts w:ascii="Arial" w:hAnsi="Arial"/>
        <w:b/>
        <w:sz w:val="28"/>
      </w:rPr>
      <w:t xml:space="preserve">Blood </w:t>
    </w:r>
    <w:r>
      <w:rPr>
        <w:rFonts w:ascii="Arial" w:hAnsi="Arial"/>
        <w:b/>
        <w:sz w:val="28"/>
      </w:rPr>
      <w:t>Products</w:t>
    </w:r>
  </w:p>
  <w:p w:rsidR="00C75D7A" w:rsidRDefault="00C75D7A">
    <w:pPr>
      <w:pStyle w:val="Header"/>
      <w:tabs>
        <w:tab w:val="left" w:pos="661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626E7A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FDF6B" wp14:editId="7F1AD047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13335" t="11430" r="571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Y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0zR9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hUKGFR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C75D7A">
      <w:tc>
        <w:tcPr>
          <w:tcW w:w="4428" w:type="dxa"/>
        </w:tcPr>
        <w:p w:rsidR="00C75D7A" w:rsidRDefault="00C75D7A" w:rsidP="000447C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DA7E78" w:rsidRDefault="00C75D7A" w:rsidP="00414E7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Document No: </w:t>
          </w:r>
          <w:r w:rsidR="00DA7E78">
            <w:rPr>
              <w:rFonts w:ascii="Arial" w:hAnsi="Arial" w:cs="Arial"/>
            </w:rPr>
            <w:t>A</w:t>
          </w:r>
          <w:r w:rsidR="00BF1A9F">
            <w:rPr>
              <w:rFonts w:ascii="Arial" w:hAnsi="Arial" w:cs="Arial"/>
            </w:rPr>
            <w:t>DM</w:t>
          </w:r>
          <w:r w:rsidR="00DA7E78">
            <w:rPr>
              <w:rFonts w:ascii="Arial" w:hAnsi="Arial" w:cs="Arial"/>
            </w:rPr>
            <w:t>.002</w:t>
          </w:r>
        </w:p>
      </w:tc>
    </w:tr>
    <w:tr w:rsidR="00C75D7A">
      <w:tc>
        <w:tcPr>
          <w:tcW w:w="4428" w:type="dxa"/>
        </w:tcPr>
        <w:p w:rsidR="00C75D7A" w:rsidRDefault="00C75D7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C75D7A" w:rsidRDefault="00C75D7A" w:rsidP="00DA7E7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Category:  </w:t>
          </w:r>
          <w:r w:rsidR="00DA7E78">
            <w:rPr>
              <w:rFonts w:ascii="Arial" w:hAnsi="Arial" w:cs="Arial"/>
            </w:rPr>
            <w:t>Administration</w:t>
          </w:r>
        </w:p>
      </w:tc>
    </w:tr>
    <w:tr w:rsidR="00C75D7A">
      <w:tc>
        <w:tcPr>
          <w:tcW w:w="4428" w:type="dxa"/>
        </w:tcPr>
        <w:p w:rsidR="00C75D7A" w:rsidRDefault="00BF1A9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</w:t>
          </w:r>
          <w:r w:rsidR="00C75D7A">
            <w:rPr>
              <w:rFonts w:ascii="Arial" w:hAnsi="Arial" w:cs="Arial"/>
            </w:rPr>
            <w:t>/09/01</w:t>
          </w:r>
          <w:r>
            <w:rPr>
              <w:rFonts w:ascii="Arial" w:hAnsi="Arial" w:cs="Arial"/>
            </w:rPr>
            <w:t>; 2015/08/10</w:t>
          </w:r>
        </w:p>
      </w:tc>
      <w:tc>
        <w:tcPr>
          <w:tcW w:w="4428" w:type="dxa"/>
        </w:tcPr>
        <w:p w:rsidR="00C75D7A" w:rsidRDefault="00C75D7A" w:rsidP="00414E7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 w:rsidR="000F5534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 w:rsidR="000F5534">
            <w:rPr>
              <w:rFonts w:ascii="Arial" w:hAnsi="Arial" w:cs="Arial"/>
            </w:rPr>
            <w:fldChar w:fldCharType="separate"/>
          </w:r>
          <w:r w:rsidR="00427519">
            <w:rPr>
              <w:rFonts w:ascii="Arial" w:hAnsi="Arial" w:cs="Arial"/>
              <w:noProof/>
            </w:rPr>
            <w:t>1</w:t>
          </w:r>
          <w:r w:rsidR="000F5534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 w:rsidR="00626E7A">
            <w:rPr>
              <w:rFonts w:ascii="Arial" w:hAnsi="Arial" w:cs="Arial"/>
            </w:rPr>
            <w:t>3</w:t>
          </w:r>
        </w:p>
      </w:tc>
    </w:tr>
  </w:tbl>
  <w:p w:rsidR="00C75D7A" w:rsidRDefault="00626E7A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52DC7" wp14:editId="3BA9FA0B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13335" t="8255" r="5715" b="1079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+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Oj435w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75D7A">
      <w:rPr>
        <w:rFonts w:ascii="Arial" w:hAnsi="Arial" w:cs="Arial"/>
      </w:rPr>
      <w:tab/>
    </w:r>
  </w:p>
  <w:p w:rsidR="00C75D7A" w:rsidRDefault="00C75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C6"/>
    <w:multiLevelType w:val="multilevel"/>
    <w:tmpl w:val="E71CDE1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A713F01"/>
    <w:multiLevelType w:val="hybridMultilevel"/>
    <w:tmpl w:val="9BBE606A"/>
    <w:lvl w:ilvl="0" w:tplc="33047290">
      <w:start w:val="1"/>
      <w:numFmt w:val="decimal"/>
      <w:lvlText w:val="6.1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C4277"/>
    <w:multiLevelType w:val="hybridMultilevel"/>
    <w:tmpl w:val="86F04FA6"/>
    <w:lvl w:ilvl="0" w:tplc="B43AC7D0">
      <w:start w:val="1"/>
      <w:numFmt w:val="decimal"/>
      <w:lvlText w:val="6.4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EC1770B"/>
    <w:multiLevelType w:val="hybridMultilevel"/>
    <w:tmpl w:val="5A32A5AE"/>
    <w:lvl w:ilvl="0" w:tplc="0B344EA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5724A40"/>
    <w:multiLevelType w:val="hybridMultilevel"/>
    <w:tmpl w:val="5A0E44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C382A"/>
    <w:multiLevelType w:val="hybridMultilevel"/>
    <w:tmpl w:val="36C20A12"/>
    <w:lvl w:ilvl="0" w:tplc="C630C5B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E7957B1"/>
    <w:multiLevelType w:val="hybridMultilevel"/>
    <w:tmpl w:val="CC80D3A6"/>
    <w:lvl w:ilvl="0" w:tplc="A8986A8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95428"/>
    <w:multiLevelType w:val="hybridMultilevel"/>
    <w:tmpl w:val="59B4D3A6"/>
    <w:lvl w:ilvl="0" w:tplc="62C0C0A6">
      <w:start w:val="1"/>
      <w:numFmt w:val="decimal"/>
      <w:lvlText w:val="6.6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1BA2"/>
    <w:multiLevelType w:val="hybridMultilevel"/>
    <w:tmpl w:val="7C126064"/>
    <w:lvl w:ilvl="0" w:tplc="A36286BA">
      <w:start w:val="1"/>
      <w:numFmt w:val="decimal"/>
      <w:lvlText w:val="6.3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8551F66"/>
    <w:multiLevelType w:val="hybridMultilevel"/>
    <w:tmpl w:val="4D760A8C"/>
    <w:lvl w:ilvl="0" w:tplc="1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60B13135"/>
    <w:multiLevelType w:val="hybridMultilevel"/>
    <w:tmpl w:val="E60CD66C"/>
    <w:lvl w:ilvl="0" w:tplc="33047290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D7A7A"/>
    <w:multiLevelType w:val="hybridMultilevel"/>
    <w:tmpl w:val="D0642BFC"/>
    <w:lvl w:ilvl="0" w:tplc="A36286BA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37B19"/>
    <w:multiLevelType w:val="multilevel"/>
    <w:tmpl w:val="968AB1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CEC6902"/>
    <w:multiLevelType w:val="hybridMultilevel"/>
    <w:tmpl w:val="D34C9968"/>
    <w:lvl w:ilvl="0" w:tplc="B5EE22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5C40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41"/>
    <w:rsid w:val="000447C6"/>
    <w:rsid w:val="0007578E"/>
    <w:rsid w:val="000C5397"/>
    <w:rsid w:val="000F5534"/>
    <w:rsid w:val="001E0BEE"/>
    <w:rsid w:val="002343AE"/>
    <w:rsid w:val="002A6041"/>
    <w:rsid w:val="002D0FC7"/>
    <w:rsid w:val="00414E71"/>
    <w:rsid w:val="00427519"/>
    <w:rsid w:val="00560D39"/>
    <w:rsid w:val="00626E7A"/>
    <w:rsid w:val="00867D86"/>
    <w:rsid w:val="008760BB"/>
    <w:rsid w:val="008A5CDA"/>
    <w:rsid w:val="00BA09E7"/>
    <w:rsid w:val="00BF1A9F"/>
    <w:rsid w:val="00C026A0"/>
    <w:rsid w:val="00C75D7A"/>
    <w:rsid w:val="00DA7E78"/>
    <w:rsid w:val="00E95C83"/>
    <w:rsid w:val="00EF5911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6439-BC85-4FB4-B7BA-895B44CF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NRT.001 Prewarm Technique</vt:lpstr>
    </vt:vector>
  </TitlesOfParts>
  <Company>The Ottawa Hospital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NRT.001 Prewarm Technique</dc:title>
  <dc:creator>Transfusion Ontario Program Office</dc:creator>
  <cp:lastModifiedBy>Greening, Emma</cp:lastModifiedBy>
  <cp:revision>7</cp:revision>
  <cp:lastPrinted>2002-05-31T15:29:00Z</cp:lastPrinted>
  <dcterms:created xsi:type="dcterms:W3CDTF">2015-07-29T18:34:00Z</dcterms:created>
  <dcterms:modified xsi:type="dcterms:W3CDTF">2015-10-27T12:39:00Z</dcterms:modified>
</cp:coreProperties>
</file>