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FA" w:rsidRDefault="002A6041" w:rsidP="0066016E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8E2DFA" w:rsidRDefault="008E2DFA" w:rsidP="008E2DFA">
      <w:pPr>
        <w:ind w:left="720"/>
        <w:rPr>
          <w:rFonts w:ascii="Arial" w:hAnsi="Arial"/>
          <w:b/>
          <w:sz w:val="28"/>
        </w:rPr>
      </w:pPr>
    </w:p>
    <w:p w:rsidR="002A6041" w:rsidRPr="008E2DFA" w:rsidRDefault="00CE1C04" w:rsidP="0066016E">
      <w:pPr>
        <w:ind w:left="720"/>
        <w:rPr>
          <w:rFonts w:ascii="Arial" w:hAnsi="Arial"/>
          <w:b/>
          <w:sz w:val="28"/>
        </w:rPr>
      </w:pPr>
      <w:r w:rsidRPr="008E2DFA">
        <w:rPr>
          <w:rFonts w:ascii="Arial" w:hAnsi="Arial"/>
          <w:sz w:val="24"/>
          <w:szCs w:val="24"/>
        </w:rPr>
        <w:t>To establish the elements of a quality system to write, revise, review, distribute, maintain and retain controlled documents of the Ontario Transfusion Technical Resource Manual (OTTRM).</w:t>
      </w:r>
    </w:p>
    <w:p w:rsidR="002A6041" w:rsidRDefault="002A6041">
      <w:pPr>
        <w:ind w:left="720"/>
        <w:rPr>
          <w:rFonts w:ascii="Arial" w:hAnsi="Arial"/>
        </w:rPr>
      </w:pPr>
    </w:p>
    <w:p w:rsidR="002A6041" w:rsidRDefault="002A6041" w:rsidP="0066016E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2A6041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E1C04" w:rsidRPr="0009418A" w:rsidRDefault="00CE1C04" w:rsidP="008E2DFA">
      <w:pPr>
        <w:pStyle w:val="ListParagraph"/>
        <w:numPr>
          <w:ilvl w:val="0"/>
          <w:numId w:val="14"/>
        </w:numPr>
        <w:ind w:left="1440" w:hanging="708"/>
        <w:rPr>
          <w:rFonts w:ascii="Arial" w:hAnsi="Arial"/>
          <w:sz w:val="24"/>
          <w:szCs w:val="24"/>
        </w:rPr>
      </w:pPr>
      <w:r w:rsidRPr="0009418A">
        <w:rPr>
          <w:rFonts w:ascii="Arial" w:hAnsi="Arial"/>
          <w:sz w:val="24"/>
          <w:szCs w:val="24"/>
        </w:rPr>
        <w:t>Applies to all OTTRM procedures and is intended for use by facilities with a hospital T</w:t>
      </w:r>
      <w:r w:rsidR="004A1067">
        <w:rPr>
          <w:rFonts w:ascii="Arial" w:hAnsi="Arial"/>
          <w:sz w:val="24"/>
          <w:szCs w:val="24"/>
        </w:rPr>
        <w:t>ransfusion Medicine Laboratory (TML</w:t>
      </w:r>
      <w:r w:rsidRPr="0009418A">
        <w:rPr>
          <w:rFonts w:ascii="Arial" w:hAnsi="Arial"/>
          <w:sz w:val="24"/>
          <w:szCs w:val="24"/>
        </w:rPr>
        <w:t>).</w:t>
      </w:r>
    </w:p>
    <w:p w:rsidR="008E2DFA" w:rsidRPr="008E2DFA" w:rsidRDefault="008E2DFA" w:rsidP="008E2DFA">
      <w:pPr>
        <w:pStyle w:val="ListParagraph"/>
        <w:ind w:left="1440"/>
        <w:rPr>
          <w:rFonts w:ascii="Arial" w:hAnsi="Arial"/>
          <w:b/>
          <w:sz w:val="24"/>
          <w:szCs w:val="24"/>
          <w:u w:val="single"/>
        </w:rPr>
      </w:pPr>
    </w:p>
    <w:p w:rsidR="00CE1C04" w:rsidRPr="0009418A" w:rsidRDefault="004A1067" w:rsidP="008E2DFA">
      <w:pPr>
        <w:pStyle w:val="ListParagraph"/>
        <w:numPr>
          <w:ilvl w:val="0"/>
          <w:numId w:val="14"/>
        </w:numPr>
        <w:ind w:left="1440" w:hanging="708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Document control</w:t>
      </w:r>
      <w:r w:rsidR="00CE1C04" w:rsidRPr="0009418A">
        <w:rPr>
          <w:rFonts w:ascii="Arial" w:hAnsi="Arial"/>
          <w:sz w:val="24"/>
          <w:szCs w:val="24"/>
        </w:rPr>
        <w:t xml:space="preserve"> will be used to ensure appropriate archiving</w:t>
      </w:r>
      <w:r>
        <w:rPr>
          <w:rFonts w:ascii="Arial" w:hAnsi="Arial"/>
          <w:sz w:val="24"/>
          <w:szCs w:val="24"/>
        </w:rPr>
        <w:t xml:space="preserve"> and documentation of revisions</w:t>
      </w:r>
      <w:r w:rsidR="00CE1C04" w:rsidRPr="0009418A">
        <w:rPr>
          <w:rFonts w:ascii="Arial" w:hAnsi="Arial"/>
          <w:sz w:val="24"/>
          <w:szCs w:val="24"/>
        </w:rPr>
        <w:t>.</w:t>
      </w:r>
    </w:p>
    <w:p w:rsidR="008E2DFA" w:rsidRDefault="008E2DFA" w:rsidP="008E2DFA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CE1C04" w:rsidRPr="0009418A" w:rsidRDefault="00CE1C04" w:rsidP="008E2DFA">
      <w:pPr>
        <w:pStyle w:val="ListParagraph"/>
        <w:numPr>
          <w:ilvl w:val="0"/>
          <w:numId w:val="14"/>
        </w:numPr>
        <w:ind w:left="1440" w:hanging="708"/>
        <w:rPr>
          <w:rFonts w:ascii="Arial" w:hAnsi="Arial"/>
          <w:sz w:val="24"/>
          <w:szCs w:val="24"/>
        </w:rPr>
      </w:pPr>
      <w:r w:rsidRPr="0009418A">
        <w:rPr>
          <w:rFonts w:ascii="Arial" w:hAnsi="Arial"/>
          <w:sz w:val="24"/>
          <w:szCs w:val="24"/>
        </w:rPr>
        <w:t>ORBCoN performs document control activities.</w:t>
      </w:r>
    </w:p>
    <w:p w:rsidR="008E2DFA" w:rsidRDefault="008E2DFA" w:rsidP="008E2DFA">
      <w:pPr>
        <w:pStyle w:val="ListParagraph"/>
        <w:ind w:left="1440"/>
        <w:rPr>
          <w:rFonts w:ascii="Arial" w:hAnsi="Arial"/>
          <w:sz w:val="24"/>
          <w:szCs w:val="24"/>
        </w:rPr>
      </w:pPr>
    </w:p>
    <w:p w:rsidR="00CE1C04" w:rsidRPr="0009418A" w:rsidRDefault="004A1067" w:rsidP="008E2DFA">
      <w:pPr>
        <w:pStyle w:val="ListParagraph"/>
        <w:numPr>
          <w:ilvl w:val="0"/>
          <w:numId w:val="14"/>
        </w:numPr>
        <w:ind w:left="1440" w:hanging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 w:rsidR="00CE1C04" w:rsidRPr="0009418A">
        <w:rPr>
          <w:rFonts w:ascii="Arial" w:hAnsi="Arial"/>
          <w:sz w:val="24"/>
          <w:szCs w:val="24"/>
        </w:rPr>
        <w:t>ocuments for OTTRM include procedures contained in:</w:t>
      </w:r>
      <w:r w:rsidR="00CE1C04" w:rsidRPr="0009418A">
        <w:rPr>
          <w:rFonts w:ascii="Arial" w:hAnsi="Arial"/>
          <w:sz w:val="24"/>
          <w:szCs w:val="24"/>
        </w:rPr>
        <w:br/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  <w:lang w:val="fr-CA"/>
        </w:rPr>
      </w:pPr>
      <w:r w:rsidRPr="004B7A63">
        <w:rPr>
          <w:rFonts w:ascii="Arial" w:hAnsi="Arial"/>
          <w:sz w:val="24"/>
          <w:szCs w:val="24"/>
          <w:lang w:val="fr-CA"/>
        </w:rPr>
        <w:t>Section PA</w:t>
      </w:r>
      <w:r w:rsidRPr="004B7A63">
        <w:rPr>
          <w:rFonts w:ascii="Arial" w:hAnsi="Arial"/>
          <w:sz w:val="24"/>
          <w:szCs w:val="24"/>
          <w:lang w:val="fr-CA"/>
        </w:rPr>
        <w:tab/>
      </w:r>
      <w:r>
        <w:rPr>
          <w:rFonts w:ascii="Arial" w:hAnsi="Arial"/>
          <w:sz w:val="24"/>
          <w:szCs w:val="24"/>
          <w:lang w:val="fr-CA"/>
        </w:rPr>
        <w:tab/>
      </w:r>
      <w:proofErr w:type="spellStart"/>
      <w:r w:rsidRPr="004B7A63">
        <w:rPr>
          <w:rFonts w:ascii="Arial" w:hAnsi="Arial"/>
          <w:sz w:val="24"/>
          <w:szCs w:val="24"/>
          <w:lang w:val="fr-CA"/>
        </w:rPr>
        <w:t>Pre-Analysis</w:t>
      </w:r>
      <w:proofErr w:type="spellEnd"/>
      <w:r w:rsidRPr="004B7A63">
        <w:rPr>
          <w:rFonts w:ascii="Arial" w:hAnsi="Arial"/>
          <w:sz w:val="24"/>
          <w:szCs w:val="24"/>
          <w:lang w:val="fr-CA"/>
        </w:rPr>
        <w:t xml:space="preserve"> 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  <w:lang w:val="en-CA"/>
        </w:rPr>
      </w:pPr>
      <w:r w:rsidRPr="004B7A63">
        <w:rPr>
          <w:rFonts w:ascii="Arial" w:hAnsi="Arial"/>
          <w:sz w:val="24"/>
          <w:szCs w:val="24"/>
          <w:lang w:val="en-CA"/>
        </w:rPr>
        <w:t>Section RT</w:t>
      </w:r>
      <w:r w:rsidRPr="004B7A63">
        <w:rPr>
          <w:rFonts w:ascii="Arial" w:hAnsi="Arial"/>
          <w:sz w:val="24"/>
          <w:szCs w:val="24"/>
          <w:lang w:val="en-CA"/>
        </w:rPr>
        <w:tab/>
      </w:r>
      <w:r w:rsidRPr="004B7A63">
        <w:rPr>
          <w:rFonts w:ascii="Arial" w:hAnsi="Arial"/>
          <w:sz w:val="24"/>
          <w:szCs w:val="24"/>
          <w:lang w:val="en-CA"/>
        </w:rPr>
        <w:tab/>
        <w:t>Routine Testing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 xml:space="preserve">Section GM 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>Gel Methods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SPM</w:t>
      </w:r>
      <w:r w:rsidRPr="004B7A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>Solid Phase Methods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  <w:lang w:val="fr-CA"/>
        </w:rPr>
      </w:pPr>
      <w:r w:rsidRPr="004B7A63">
        <w:rPr>
          <w:rFonts w:ascii="Arial" w:hAnsi="Arial"/>
          <w:sz w:val="24"/>
          <w:szCs w:val="24"/>
          <w:lang w:val="fr-CA"/>
        </w:rPr>
        <w:t>Section NRT</w:t>
      </w:r>
      <w:r w:rsidRPr="004B7A63">
        <w:rPr>
          <w:rFonts w:ascii="Arial" w:hAnsi="Arial"/>
          <w:sz w:val="24"/>
          <w:szCs w:val="24"/>
          <w:lang w:val="fr-CA"/>
        </w:rPr>
        <w:tab/>
      </w:r>
      <w:r w:rsidRPr="004B7A63">
        <w:rPr>
          <w:rFonts w:ascii="Arial" w:hAnsi="Arial"/>
          <w:sz w:val="24"/>
          <w:szCs w:val="24"/>
          <w:lang w:val="fr-CA"/>
        </w:rPr>
        <w:tab/>
        <w:t xml:space="preserve">Non-Routine </w:t>
      </w:r>
      <w:proofErr w:type="spellStart"/>
      <w:r w:rsidRPr="004B7A63">
        <w:rPr>
          <w:rFonts w:ascii="Arial" w:hAnsi="Arial"/>
          <w:sz w:val="24"/>
          <w:szCs w:val="24"/>
          <w:lang w:val="fr-CA"/>
        </w:rPr>
        <w:t>Testing</w:t>
      </w:r>
      <w:proofErr w:type="spellEnd"/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SP</w:t>
      </w:r>
      <w:r w:rsidRPr="004B7A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>Special Procedures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RP</w:t>
      </w:r>
      <w:r w:rsidRPr="004B7A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>Reagent Preparation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 CSP</w:t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ab/>
        <w:t xml:space="preserve">Component Selection and Preparation 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IM</w:t>
      </w:r>
      <w:r w:rsidRPr="004B7A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 xml:space="preserve">Inventory Management </w:t>
      </w:r>
    </w:p>
    <w:p w:rsidR="004B7A63" w:rsidRPr="004B7A63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QCA</w:t>
      </w:r>
      <w:r w:rsidRPr="004B7A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B7A63">
        <w:rPr>
          <w:rFonts w:ascii="Arial" w:hAnsi="Arial"/>
          <w:sz w:val="24"/>
          <w:szCs w:val="24"/>
        </w:rPr>
        <w:t>Quality Control/</w:t>
      </w:r>
      <w:r w:rsidR="00204E2C">
        <w:rPr>
          <w:rFonts w:ascii="Arial" w:hAnsi="Arial"/>
          <w:sz w:val="24"/>
          <w:szCs w:val="24"/>
        </w:rPr>
        <w:t xml:space="preserve"> </w:t>
      </w:r>
      <w:r w:rsidRPr="004B7A63">
        <w:rPr>
          <w:rFonts w:ascii="Arial" w:hAnsi="Arial"/>
          <w:sz w:val="24"/>
          <w:szCs w:val="24"/>
        </w:rPr>
        <w:t>Assurance</w:t>
      </w:r>
    </w:p>
    <w:p w:rsidR="00223C5B" w:rsidRDefault="004B7A63" w:rsidP="004B7A63">
      <w:pPr>
        <w:pStyle w:val="ListParagraph"/>
        <w:numPr>
          <w:ilvl w:val="0"/>
          <w:numId w:val="19"/>
        </w:numPr>
        <w:rPr>
          <w:rFonts w:ascii="Arial" w:hAnsi="Arial"/>
          <w:sz w:val="24"/>
          <w:szCs w:val="24"/>
        </w:rPr>
      </w:pPr>
      <w:r w:rsidRPr="004B7A63">
        <w:rPr>
          <w:rFonts w:ascii="Arial" w:hAnsi="Arial"/>
          <w:sz w:val="24"/>
          <w:szCs w:val="24"/>
        </w:rPr>
        <w:t>Section  ADM</w:t>
      </w:r>
      <w:r w:rsidRPr="004B7A63">
        <w:rPr>
          <w:rFonts w:ascii="Arial" w:hAnsi="Arial"/>
          <w:sz w:val="24"/>
          <w:szCs w:val="24"/>
        </w:rPr>
        <w:tab/>
        <w:t>Administration</w:t>
      </w:r>
    </w:p>
    <w:p w:rsidR="004B7A63" w:rsidRDefault="004B7A63" w:rsidP="00223C5B">
      <w:pPr>
        <w:pStyle w:val="ListParagraph"/>
        <w:ind w:left="1134"/>
        <w:rPr>
          <w:rFonts w:ascii="Arial" w:hAnsi="Arial"/>
          <w:sz w:val="24"/>
          <w:szCs w:val="24"/>
        </w:rPr>
      </w:pPr>
    </w:p>
    <w:p w:rsidR="002A6041" w:rsidRPr="008E2DFA" w:rsidRDefault="00223C5B" w:rsidP="008E2DFA">
      <w:pPr>
        <w:pStyle w:val="ListParagraph"/>
        <w:numPr>
          <w:ilvl w:val="0"/>
          <w:numId w:val="14"/>
        </w:numPr>
        <w:ind w:left="1440" w:hanging="720"/>
        <w:rPr>
          <w:rFonts w:ascii="Arial" w:hAnsi="Arial"/>
          <w:sz w:val="18"/>
        </w:rPr>
      </w:pPr>
      <w:r w:rsidRPr="008E2DFA">
        <w:rPr>
          <w:rFonts w:ascii="Arial" w:hAnsi="Arial"/>
          <w:sz w:val="24"/>
          <w:szCs w:val="24"/>
        </w:rPr>
        <w:t xml:space="preserve">The document control system provides for back up of all </w:t>
      </w:r>
      <w:r w:rsidR="004A1067" w:rsidRPr="008E2DFA">
        <w:rPr>
          <w:rFonts w:ascii="Arial" w:hAnsi="Arial"/>
          <w:sz w:val="24"/>
          <w:szCs w:val="24"/>
        </w:rPr>
        <w:t>electronically stored</w:t>
      </w:r>
      <w:r w:rsidRPr="008E2DFA">
        <w:rPr>
          <w:rFonts w:ascii="Arial" w:hAnsi="Arial"/>
          <w:sz w:val="24"/>
          <w:szCs w:val="24"/>
        </w:rPr>
        <w:t xml:space="preserve"> documents and a method for fil</w:t>
      </w:r>
      <w:r w:rsidR="004A1067" w:rsidRPr="008E2DFA">
        <w:rPr>
          <w:rFonts w:ascii="Arial" w:hAnsi="Arial"/>
          <w:sz w:val="24"/>
          <w:szCs w:val="24"/>
        </w:rPr>
        <w:t>ing and archiving all</w:t>
      </w:r>
      <w:r w:rsidRPr="008E2DFA">
        <w:rPr>
          <w:rFonts w:ascii="Arial" w:hAnsi="Arial"/>
          <w:sz w:val="24"/>
          <w:szCs w:val="24"/>
        </w:rPr>
        <w:t xml:space="preserve"> documents.</w:t>
      </w:r>
      <w:r w:rsidRPr="008E2DFA">
        <w:rPr>
          <w:rFonts w:ascii="Arial" w:hAnsi="Arial"/>
          <w:sz w:val="24"/>
          <w:szCs w:val="24"/>
        </w:rPr>
        <w:br/>
      </w:r>
    </w:p>
    <w:p w:rsidR="002A6041" w:rsidRDefault="002A6041" w:rsidP="004B7A63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09418A">
        <w:rPr>
          <w:rFonts w:ascii="Arial" w:hAnsi="Arial"/>
          <w:b/>
          <w:sz w:val="28"/>
        </w:rPr>
        <w:t xml:space="preserve"> – N/A</w:t>
      </w:r>
    </w:p>
    <w:p w:rsidR="002A6041" w:rsidRDefault="002A6041" w:rsidP="004B7A63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Materials</w:t>
      </w:r>
    </w:p>
    <w:p w:rsidR="002A6041" w:rsidRPr="0009418A" w:rsidRDefault="002A6041" w:rsidP="0009418A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A6041" w:rsidRDefault="002A6041" w:rsidP="00414E71">
      <w:pP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 w:rsidR="0009418A" w:rsidRPr="0009418A">
        <w:rPr>
          <w:rFonts w:ascii="Arial" w:hAnsi="Arial"/>
          <w:kern w:val="24"/>
          <w:sz w:val="24"/>
        </w:rPr>
        <w:t xml:space="preserve">OTTRM Change Control </w:t>
      </w:r>
      <w:r w:rsidR="00F71E95" w:rsidRPr="0009418A">
        <w:rPr>
          <w:rFonts w:ascii="Arial" w:hAnsi="Arial"/>
          <w:kern w:val="24"/>
          <w:sz w:val="24"/>
        </w:rPr>
        <w:t>form (</w:t>
      </w:r>
      <w:r w:rsidR="0009418A" w:rsidRPr="0009418A">
        <w:rPr>
          <w:rFonts w:ascii="Arial" w:hAnsi="Arial"/>
          <w:kern w:val="24"/>
          <w:sz w:val="24"/>
        </w:rPr>
        <w:t>A</w:t>
      </w:r>
      <w:r w:rsidR="004A1067">
        <w:rPr>
          <w:rFonts w:ascii="Arial" w:hAnsi="Arial"/>
          <w:kern w:val="24"/>
          <w:sz w:val="24"/>
        </w:rPr>
        <w:t>DM.001F</w:t>
      </w:r>
      <w:r w:rsidR="0009418A" w:rsidRPr="0009418A">
        <w:rPr>
          <w:rFonts w:ascii="Arial" w:hAnsi="Arial"/>
          <w:kern w:val="24"/>
          <w:sz w:val="24"/>
        </w:rPr>
        <w:t>)</w:t>
      </w:r>
      <w:r>
        <w:rPr>
          <w:rFonts w:ascii="Arial" w:hAnsi="Arial"/>
          <w:sz w:val="24"/>
        </w:rPr>
        <w:tab/>
      </w:r>
    </w:p>
    <w:p w:rsidR="002A6041" w:rsidRPr="00B92F72" w:rsidRDefault="002A6041" w:rsidP="00B92F72">
      <w:pPr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A6041" w:rsidRDefault="008E2DFA" w:rsidP="004B7A63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8E2DFA" w:rsidRDefault="008E2DFA" w:rsidP="008E2DFA">
      <w:pPr>
        <w:ind w:left="720"/>
        <w:rPr>
          <w:rFonts w:ascii="Arial" w:hAnsi="Arial"/>
          <w:b/>
          <w:sz w:val="28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 xml:space="preserve">ORBCoN controls </w:t>
      </w:r>
      <w:r w:rsidR="004A1067">
        <w:rPr>
          <w:rFonts w:ascii="Arial" w:hAnsi="Arial"/>
          <w:sz w:val="24"/>
        </w:rPr>
        <w:t>procedure revisions</w:t>
      </w:r>
      <w:r w:rsidRPr="0009418A">
        <w:rPr>
          <w:rFonts w:ascii="Arial" w:hAnsi="Arial"/>
          <w:sz w:val="24"/>
        </w:rPr>
        <w:t>, additions and removal of procedures, and updates to the master index.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 xml:space="preserve">OTTRM users use procedure manuals that are maintained in controlled locations at each </w:t>
      </w:r>
      <w:r w:rsidR="004A1067">
        <w:rPr>
          <w:rFonts w:ascii="Arial" w:hAnsi="Arial"/>
          <w:sz w:val="24"/>
        </w:rPr>
        <w:t>user hospital.  Master document templates</w:t>
      </w:r>
      <w:r w:rsidRPr="0009418A">
        <w:rPr>
          <w:rFonts w:ascii="Arial" w:hAnsi="Arial"/>
          <w:sz w:val="24"/>
        </w:rPr>
        <w:t xml:space="preserve"> are stored at the Ontario Regional Blood Coordinating Network (ORBCoN) in Ottawa.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4A1067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ORBCoN maintains the revision record</w:t>
      </w:r>
      <w:r w:rsidR="0009418A" w:rsidRPr="000941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and electronic file for each procedure</w:t>
      </w:r>
      <w:r w:rsidR="0009418A" w:rsidRPr="0009418A">
        <w:rPr>
          <w:rFonts w:ascii="Arial" w:hAnsi="Arial"/>
          <w:sz w:val="24"/>
        </w:rPr>
        <w:t>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>Each document change and ra</w:t>
      </w:r>
      <w:r w:rsidR="004A1067">
        <w:rPr>
          <w:rFonts w:ascii="Arial" w:hAnsi="Arial"/>
          <w:sz w:val="24"/>
        </w:rPr>
        <w:t>tionale supporting the change should be</w:t>
      </w:r>
      <w:r w:rsidRPr="0009418A">
        <w:rPr>
          <w:rFonts w:ascii="Arial" w:hAnsi="Arial"/>
          <w:sz w:val="24"/>
        </w:rPr>
        <w:t xml:space="preserve"> documented on A</w:t>
      </w:r>
      <w:r w:rsidR="004A1067">
        <w:rPr>
          <w:rFonts w:ascii="Arial" w:hAnsi="Arial"/>
          <w:sz w:val="24"/>
        </w:rPr>
        <w:t>DM.001F</w:t>
      </w:r>
      <w:r w:rsidRPr="0009418A">
        <w:rPr>
          <w:rFonts w:ascii="Arial" w:hAnsi="Arial"/>
          <w:sz w:val="24"/>
        </w:rPr>
        <w:t xml:space="preserve">.  Changes are reviewed </w:t>
      </w:r>
      <w:r>
        <w:rPr>
          <w:rFonts w:ascii="Arial" w:hAnsi="Arial"/>
          <w:sz w:val="24"/>
        </w:rPr>
        <w:t xml:space="preserve">and approved by </w:t>
      </w:r>
      <w:r w:rsidRPr="0009418A">
        <w:rPr>
          <w:rFonts w:ascii="Arial" w:hAnsi="Arial"/>
          <w:sz w:val="24"/>
        </w:rPr>
        <w:t>ORBCoN and any designated stakeholders requested to review prior to implementation.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 xml:space="preserve">All approved and current </w:t>
      </w:r>
      <w:r w:rsidR="004A1067">
        <w:rPr>
          <w:rFonts w:ascii="Arial" w:hAnsi="Arial"/>
          <w:sz w:val="24"/>
        </w:rPr>
        <w:t>hospital specific procedures</w:t>
      </w:r>
      <w:r w:rsidRPr="0009418A">
        <w:rPr>
          <w:rFonts w:ascii="Arial" w:hAnsi="Arial"/>
          <w:sz w:val="24"/>
        </w:rPr>
        <w:t xml:space="preserve"> should be available to the laborato</w:t>
      </w:r>
      <w:r w:rsidR="004A1067">
        <w:rPr>
          <w:rFonts w:ascii="Arial" w:hAnsi="Arial"/>
          <w:sz w:val="24"/>
        </w:rPr>
        <w:t>ry personnel in the hospital TML department</w:t>
      </w:r>
      <w:r w:rsidRPr="0009418A">
        <w:rPr>
          <w:rFonts w:ascii="Arial" w:hAnsi="Arial"/>
          <w:sz w:val="24"/>
        </w:rPr>
        <w:t xml:space="preserve">. Document(s) that have been subsequently revised must be immediately removed from point of use and replaced with the revised document.  </w:t>
      </w:r>
      <w:r>
        <w:rPr>
          <w:rFonts w:ascii="Arial" w:hAnsi="Arial"/>
          <w:sz w:val="24"/>
        </w:rPr>
        <w:br/>
      </w:r>
    </w:p>
    <w:p w:rsidR="0009418A" w:rsidRPr="0009418A" w:rsidRDefault="004A1067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 listing of all</w:t>
      </w:r>
      <w:r w:rsidR="0009418A" w:rsidRPr="000941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procedure templates</w:t>
      </w:r>
      <w:r w:rsidR="0009418A" w:rsidRPr="0009418A">
        <w:rPr>
          <w:rFonts w:ascii="Arial" w:hAnsi="Arial"/>
          <w:sz w:val="24"/>
        </w:rPr>
        <w:t xml:space="preserve">, current revisions and effective dates is maintained by ORBCoN and is located on </w:t>
      </w:r>
      <w:r>
        <w:rPr>
          <w:rFonts w:ascii="Arial" w:hAnsi="Arial"/>
          <w:sz w:val="24"/>
        </w:rPr>
        <w:t xml:space="preserve">the </w:t>
      </w:r>
      <w:hyperlink r:id="rId8" w:history="1">
        <w:r w:rsidRPr="00893593">
          <w:rPr>
            <w:rStyle w:val="Hyperlink"/>
            <w:rFonts w:ascii="Arial" w:hAnsi="Arial"/>
            <w:sz w:val="24"/>
          </w:rPr>
          <w:t>www.transfusionontario.org</w:t>
        </w:r>
      </w:hyperlink>
      <w:r>
        <w:rPr>
          <w:rFonts w:ascii="Arial" w:hAnsi="Arial"/>
          <w:sz w:val="24"/>
        </w:rPr>
        <w:t xml:space="preserve"> website</w:t>
      </w:r>
      <w:r w:rsidR="0009418A" w:rsidRPr="0009418A">
        <w:rPr>
          <w:rFonts w:ascii="Arial" w:hAnsi="Arial"/>
          <w:sz w:val="24"/>
        </w:rPr>
        <w:t>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>All records of change and each</w:t>
      </w:r>
      <w:r w:rsidR="004A1067">
        <w:rPr>
          <w:rFonts w:ascii="Arial" w:hAnsi="Arial"/>
          <w:sz w:val="24"/>
        </w:rPr>
        <w:t xml:space="preserve"> official revision of a procedure template</w:t>
      </w:r>
      <w:r w:rsidRPr="0009418A">
        <w:rPr>
          <w:rFonts w:ascii="Arial" w:hAnsi="Arial"/>
          <w:sz w:val="24"/>
        </w:rPr>
        <w:t xml:space="preserve"> </w:t>
      </w:r>
      <w:proofErr w:type="gramStart"/>
      <w:r w:rsidRPr="0009418A">
        <w:rPr>
          <w:rFonts w:ascii="Arial" w:hAnsi="Arial"/>
          <w:sz w:val="24"/>
        </w:rPr>
        <w:t>is</w:t>
      </w:r>
      <w:proofErr w:type="gramEnd"/>
      <w:r w:rsidRPr="0009418A">
        <w:rPr>
          <w:rFonts w:ascii="Arial" w:hAnsi="Arial"/>
          <w:sz w:val="24"/>
        </w:rPr>
        <w:t xml:space="preserve"> maintained in a Master </w:t>
      </w:r>
      <w:r>
        <w:rPr>
          <w:rFonts w:ascii="Arial" w:hAnsi="Arial"/>
          <w:sz w:val="24"/>
        </w:rPr>
        <w:t>electronic</w:t>
      </w:r>
      <w:r w:rsidRPr="0009418A">
        <w:rPr>
          <w:rFonts w:ascii="Arial" w:hAnsi="Arial"/>
          <w:sz w:val="24"/>
        </w:rPr>
        <w:t xml:space="preserve"> file.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09418A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09418A">
        <w:rPr>
          <w:rFonts w:ascii="Arial" w:hAnsi="Arial"/>
          <w:sz w:val="24"/>
        </w:rPr>
        <w:t>A back up file is maintained of all documents.</w:t>
      </w:r>
    </w:p>
    <w:p w:rsidR="0009418A" w:rsidRPr="0009418A" w:rsidRDefault="0009418A" w:rsidP="00204E2C">
      <w:pPr>
        <w:ind w:left="1440"/>
        <w:rPr>
          <w:rFonts w:ascii="Arial" w:hAnsi="Arial"/>
          <w:sz w:val="24"/>
        </w:rPr>
      </w:pPr>
    </w:p>
    <w:p w:rsidR="0009418A" w:rsidRPr="0009418A" w:rsidRDefault="004A1067" w:rsidP="00204E2C">
      <w:pPr>
        <w:pStyle w:val="ListParagraph"/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procedure templates</w:t>
      </w:r>
      <w:r w:rsidR="0009418A" w:rsidRPr="0009418A">
        <w:rPr>
          <w:rFonts w:ascii="Arial" w:hAnsi="Arial"/>
          <w:sz w:val="24"/>
        </w:rPr>
        <w:t>, change request forms and outside correspondence relating to the procedures are retained and archived.</w:t>
      </w:r>
    </w:p>
    <w:p w:rsidR="00204E2C" w:rsidRDefault="00204E2C" w:rsidP="00204E2C">
      <w:pPr>
        <w:ind w:left="720"/>
        <w:rPr>
          <w:rFonts w:ascii="Arial" w:hAnsi="Arial"/>
          <w:b/>
          <w:sz w:val="28"/>
        </w:rPr>
      </w:pPr>
    </w:p>
    <w:p w:rsidR="002A6041" w:rsidRDefault="004A1067" w:rsidP="008E2DFA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8E2DFA" w:rsidRDefault="008E2DFA" w:rsidP="008E2DFA">
      <w:pPr>
        <w:ind w:left="720"/>
        <w:rPr>
          <w:rFonts w:ascii="Arial" w:hAnsi="Arial"/>
          <w:b/>
          <w:sz w:val="28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3549"/>
        <w:gridCol w:w="5348"/>
      </w:tblGrid>
      <w:tr w:rsidR="008E2DFA" w:rsidTr="00204E2C">
        <w:trPr>
          <w:trHeight w:val="242"/>
          <w:jc w:val="center"/>
        </w:trPr>
        <w:tc>
          <w:tcPr>
            <w:tcW w:w="3549" w:type="dxa"/>
            <w:vMerge w:val="restart"/>
            <w:shd w:val="clear" w:color="auto" w:fill="auto"/>
          </w:tcPr>
          <w:p w:rsidR="008E2DFA" w:rsidRDefault="008E2DFA" w:rsidP="0009418A">
            <w:pPr>
              <w:numPr>
                <w:ilvl w:val="0"/>
                <w:numId w:val="3"/>
              </w:numPr>
              <w:ind w:left="851" w:hanging="709"/>
              <w:rPr>
                <w:rFonts w:ascii="Arial" w:hAnsi="Arial"/>
                <w:sz w:val="24"/>
              </w:rPr>
            </w:pPr>
            <w:r w:rsidRPr="0009418A">
              <w:rPr>
                <w:rFonts w:ascii="Arial" w:hAnsi="Arial"/>
                <w:sz w:val="24"/>
              </w:rPr>
              <w:t>Requesting revis</w:t>
            </w:r>
            <w:r>
              <w:rPr>
                <w:rFonts w:ascii="Arial" w:hAnsi="Arial"/>
                <w:sz w:val="24"/>
              </w:rPr>
              <w:t>ion to a current procedure template or</w:t>
            </w:r>
            <w:r w:rsidRPr="0009418A">
              <w:rPr>
                <w:rFonts w:ascii="Arial" w:hAnsi="Arial"/>
                <w:sz w:val="24"/>
              </w:rPr>
              <w:t xml:space="preserve"> submit a </w:t>
            </w:r>
            <w:r w:rsidRPr="0009418A">
              <w:rPr>
                <w:rFonts w:ascii="Arial" w:hAnsi="Arial"/>
                <w:sz w:val="24"/>
              </w:rPr>
              <w:lastRenderedPageBreak/>
              <w:t>subject for development of a new procedure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04E2C" w:rsidRPr="00204E2C" w:rsidRDefault="008E2DFA" w:rsidP="00204E2C">
            <w:pPr>
              <w:numPr>
                <w:ilvl w:val="0"/>
                <w:numId w:val="5"/>
              </w:numPr>
              <w:ind w:left="675" w:hanging="675"/>
              <w:rPr>
                <w:rFonts w:ascii="Arial" w:hAnsi="Arial"/>
                <w:sz w:val="24"/>
              </w:rPr>
            </w:pPr>
            <w:r w:rsidRPr="0009418A">
              <w:rPr>
                <w:rFonts w:ascii="Arial" w:hAnsi="Arial"/>
                <w:sz w:val="24"/>
              </w:rPr>
              <w:lastRenderedPageBreak/>
              <w:t>Complete A</w:t>
            </w:r>
            <w:r>
              <w:rPr>
                <w:rFonts w:ascii="Arial" w:hAnsi="Arial"/>
                <w:sz w:val="24"/>
              </w:rPr>
              <w:t>DM.001F1 –</w:t>
            </w:r>
            <w:r w:rsidRPr="0009418A">
              <w:rPr>
                <w:rFonts w:ascii="Arial" w:hAnsi="Arial"/>
                <w:sz w:val="24"/>
              </w:rPr>
              <w:t xml:space="preserve"> OTTRM Change Control form and submit it </w:t>
            </w:r>
            <w:r>
              <w:rPr>
                <w:rFonts w:ascii="Arial" w:hAnsi="Arial"/>
                <w:sz w:val="24"/>
              </w:rPr>
              <w:t xml:space="preserve">via fax or email </w:t>
            </w:r>
            <w:r w:rsidRPr="0009418A">
              <w:rPr>
                <w:rFonts w:ascii="Arial" w:hAnsi="Arial"/>
                <w:sz w:val="24"/>
              </w:rPr>
              <w:t>to the ORBCoN office</w:t>
            </w:r>
            <w:r>
              <w:rPr>
                <w:rFonts w:ascii="Arial" w:hAnsi="Arial"/>
                <w:sz w:val="24"/>
              </w:rPr>
              <w:t xml:space="preserve"> (Ottawa)</w:t>
            </w:r>
            <w:r w:rsidRPr="0009418A">
              <w:rPr>
                <w:rFonts w:ascii="Arial" w:hAnsi="Arial"/>
                <w:sz w:val="24"/>
              </w:rPr>
              <w:t>.</w:t>
            </w:r>
          </w:p>
        </w:tc>
      </w:tr>
      <w:tr w:rsidR="008E2DFA" w:rsidTr="00204E2C">
        <w:trPr>
          <w:trHeight w:val="871"/>
          <w:jc w:val="center"/>
        </w:trPr>
        <w:tc>
          <w:tcPr>
            <w:tcW w:w="3549" w:type="dxa"/>
            <w:vMerge/>
            <w:shd w:val="clear" w:color="auto" w:fill="auto"/>
          </w:tcPr>
          <w:p w:rsidR="008E2DFA" w:rsidRPr="0009418A" w:rsidRDefault="008E2DFA" w:rsidP="0009418A">
            <w:pPr>
              <w:numPr>
                <w:ilvl w:val="0"/>
                <w:numId w:val="3"/>
              </w:numPr>
              <w:ind w:left="851" w:hanging="709"/>
              <w:rPr>
                <w:rFonts w:ascii="Arial" w:hAnsi="Arial"/>
                <w:sz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8E2DFA" w:rsidRPr="0009418A" w:rsidRDefault="008E2DFA" w:rsidP="0009418A">
            <w:pPr>
              <w:numPr>
                <w:ilvl w:val="0"/>
                <w:numId w:val="5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ORBCoN will</w:t>
            </w:r>
            <w:r w:rsidRPr="0009418A">
              <w:rPr>
                <w:rFonts w:ascii="Arial" w:hAnsi="Arial"/>
                <w:sz w:val="24"/>
              </w:rPr>
              <w:t xml:space="preserve"> send an acknowledgment of receipt to the originato</w:t>
            </w:r>
            <w:r>
              <w:rPr>
                <w:rFonts w:ascii="Arial" w:hAnsi="Arial"/>
                <w:sz w:val="24"/>
              </w:rPr>
              <w:t>r once it has been received.</w:t>
            </w:r>
          </w:p>
        </w:tc>
      </w:tr>
      <w:tr w:rsidR="008E2DFA" w:rsidTr="00204E2C">
        <w:trPr>
          <w:trHeight w:val="986"/>
          <w:jc w:val="center"/>
        </w:trPr>
        <w:tc>
          <w:tcPr>
            <w:tcW w:w="3549" w:type="dxa"/>
            <w:vMerge w:val="restart"/>
            <w:shd w:val="clear" w:color="auto" w:fill="auto"/>
          </w:tcPr>
          <w:p w:rsidR="008E2DFA" w:rsidRDefault="008E2DFA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Review and revise request</w:t>
            </w:r>
          </w:p>
        </w:tc>
        <w:tc>
          <w:tcPr>
            <w:tcW w:w="5348" w:type="dxa"/>
          </w:tcPr>
          <w:p w:rsidR="008E2DFA" w:rsidRPr="00B92F72" w:rsidRDefault="008E2DFA" w:rsidP="00BA09E7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ORBCoN will request stakeholder consultation to review current or new procedures, and create working groups where necessary</w:t>
            </w:r>
          </w:p>
        </w:tc>
      </w:tr>
      <w:tr w:rsidR="008E2DFA" w:rsidTr="00204E2C">
        <w:trPr>
          <w:trHeight w:val="1109"/>
          <w:jc w:val="center"/>
        </w:trPr>
        <w:tc>
          <w:tcPr>
            <w:tcW w:w="3549" w:type="dxa"/>
            <w:vMerge/>
            <w:shd w:val="clear" w:color="auto" w:fill="auto"/>
          </w:tcPr>
          <w:p w:rsidR="008E2DFA" w:rsidRDefault="008E2DFA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348" w:type="dxa"/>
          </w:tcPr>
          <w:p w:rsidR="008E2DFA" w:rsidRDefault="008E2DFA" w:rsidP="00BA09E7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ORBCoN will create or revise a procedure or send an explanation if the procedure will not be revised or developed to the original requester</w:t>
            </w:r>
          </w:p>
        </w:tc>
      </w:tr>
      <w:tr w:rsidR="008E2DFA" w:rsidTr="00204E2C">
        <w:trPr>
          <w:trHeight w:val="1197"/>
          <w:jc w:val="center"/>
        </w:trPr>
        <w:tc>
          <w:tcPr>
            <w:tcW w:w="3549" w:type="dxa"/>
            <w:vMerge/>
            <w:shd w:val="clear" w:color="auto" w:fill="auto"/>
          </w:tcPr>
          <w:p w:rsidR="008E2DFA" w:rsidRDefault="008E2DFA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348" w:type="dxa"/>
          </w:tcPr>
          <w:p w:rsidR="008E2DFA" w:rsidRDefault="008E2DFA" w:rsidP="00B92F72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ORBCoN will obtain final approval of new procedure or revisions to existing procedure and save the changes in a master file</w:t>
            </w:r>
          </w:p>
        </w:tc>
      </w:tr>
      <w:tr w:rsidR="008E2DFA" w:rsidTr="00204E2C">
        <w:trPr>
          <w:trHeight w:val="422"/>
          <w:jc w:val="center"/>
        </w:trPr>
        <w:tc>
          <w:tcPr>
            <w:tcW w:w="3549" w:type="dxa"/>
            <w:vMerge w:val="restart"/>
            <w:shd w:val="clear" w:color="auto" w:fill="auto"/>
          </w:tcPr>
          <w:p w:rsidR="008E2DFA" w:rsidRDefault="008E2DFA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Posting New or Revised Procedures</w:t>
            </w:r>
          </w:p>
        </w:tc>
        <w:tc>
          <w:tcPr>
            <w:tcW w:w="5348" w:type="dxa"/>
          </w:tcPr>
          <w:p w:rsidR="008E2DFA" w:rsidRDefault="008E2DFA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Send final version of new or revised procedure to translation once approved</w:t>
            </w:r>
            <w:r w:rsidR="00204E2C">
              <w:rPr>
                <w:rFonts w:ascii="Arial" w:hAnsi="Arial"/>
                <w:sz w:val="24"/>
              </w:rPr>
              <w:t>.</w:t>
            </w:r>
          </w:p>
        </w:tc>
      </w:tr>
      <w:tr w:rsidR="008E2DFA" w:rsidTr="00204E2C">
        <w:trPr>
          <w:trHeight w:val="885"/>
          <w:jc w:val="center"/>
        </w:trPr>
        <w:tc>
          <w:tcPr>
            <w:tcW w:w="3549" w:type="dxa"/>
            <w:vMerge/>
            <w:shd w:val="clear" w:color="auto" w:fill="auto"/>
          </w:tcPr>
          <w:p w:rsidR="008E2DFA" w:rsidRDefault="008E2DFA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5348" w:type="dxa"/>
          </w:tcPr>
          <w:p w:rsidR="008E2DFA" w:rsidRDefault="008E2DFA" w:rsidP="00414E71">
            <w:pPr>
              <w:numPr>
                <w:ilvl w:val="0"/>
                <w:numId w:val="8"/>
              </w:numPr>
              <w:ind w:left="675" w:hanging="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Post English and French versions on </w:t>
            </w:r>
            <w:hyperlink r:id="rId9" w:history="1">
              <w:r w:rsidRPr="008470F2">
                <w:rPr>
                  <w:rStyle w:val="Hyperlink"/>
                  <w:rFonts w:ascii="Arial" w:hAnsi="Arial"/>
                  <w:sz w:val="24"/>
                </w:rPr>
                <w:t>www.transfusionontario.org</w:t>
              </w:r>
            </w:hyperlink>
            <w:r>
              <w:rPr>
                <w:rFonts w:ascii="Arial" w:hAnsi="Arial"/>
                <w:sz w:val="24"/>
              </w:rPr>
              <w:t xml:space="preserve"> and indicate “New or Revised</w:t>
            </w:r>
            <w:r w:rsidR="00204E2C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”</w:t>
            </w:r>
          </w:p>
        </w:tc>
      </w:tr>
    </w:tbl>
    <w:p w:rsidR="002A6041" w:rsidRDefault="002A6041" w:rsidP="00414E71">
      <w:pPr>
        <w:rPr>
          <w:rFonts w:ascii="Arial" w:hAnsi="Arial"/>
          <w:sz w:val="24"/>
        </w:rPr>
      </w:pPr>
    </w:p>
    <w:p w:rsidR="002A6041" w:rsidRDefault="002A6041" w:rsidP="004B7A63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  <w:r w:rsidR="00B92F72">
        <w:rPr>
          <w:rFonts w:ascii="Arial" w:hAnsi="Arial"/>
          <w:b/>
          <w:sz w:val="28"/>
        </w:rPr>
        <w:t xml:space="preserve"> – N/A</w:t>
      </w:r>
    </w:p>
    <w:p w:rsidR="002A6041" w:rsidRPr="00414E71" w:rsidRDefault="002A6041" w:rsidP="004B7A63">
      <w:pPr>
        <w:ind w:left="720"/>
        <w:rPr>
          <w:rFonts w:ascii="Arial" w:hAnsi="Arial"/>
          <w:sz w:val="24"/>
        </w:rPr>
      </w:pPr>
    </w:p>
    <w:p w:rsidR="002A6041" w:rsidRDefault="002A6041" w:rsidP="004B7A63">
      <w:pPr>
        <w:numPr>
          <w:ilvl w:val="0"/>
          <w:numId w:val="1"/>
        </w:numPr>
        <w:tabs>
          <w:tab w:val="clear" w:pos="990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  <w:r w:rsidR="00B92F72">
        <w:rPr>
          <w:rFonts w:ascii="Arial" w:hAnsi="Arial"/>
          <w:b/>
          <w:sz w:val="28"/>
        </w:rPr>
        <w:t xml:space="preserve"> – N/A</w:t>
      </w:r>
    </w:p>
    <w:p w:rsidR="002A6041" w:rsidRDefault="002A6041" w:rsidP="004B7A63">
      <w:pPr>
        <w:spacing w:line="228" w:lineRule="auto"/>
        <w:ind w:left="720"/>
        <w:rPr>
          <w:rFonts w:ascii="Arial" w:hAnsi="Arial"/>
          <w:sz w:val="24"/>
        </w:rPr>
      </w:pPr>
    </w:p>
    <w:p w:rsidR="008E2DFA" w:rsidRDefault="002A6041" w:rsidP="004B7A63">
      <w:pPr>
        <w:numPr>
          <w:ilvl w:val="0"/>
          <w:numId w:val="1"/>
        </w:numPr>
        <w:tabs>
          <w:tab w:val="clear" w:pos="990"/>
        </w:tabs>
        <w:spacing w:line="228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8E2DFA" w:rsidRDefault="008E2DFA" w:rsidP="008E2DFA">
      <w:pPr>
        <w:pStyle w:val="ListParagraph"/>
        <w:rPr>
          <w:rFonts w:ascii="Arial" w:hAnsi="Arial"/>
          <w:sz w:val="24"/>
        </w:rPr>
      </w:pPr>
    </w:p>
    <w:p w:rsidR="008E2DFA" w:rsidRDefault="00B92F72" w:rsidP="004B7A63">
      <w:pPr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rFonts w:ascii="Arial" w:hAnsi="Arial"/>
          <w:b/>
          <w:sz w:val="28"/>
        </w:rPr>
      </w:pPr>
      <w:proofErr w:type="spellStart"/>
      <w:r w:rsidRPr="008E2DFA">
        <w:rPr>
          <w:rFonts w:ascii="Arial" w:hAnsi="Arial"/>
          <w:sz w:val="24"/>
        </w:rPr>
        <w:t>Nevalainen</w:t>
      </w:r>
      <w:proofErr w:type="spellEnd"/>
      <w:r w:rsidRPr="008E2DFA">
        <w:rPr>
          <w:rFonts w:ascii="Arial" w:hAnsi="Arial"/>
          <w:sz w:val="24"/>
        </w:rPr>
        <w:t xml:space="preserve"> DE, </w:t>
      </w:r>
      <w:proofErr w:type="spellStart"/>
      <w:r w:rsidRPr="008E2DFA">
        <w:rPr>
          <w:rFonts w:ascii="Arial" w:hAnsi="Arial"/>
          <w:sz w:val="24"/>
        </w:rPr>
        <w:t>Callery</w:t>
      </w:r>
      <w:proofErr w:type="spellEnd"/>
      <w:r w:rsidRPr="008E2DFA">
        <w:rPr>
          <w:rFonts w:ascii="Arial" w:hAnsi="Arial"/>
          <w:sz w:val="24"/>
        </w:rPr>
        <w:t xml:space="preserve"> MF.  Quality systems in the blood banks and laboratory environment.  Bethesda, MD: American Association of Blood Banks, 1994: module III.</w:t>
      </w:r>
    </w:p>
    <w:p w:rsidR="008E2DFA" w:rsidRDefault="008E2DFA" w:rsidP="008E2DFA">
      <w:pPr>
        <w:spacing w:line="228" w:lineRule="auto"/>
        <w:ind w:left="1571"/>
        <w:rPr>
          <w:rFonts w:ascii="Arial" w:hAnsi="Arial"/>
          <w:b/>
          <w:sz w:val="28"/>
        </w:rPr>
      </w:pPr>
    </w:p>
    <w:p w:rsidR="00B92F72" w:rsidRPr="008E2DFA" w:rsidRDefault="00B92F72" w:rsidP="004B7A63">
      <w:pPr>
        <w:numPr>
          <w:ilvl w:val="1"/>
          <w:numId w:val="1"/>
        </w:numPr>
        <w:tabs>
          <w:tab w:val="clear" w:pos="1571"/>
        </w:tabs>
        <w:spacing w:line="228" w:lineRule="auto"/>
        <w:ind w:left="1440"/>
        <w:rPr>
          <w:rFonts w:ascii="Arial" w:hAnsi="Arial"/>
          <w:b/>
          <w:sz w:val="28"/>
        </w:rPr>
      </w:pPr>
      <w:r w:rsidRPr="008E2DFA">
        <w:rPr>
          <w:rFonts w:ascii="Arial" w:hAnsi="Arial"/>
          <w:sz w:val="24"/>
        </w:rPr>
        <w:t>Delaney S.  Beyond SOP’s: developing an effective document control system program.  Bethesda, MD: American Association of Blood Banks. 1997.</w:t>
      </w:r>
    </w:p>
    <w:p w:rsidR="00204E2C" w:rsidRPr="00204E2C" w:rsidRDefault="00204E2C" w:rsidP="00204E2C">
      <w:pPr>
        <w:spacing w:line="228" w:lineRule="auto"/>
        <w:ind w:left="720"/>
        <w:rPr>
          <w:rFonts w:ascii="Arial" w:hAnsi="Arial"/>
          <w:b/>
          <w:sz w:val="24"/>
        </w:rPr>
      </w:pPr>
    </w:p>
    <w:p w:rsidR="008E2DFA" w:rsidRDefault="008E2DFA" w:rsidP="004B7A63">
      <w:pPr>
        <w:numPr>
          <w:ilvl w:val="0"/>
          <w:numId w:val="1"/>
        </w:numPr>
        <w:tabs>
          <w:tab w:val="clear" w:pos="990"/>
        </w:tabs>
        <w:spacing w:line="228" w:lineRule="auto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Revision History</w:t>
      </w:r>
    </w:p>
    <w:p w:rsidR="008E2DFA" w:rsidRDefault="008E2DFA" w:rsidP="008E2DFA">
      <w:pPr>
        <w:spacing w:line="228" w:lineRule="auto"/>
        <w:ind w:left="990"/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078"/>
        <w:gridCol w:w="5508"/>
      </w:tblGrid>
      <w:tr w:rsidR="008E2DFA" w:rsidTr="00204E2C">
        <w:tc>
          <w:tcPr>
            <w:tcW w:w="3078" w:type="dxa"/>
            <w:shd w:val="clear" w:color="auto" w:fill="F2F2F2" w:themeFill="background1" w:themeFillShade="F2"/>
          </w:tcPr>
          <w:p w:rsidR="008E2DFA" w:rsidRPr="008E2DFA" w:rsidRDefault="008E2DFA" w:rsidP="008E2DFA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E2DFA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8E2DFA" w:rsidRPr="008E2DFA" w:rsidRDefault="008E2DFA" w:rsidP="008E2DFA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E2DFA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8E2DFA" w:rsidTr="00204E2C">
        <w:tc>
          <w:tcPr>
            <w:tcW w:w="3078" w:type="dxa"/>
          </w:tcPr>
          <w:p w:rsidR="008E2DFA" w:rsidRDefault="008E2DFA" w:rsidP="008E2DFA">
            <w:p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10, 2015</w:t>
            </w:r>
          </w:p>
        </w:tc>
        <w:tc>
          <w:tcPr>
            <w:tcW w:w="5508" w:type="dxa"/>
          </w:tcPr>
          <w:p w:rsidR="008E2DFA" w:rsidRDefault="008E2DFA" w:rsidP="008E2DFA">
            <w:pPr>
              <w:pStyle w:val="ListParagraph"/>
              <w:numPr>
                <w:ilvl w:val="0"/>
                <w:numId w:val="18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8E2DFA" w:rsidRDefault="00592D3C" w:rsidP="008E2DFA">
            <w:pPr>
              <w:pStyle w:val="ListParagraph"/>
              <w:numPr>
                <w:ilvl w:val="0"/>
                <w:numId w:val="18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section 2.0</w:t>
            </w:r>
          </w:p>
          <w:p w:rsidR="00592D3C" w:rsidRPr="00592D3C" w:rsidRDefault="00592D3C" w:rsidP="00592D3C">
            <w:pPr>
              <w:pStyle w:val="ListParagraph"/>
              <w:numPr>
                <w:ilvl w:val="0"/>
                <w:numId w:val="18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Replaced “Swim Working Team (SWT)” with “ORBCoN” in sections 5.0 and 6.0</w:t>
            </w:r>
            <w:r w:rsidRPr="00592D3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8E2DFA" w:rsidRPr="008E2DFA" w:rsidRDefault="008E2DFA" w:rsidP="008E2DFA">
      <w:pPr>
        <w:spacing w:line="228" w:lineRule="auto"/>
        <w:ind w:left="270"/>
        <w:rPr>
          <w:rFonts w:ascii="Arial" w:hAnsi="Arial"/>
          <w:sz w:val="22"/>
          <w:szCs w:val="22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tabs>
          <w:tab w:val="left" w:pos="3051"/>
        </w:tabs>
        <w:rPr>
          <w:rFonts w:ascii="Arial" w:hAnsi="Arial"/>
          <w:sz w:val="24"/>
        </w:rPr>
      </w:pPr>
    </w:p>
    <w:sectPr w:rsidR="002A6041" w:rsidSect="00204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800" w:bottom="720" w:left="180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2C" w:rsidRDefault="00204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 w:rsidTr="008E2DFA">
      <w:trPr>
        <w:trHeight w:val="720"/>
        <w:jc w:val="center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792C89">
          <w:pPr>
            <w:pStyle w:val="Footer"/>
            <w:jc w:val="center"/>
            <w:rPr>
              <w:rFonts w:ascii="Verdana" w:hAnsi="Verdana"/>
              <w:sz w:val="8"/>
            </w:rPr>
          </w:pPr>
          <w:bookmarkStart w:id="0" w:name="_GoBack"/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7EDFEB04" wp14:editId="6F4801B8">
                <wp:extent cx="731520" cy="4591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BCoN Logo Map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4A106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5F62C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4A1067">
            <w:rPr>
              <w:rFonts w:ascii="Arial" w:hAnsi="Arial"/>
              <w:sz w:val="18"/>
            </w:rPr>
            <w:t>DM</w:t>
          </w:r>
          <w:r w:rsidR="00C75D7A">
            <w:rPr>
              <w:rFonts w:ascii="Arial" w:hAnsi="Arial"/>
              <w:sz w:val="18"/>
            </w:rPr>
            <w:t>.001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792C89">
            <w:rPr>
              <w:rFonts w:ascii="Arial" w:hAnsi="Arial"/>
              <w:noProof/>
              <w:sz w:val="18"/>
            </w:rPr>
            <w:t>2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792C89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 w:rsidTr="008E2DFA">
      <w:trPr>
        <w:trHeight w:val="720"/>
        <w:jc w:val="center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792C89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51169B44" wp14:editId="6B4F69CD">
                <wp:extent cx="731520" cy="459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BCoN Logo Map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4A106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5F62C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4A1067">
            <w:rPr>
              <w:rFonts w:ascii="Arial" w:hAnsi="Arial"/>
              <w:sz w:val="18"/>
            </w:rPr>
            <w:t>DM</w:t>
          </w:r>
          <w:r w:rsidR="00C75D7A">
            <w:rPr>
              <w:rFonts w:ascii="Arial" w:hAnsi="Arial"/>
              <w:sz w:val="18"/>
            </w:rPr>
            <w:t>.001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792C89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792C89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2C" w:rsidRDefault="00204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FA" w:rsidRDefault="008E2DFA" w:rsidP="008E2DFA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Development and Document Control</w:t>
    </w:r>
  </w:p>
  <w:p w:rsidR="00C75D7A" w:rsidRDefault="00C75D7A">
    <w:pPr>
      <w:pStyle w:val="Header"/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8E2DFA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783C8A89" wp14:editId="459B99A3">
          <wp:extent cx="1161288" cy="467633"/>
          <wp:effectExtent l="0" t="0" r="127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D7A" w:rsidRDefault="00C75D7A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sz w:val="22"/>
      </w:rPr>
    </w:pPr>
  </w:p>
  <w:p w:rsidR="008E2DFA" w:rsidRPr="00204E2C" w:rsidRDefault="008E2DFA">
    <w:pPr>
      <w:pStyle w:val="Header"/>
      <w:tabs>
        <w:tab w:val="left" w:pos="6617"/>
      </w:tabs>
      <w:jc w:val="center"/>
      <w:rPr>
        <w:rFonts w:ascii="Arial" w:hAnsi="Arial"/>
        <w:b/>
        <w:sz w:val="24"/>
      </w:rPr>
    </w:pPr>
    <w:r w:rsidRPr="00204E2C">
      <w:rPr>
        <w:rFonts w:ascii="Arial" w:hAnsi="Arial"/>
        <w:b/>
        <w:sz w:val="24"/>
      </w:rPr>
      <w:t>Ontario Regional Blood Coordinating Network</w:t>
    </w:r>
  </w:p>
  <w:p w:rsidR="008E2DFA" w:rsidRPr="00204E2C" w:rsidRDefault="008E2DFA">
    <w:pPr>
      <w:pStyle w:val="Header"/>
      <w:tabs>
        <w:tab w:val="left" w:pos="6617"/>
      </w:tabs>
      <w:jc w:val="center"/>
      <w:rPr>
        <w:rFonts w:ascii="Arial" w:hAnsi="Arial"/>
        <w:b/>
        <w:sz w:val="24"/>
      </w:rPr>
    </w:pPr>
    <w:r w:rsidRPr="00204E2C">
      <w:rPr>
        <w:rFonts w:ascii="Arial" w:hAnsi="Arial"/>
        <w:b/>
        <w:sz w:val="24"/>
      </w:rPr>
      <w:t>Transfusion Technical Resource Manual</w:t>
    </w:r>
  </w:p>
  <w:p w:rsidR="008E2DFA" w:rsidRPr="008E2DFA" w:rsidRDefault="008E2DFA">
    <w:pPr>
      <w:pStyle w:val="Header"/>
      <w:tabs>
        <w:tab w:val="left" w:pos="6617"/>
      </w:tabs>
      <w:jc w:val="center"/>
      <w:rPr>
        <w:rFonts w:ascii="Arial" w:hAnsi="Arial"/>
        <w:b/>
        <w:sz w:val="24"/>
      </w:rPr>
    </w:pPr>
  </w:p>
  <w:p w:rsidR="00C75D7A" w:rsidRDefault="00CE1C04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Development and Document Control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tbl>
    <w:tblPr>
      <w:tblW w:w="0" w:type="auto"/>
      <w:jc w:val="center"/>
      <w:tblBorders>
        <w:top w:val="single" w:sz="8" w:space="0" w:color="auto"/>
        <w:bottom w:val="single" w:sz="8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C75D7A" w:rsidTr="008E2DFA">
      <w:trPr>
        <w:jc w:val="center"/>
      </w:trPr>
      <w:tc>
        <w:tcPr>
          <w:tcW w:w="4428" w:type="dxa"/>
        </w:tcPr>
        <w:p w:rsidR="00C75D7A" w:rsidRDefault="00C75D7A" w:rsidP="008E2DFA">
          <w:pPr>
            <w:pStyle w:val="Header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75D7A" w:rsidRDefault="00C75D7A" w:rsidP="008E2DFA">
          <w:pPr>
            <w:pStyle w:val="Header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CE1C04">
            <w:rPr>
              <w:rFonts w:ascii="Arial" w:hAnsi="Arial" w:cs="Arial"/>
            </w:rPr>
            <w:t>A</w:t>
          </w:r>
          <w:r w:rsidR="004A1067">
            <w:rPr>
              <w:rFonts w:ascii="Arial" w:hAnsi="Arial" w:cs="Arial"/>
            </w:rPr>
            <w:t>DM</w:t>
          </w:r>
          <w:r w:rsidR="00CE1C04">
            <w:rPr>
              <w:rFonts w:ascii="Arial" w:hAnsi="Arial" w:cs="Arial"/>
            </w:rPr>
            <w:t>.001</w:t>
          </w:r>
        </w:p>
      </w:tc>
    </w:tr>
    <w:tr w:rsidR="00C75D7A" w:rsidTr="008E2DFA">
      <w:trPr>
        <w:jc w:val="center"/>
      </w:trPr>
      <w:tc>
        <w:tcPr>
          <w:tcW w:w="4428" w:type="dxa"/>
        </w:tcPr>
        <w:p w:rsidR="00C75D7A" w:rsidRDefault="00C75D7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75D7A" w:rsidRDefault="00C75D7A" w:rsidP="00CE1C0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CE1C04">
            <w:rPr>
              <w:rFonts w:ascii="Arial" w:hAnsi="Arial" w:cs="Arial"/>
            </w:rPr>
            <w:t>Administration</w:t>
          </w:r>
        </w:p>
      </w:tc>
    </w:tr>
    <w:tr w:rsidR="00C75D7A" w:rsidTr="008E2DFA">
      <w:trPr>
        <w:jc w:val="center"/>
      </w:trPr>
      <w:tc>
        <w:tcPr>
          <w:tcW w:w="4428" w:type="dxa"/>
        </w:tcPr>
        <w:p w:rsidR="00C75D7A" w:rsidRDefault="00CE1C04" w:rsidP="008E2DFA">
          <w:pPr>
            <w:pStyle w:val="Header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Revised:  </w:t>
          </w:r>
          <w:r w:rsidR="004A1067">
            <w:rPr>
              <w:rFonts w:ascii="Arial" w:hAnsi="Arial" w:cs="Arial"/>
            </w:rPr>
            <w:t xml:space="preserve">2009/09/01; </w:t>
          </w:r>
          <w:r>
            <w:rPr>
              <w:rFonts w:ascii="Arial" w:hAnsi="Arial" w:cs="Arial"/>
            </w:rPr>
            <w:t>2015</w:t>
          </w:r>
          <w:r w:rsidR="00C75D7A">
            <w:rPr>
              <w:rFonts w:ascii="Arial" w:hAnsi="Arial" w:cs="Arial"/>
            </w:rPr>
            <w:t>/0</w:t>
          </w:r>
          <w:r w:rsidR="004A1067">
            <w:rPr>
              <w:rFonts w:ascii="Arial" w:hAnsi="Arial" w:cs="Arial"/>
            </w:rPr>
            <w:t>8</w:t>
          </w:r>
          <w:r w:rsidR="00C75D7A">
            <w:rPr>
              <w:rFonts w:ascii="Arial" w:hAnsi="Arial" w:cs="Arial"/>
            </w:rPr>
            <w:t>/</w:t>
          </w:r>
          <w:r w:rsidR="004A1067">
            <w:rPr>
              <w:rFonts w:ascii="Arial" w:hAnsi="Arial" w:cs="Arial"/>
            </w:rPr>
            <w:t>10</w:t>
          </w:r>
        </w:p>
      </w:tc>
      <w:tc>
        <w:tcPr>
          <w:tcW w:w="4428" w:type="dxa"/>
        </w:tcPr>
        <w:p w:rsidR="00C75D7A" w:rsidRDefault="00C75D7A" w:rsidP="008E2DFA">
          <w:pPr>
            <w:pStyle w:val="Header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792C89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CE1C04">
            <w:rPr>
              <w:rFonts w:ascii="Arial" w:hAnsi="Arial" w:cs="Arial"/>
            </w:rPr>
            <w:t>3</w:t>
          </w:r>
        </w:p>
      </w:tc>
    </w:tr>
  </w:tbl>
  <w:p w:rsidR="00C75D7A" w:rsidRDefault="00C75D7A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C6"/>
    <w:multiLevelType w:val="multilevel"/>
    <w:tmpl w:val="651A018E"/>
    <w:lvl w:ilvl="0">
      <w:start w:val="1"/>
      <w:numFmt w:val="decimal"/>
      <w:lvlText w:val="%1.0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E11DE"/>
    <w:multiLevelType w:val="hybridMultilevel"/>
    <w:tmpl w:val="27B83DBC"/>
    <w:lvl w:ilvl="0" w:tplc="D08AE214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2F9"/>
    <w:multiLevelType w:val="hybridMultilevel"/>
    <w:tmpl w:val="7CDEE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C4277"/>
    <w:multiLevelType w:val="hybridMultilevel"/>
    <w:tmpl w:val="86F04FA6"/>
    <w:lvl w:ilvl="0" w:tplc="B43AC7D0">
      <w:start w:val="1"/>
      <w:numFmt w:val="decimal"/>
      <w:lvlText w:val="6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0957A79"/>
    <w:multiLevelType w:val="hybridMultilevel"/>
    <w:tmpl w:val="977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52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8CC382A"/>
    <w:multiLevelType w:val="hybridMultilevel"/>
    <w:tmpl w:val="36C20A12"/>
    <w:lvl w:ilvl="0" w:tplc="C630C5B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3A935268"/>
    <w:multiLevelType w:val="hybridMultilevel"/>
    <w:tmpl w:val="BB5088DE"/>
    <w:lvl w:ilvl="0" w:tplc="16900C8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5428"/>
    <w:multiLevelType w:val="hybridMultilevel"/>
    <w:tmpl w:val="59B4D3A6"/>
    <w:lvl w:ilvl="0" w:tplc="62C0C0A6">
      <w:start w:val="1"/>
      <w:numFmt w:val="decimal"/>
      <w:lvlText w:val="6.6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1BA2"/>
    <w:multiLevelType w:val="hybridMultilevel"/>
    <w:tmpl w:val="7C126064"/>
    <w:lvl w:ilvl="0" w:tplc="A36286BA">
      <w:start w:val="1"/>
      <w:numFmt w:val="decimal"/>
      <w:lvlText w:val="6.3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0B13135"/>
    <w:multiLevelType w:val="hybridMultilevel"/>
    <w:tmpl w:val="E60CD66C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A632D"/>
    <w:multiLevelType w:val="hybridMultilevel"/>
    <w:tmpl w:val="F258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C6902"/>
    <w:multiLevelType w:val="hybridMultilevel"/>
    <w:tmpl w:val="D34C9968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33FCB"/>
    <w:multiLevelType w:val="hybridMultilevel"/>
    <w:tmpl w:val="4000A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9418A"/>
    <w:rsid w:val="000C5397"/>
    <w:rsid w:val="000F5534"/>
    <w:rsid w:val="001E0BEE"/>
    <w:rsid w:val="00204E2C"/>
    <w:rsid w:val="00223C5B"/>
    <w:rsid w:val="002A6041"/>
    <w:rsid w:val="003E6D96"/>
    <w:rsid w:val="00414E71"/>
    <w:rsid w:val="004A1067"/>
    <w:rsid w:val="004B7A63"/>
    <w:rsid w:val="00560D39"/>
    <w:rsid w:val="00592D3C"/>
    <w:rsid w:val="005F62C0"/>
    <w:rsid w:val="0066016E"/>
    <w:rsid w:val="00792C89"/>
    <w:rsid w:val="00867D86"/>
    <w:rsid w:val="008A5CDA"/>
    <w:rsid w:val="008E2DFA"/>
    <w:rsid w:val="00963C6A"/>
    <w:rsid w:val="00B92F72"/>
    <w:rsid w:val="00BA09E7"/>
    <w:rsid w:val="00BC1D00"/>
    <w:rsid w:val="00C75D7A"/>
    <w:rsid w:val="00CE1C04"/>
    <w:rsid w:val="00EF5911"/>
    <w:rsid w:val="00F71E95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04"/>
    <w:pPr>
      <w:ind w:left="720"/>
      <w:contextualSpacing/>
    </w:pPr>
  </w:style>
  <w:style w:type="character" w:styleId="Hyperlink">
    <w:name w:val="Hyperlink"/>
    <w:basedOn w:val="DefaultParagraphFont"/>
    <w:rsid w:val="00B92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04"/>
    <w:pPr>
      <w:ind w:left="720"/>
      <w:contextualSpacing/>
    </w:pPr>
  </w:style>
  <w:style w:type="character" w:styleId="Hyperlink">
    <w:name w:val="Hyperlink"/>
    <w:basedOn w:val="DefaultParagraphFont"/>
    <w:rsid w:val="00B9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sionontario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fusionontari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605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10</cp:revision>
  <cp:lastPrinted>2002-05-31T15:29:00Z</cp:lastPrinted>
  <dcterms:created xsi:type="dcterms:W3CDTF">2015-07-29T17:43:00Z</dcterms:created>
  <dcterms:modified xsi:type="dcterms:W3CDTF">2015-10-27T12:39:00Z</dcterms:modified>
</cp:coreProperties>
</file>